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Override PartName="/word/webExtensions/webExtension4.xml" ContentType="application/vnd.wps-officedocument.webExtension+xml"/>
  <Override PartName="/word/webExtensions/webExtension5.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B46AF">
      <w:pPr>
        <w:pStyle w:val="2"/>
        <w:jc w:val="both"/>
        <w:rPr>
          <w:rFonts w:hint="eastAsia" w:ascii="方正小标宋简体" w:hAnsi="宋体" w:eastAsia="方正小标宋简体" w:cs="Times New Roman"/>
          <w:color w:val="auto"/>
          <w:kern w:val="2"/>
          <w:sz w:val="44"/>
          <w:szCs w:val="44"/>
          <w:highlight w:val="none"/>
          <w:lang w:val="en-US" w:eastAsia="zh-CN" w:bidi="ar-SA"/>
        </w:rPr>
      </w:pPr>
      <w:bookmarkStart w:id="0" w:name="_Toc15306267"/>
    </w:p>
    <w:p w14:paraId="6C3B9AFF">
      <w:pPr>
        <w:pStyle w:val="2"/>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2023年度四川省广元市利州区</w:t>
      </w:r>
    </w:p>
    <w:p w14:paraId="1C0AC8E8">
      <w:pPr>
        <w:pStyle w:val="2"/>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东坝幼儿园单位决算</w:t>
      </w:r>
    </w:p>
    <w:p w14:paraId="695A17D4">
      <w:pPr>
        <w:pStyle w:val="2"/>
        <w:jc w:val="center"/>
        <w:rPr>
          <w:rFonts w:hint="eastAsia" w:ascii="方正小标宋简体" w:hAnsi="宋体" w:eastAsia="方正小标宋简体" w:cs="Times New Roman"/>
          <w:color w:val="auto"/>
          <w:kern w:val="2"/>
          <w:sz w:val="44"/>
          <w:szCs w:val="44"/>
          <w:highlight w:val="none"/>
          <w:lang w:val="en-US" w:eastAsia="zh-CN" w:bidi="ar-SA"/>
        </w:rPr>
      </w:pPr>
    </w:p>
    <w:p w14:paraId="7DBF1408">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66786096">
      <w:pPr>
        <w:widowControl/>
        <w:jc w:val="center"/>
        <w:rPr>
          <w:rFonts w:ascii="黑体" w:hAnsi="黑体" w:eastAsia="黑体" w:cs="Times New Roman"/>
          <w:color w:val="auto"/>
          <w:sz w:val="28"/>
          <w:szCs w:val="28"/>
          <w:highlight w:val="none"/>
        </w:rPr>
      </w:pPr>
    </w:p>
    <w:p w14:paraId="649008E1">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14:paraId="09847A3C">
      <w:pPr>
        <w:rPr>
          <w:color w:val="auto"/>
          <w:highlight w:val="none"/>
        </w:rPr>
      </w:pPr>
    </w:p>
    <w:p w14:paraId="01039978">
      <w:pPr>
        <w:pStyle w:val="10"/>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52980563">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14:paraId="40E30AFB">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14:paraId="05DF7EB2">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p>
    <w:p w14:paraId="1F0618C7">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一、收入支出决算总体情况说明</w:t>
      </w:r>
    </w:p>
    <w:p w14:paraId="39E3AF89">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二、收入决算情况说明</w:t>
      </w:r>
    </w:p>
    <w:p w14:paraId="6614CBA4">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三、支出决算情况说明</w:t>
      </w:r>
    </w:p>
    <w:p w14:paraId="4BFDDD22">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四、财政拨款收入支出决算总体情况说明</w:t>
      </w:r>
    </w:p>
    <w:p w14:paraId="4E203005">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五、一般公共预算财政拨款支出决算情况说明</w:t>
      </w:r>
    </w:p>
    <w:p w14:paraId="39FDD39F">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六、一般公共预算财政拨款基本支出决算情况说明</w:t>
      </w:r>
    </w:p>
    <w:p w14:paraId="38D308E7">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5E091325">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八、政府性基金预算支出决算情况说明</w:t>
      </w:r>
    </w:p>
    <w:p w14:paraId="4D11A0BE">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14:paraId="09164E09">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14:paraId="2A42209A">
      <w:pPr>
        <w:pStyle w:val="10"/>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687F58CC">
      <w:pPr>
        <w:pStyle w:val="10"/>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579759F9">
      <w:pPr>
        <w:pStyle w:val="10"/>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2F17C630">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35A6DF0A">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34246EAF">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7DEE5495">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6FA34970">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772921C9">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245F978C">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0ED87A10">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18DFA98D">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1903D330">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2D00F876">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0552500C">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76E99AAB">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107B89CB">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60E40215">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p>
    <w:p w14:paraId="2314A41D">
      <w:pPr>
        <w:pStyle w:val="4"/>
        <w:numPr>
          <w:ilvl w:val="0"/>
          <w:numId w:val="1"/>
        </w:numPr>
        <w:rPr>
          <w:rStyle w:val="27"/>
          <w:rFonts w:hint="eastAsia" w:ascii="黑体" w:hAnsi="黑体" w:eastAsia="黑体"/>
          <w:b w:val="0"/>
          <w:bCs w:val="0"/>
          <w:color w:val="auto"/>
          <w:highlight w:val="none"/>
          <w:lang w:eastAsia="zh-CN"/>
        </w:rPr>
      </w:pPr>
      <w:r>
        <w:rPr>
          <w:rStyle w:val="27"/>
          <w:rFonts w:hint="eastAsia" w:ascii="黑体" w:hAnsi="黑体" w:eastAsia="黑体"/>
          <w:b w:val="0"/>
          <w:bCs w:val="0"/>
          <w:color w:val="auto"/>
          <w:highlight w:val="none"/>
          <w:lang w:eastAsia="zh-CN"/>
        </w:rPr>
        <w:t>主要职责</w:t>
      </w:r>
    </w:p>
    <w:p w14:paraId="61070851">
      <w:pPr>
        <w:pStyle w:val="4"/>
        <w:numPr>
          <w:ilvl w:val="0"/>
          <w:numId w:val="0"/>
        </w:numPr>
        <w:ind w:firstLine="664" w:firstLineChars="200"/>
        <w:rPr>
          <w:rFonts w:hint="eastAsia" w:ascii="仿宋" w:hAnsi="仿宋" w:eastAsia="仿宋"/>
          <w:b w:val="0"/>
          <w:bCs w:val="0"/>
          <w:color w:val="333333"/>
          <w:spacing w:val="6"/>
          <w:sz w:val="32"/>
          <w:szCs w:val="32"/>
        </w:rPr>
      </w:pPr>
      <w:r>
        <w:rPr>
          <w:rFonts w:hint="eastAsia" w:ascii="仿宋" w:hAnsi="仿宋" w:eastAsia="仿宋"/>
          <w:b w:val="0"/>
          <w:bCs w:val="0"/>
          <w:color w:val="333333"/>
          <w:spacing w:val="6"/>
          <w:sz w:val="32"/>
          <w:szCs w:val="32"/>
          <w:lang w:val="en-US" w:eastAsia="zh-CN"/>
        </w:rPr>
        <w:t>1、</w:t>
      </w:r>
      <w:r>
        <w:rPr>
          <w:rFonts w:hint="eastAsia" w:ascii="仿宋" w:hAnsi="仿宋" w:eastAsia="仿宋"/>
          <w:b w:val="0"/>
          <w:bCs w:val="0"/>
          <w:color w:val="333333"/>
          <w:spacing w:val="6"/>
          <w:sz w:val="32"/>
          <w:szCs w:val="32"/>
        </w:rPr>
        <w:t>认真贯彻执行</w:t>
      </w:r>
      <w:r>
        <w:rPr>
          <w:rFonts w:hint="eastAsia" w:ascii="仿宋" w:hAnsi="仿宋" w:eastAsia="仿宋"/>
          <w:b w:val="0"/>
          <w:bCs w:val="0"/>
          <w:color w:val="333333"/>
          <w:spacing w:val="6"/>
          <w:sz w:val="32"/>
          <w:szCs w:val="32"/>
        </w:rPr>
        <w:fldChar w:fldCharType="begin"/>
      </w:r>
      <w:r>
        <w:rPr>
          <w:rFonts w:hint="eastAsia" w:ascii="仿宋" w:hAnsi="仿宋" w:eastAsia="仿宋"/>
          <w:b w:val="0"/>
          <w:bCs w:val="0"/>
          <w:color w:val="333333"/>
          <w:spacing w:val="6"/>
          <w:sz w:val="32"/>
          <w:szCs w:val="32"/>
        </w:rPr>
        <w:instrText xml:space="preserve"> HYPERLINK "https://www.baidu.com/s?wd=%E3%80%8A%E5%B9%BC%E5%84%BF%E5%9B%AD%E5%B7%A5%E4%BD%9C%E8%A7%84%E7%A8%8B%E3%80%8B&amp;tn=SE_PcZhidaonwhc_ngpagmjz&amp;rsv_dl=gh_pc_zhidao" \t "https://zhidao.baidu.com/question/_blank" </w:instrText>
      </w:r>
      <w:r>
        <w:rPr>
          <w:rFonts w:hint="eastAsia" w:ascii="仿宋" w:hAnsi="仿宋" w:eastAsia="仿宋"/>
          <w:b w:val="0"/>
          <w:bCs w:val="0"/>
          <w:color w:val="333333"/>
          <w:spacing w:val="6"/>
          <w:sz w:val="32"/>
          <w:szCs w:val="32"/>
        </w:rPr>
        <w:fldChar w:fldCharType="separate"/>
      </w:r>
      <w:r>
        <w:rPr>
          <w:rFonts w:ascii="仿宋" w:hAnsi="仿宋" w:eastAsia="仿宋"/>
          <w:b w:val="0"/>
          <w:bCs w:val="0"/>
          <w:color w:val="333333"/>
          <w:spacing w:val="6"/>
          <w:sz w:val="32"/>
          <w:szCs w:val="32"/>
        </w:rPr>
        <w:t>《幼儿园工作规程》</w:t>
      </w:r>
      <w:r>
        <w:rPr>
          <w:rFonts w:ascii="仿宋" w:hAnsi="仿宋" w:eastAsia="仿宋"/>
          <w:b w:val="0"/>
          <w:bCs w:val="0"/>
          <w:color w:val="333333"/>
          <w:spacing w:val="6"/>
          <w:sz w:val="32"/>
          <w:szCs w:val="32"/>
        </w:rPr>
        <w:fldChar w:fldCharType="end"/>
      </w:r>
      <w:r>
        <w:rPr>
          <w:rFonts w:hint="eastAsia" w:ascii="仿宋" w:hAnsi="仿宋" w:eastAsia="仿宋"/>
          <w:b w:val="0"/>
          <w:bCs w:val="0"/>
          <w:color w:val="333333"/>
          <w:spacing w:val="6"/>
          <w:sz w:val="32"/>
          <w:szCs w:val="32"/>
        </w:rPr>
        <w:t>，结合幼儿特点制定好各类教育工作计划，并认真实施，有计划有步骤地开展班级保教工作。树立正确的儿童观、教育观，热爱幼儿、尊重幼儿，对幼儿做到关心、细心、耐心，不偏爱，坚持正面教育，严禁体罚和变相体罚。认真及时制订教育活动计划引导幼儿主动学习。观察、分析并记录幼儿发展情况，因材施教。科学、合理地安排幼儿一日活动，认真执行幼儿园各项教育常规及幼儿园安全、卫生保健制度。定期进行总结，不断提高工作质量。</w:t>
      </w:r>
    </w:p>
    <w:p w14:paraId="0200003F">
      <w:pPr>
        <w:pStyle w:val="4"/>
        <w:numPr>
          <w:ilvl w:val="0"/>
          <w:numId w:val="0"/>
        </w:numPr>
        <w:ind w:firstLine="640" w:firstLineChars="200"/>
        <w:rPr>
          <w:rFonts w:hint="eastAsia" w:ascii="仿宋" w:hAnsi="仿宋" w:eastAsia="仿宋"/>
          <w:b w:val="0"/>
          <w:bCs w:val="0"/>
          <w:color w:val="000000"/>
          <w:sz w:val="32"/>
          <w:szCs w:val="32"/>
        </w:rPr>
      </w:pPr>
      <w:r>
        <w:rPr>
          <w:rFonts w:hint="eastAsia" w:ascii="仿宋" w:hAnsi="仿宋" w:eastAsia="仿宋"/>
          <w:b w:val="0"/>
          <w:bCs w:val="0"/>
          <w:sz w:val="32"/>
          <w:szCs w:val="32"/>
          <w:lang w:val="en-US" w:eastAsia="zh-CN"/>
        </w:rPr>
        <w:t>2、</w:t>
      </w:r>
      <w:r>
        <w:rPr>
          <w:rFonts w:hint="eastAsia" w:ascii="仿宋" w:hAnsi="仿宋" w:eastAsia="仿宋"/>
          <w:b w:val="0"/>
          <w:bCs w:val="0"/>
          <w:sz w:val="32"/>
          <w:szCs w:val="32"/>
        </w:rPr>
        <w:t>严格执行收支两条线、以收定支的财务管理制度，做到收支明晰、合理、合规；严把开支关，精打细算，杜绝浪费；按规定做好年度预算、决算，事业年报、人事年报、工资年报、调资调标，高质量报送各类报表，财务资料规范整齐，归档及时。</w:t>
      </w:r>
      <w:r>
        <w:rPr>
          <w:rFonts w:hint="eastAsia" w:ascii="仿宋" w:hAnsi="仿宋" w:eastAsia="仿宋"/>
          <w:b w:val="0"/>
          <w:bCs w:val="0"/>
          <w:color w:val="000000"/>
          <w:sz w:val="32"/>
          <w:szCs w:val="32"/>
        </w:rPr>
        <w:t>认真并及时为教职工办好医疗、养老、失业、工伤、生育保险、住房公积金的上报工作，解决教职工的后顾之忧。</w:t>
      </w:r>
    </w:p>
    <w:p w14:paraId="21467F59">
      <w:pPr>
        <w:pStyle w:val="4"/>
        <w:numPr>
          <w:ilvl w:val="0"/>
          <w:numId w:val="0"/>
        </w:numPr>
        <w:ind w:firstLine="643" w:firstLineChars="200"/>
        <w:rPr>
          <w:rFonts w:hint="eastAsia"/>
          <w:lang w:eastAsia="zh-CN"/>
        </w:rPr>
      </w:pPr>
    </w:p>
    <w:p w14:paraId="4A57CF50">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14:paraId="2D6473E5">
      <w:pPr>
        <w:widowControl/>
        <w:adjustRightInd w:val="0"/>
        <w:snapToGrid w:val="0"/>
        <w:spacing w:line="572" w:lineRule="exact"/>
        <w:ind w:firstLine="640" w:firstLineChars="200"/>
        <w:contextualSpacing/>
        <w:jc w:val="left"/>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lang w:val="zh-CN"/>
        </w:rPr>
        <w:t>机构组成</w:t>
      </w:r>
    </w:p>
    <w:p w14:paraId="226D5095">
      <w:pPr>
        <w:widowControl/>
        <w:adjustRightInd w:val="0"/>
        <w:snapToGrid w:val="0"/>
        <w:spacing w:line="572"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本单位为广元市利州区教育局所属二级预算单位，单位性质为财政补助事业单位，内设部门7个（办公室、工会、</w:t>
      </w:r>
      <w:r>
        <w:rPr>
          <w:rFonts w:hint="eastAsia" w:ascii="仿宋" w:hAnsi="仿宋" w:eastAsia="仿宋" w:cs="仿宋"/>
          <w:kern w:val="2"/>
          <w:sz w:val="32"/>
          <w:szCs w:val="32"/>
          <w:lang w:val="en-US" w:eastAsia="zh-CN" w:bidi="ar-SA"/>
        </w:rPr>
        <w:t>后勤处</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财务室</w:t>
      </w:r>
      <w:r>
        <w:rPr>
          <w:rFonts w:hint="eastAsia" w:ascii="仿宋" w:hAnsi="仿宋" w:eastAsia="仿宋" w:cs="仿宋"/>
          <w:sz w:val="32"/>
          <w:szCs w:val="32"/>
        </w:rPr>
        <w:t>、技装室、安办、教科室）。</w:t>
      </w:r>
    </w:p>
    <w:p w14:paraId="77D12F16">
      <w:pPr>
        <w:keepNext w:val="0"/>
        <w:keepLines w:val="0"/>
        <w:pageBreakBefore w:val="0"/>
        <w:widowControl/>
        <w:kinsoku/>
        <w:wordWrap/>
        <w:overflowPunct/>
        <w:topLinePunct w:val="0"/>
        <w:autoSpaceDE/>
        <w:autoSpaceDN/>
        <w:bidi w:val="0"/>
        <w:adjustRightInd w:val="0"/>
        <w:snapToGrid w:val="0"/>
        <w:spacing w:line="572" w:lineRule="atLeast"/>
        <w:ind w:firstLine="640" w:firstLineChars="200"/>
        <w:contextualSpacing/>
        <w:jc w:val="left"/>
        <w:textAlignment w:val="auto"/>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kern w:val="0"/>
          <w:sz w:val="32"/>
          <w:szCs w:val="32"/>
          <w:shd w:val="clear" w:color="auto" w:fill="FFFFFF"/>
          <w:lang w:val="zh-CN"/>
        </w:rPr>
        <w:t>人员概况</w:t>
      </w:r>
    </w:p>
    <w:p w14:paraId="1AD17B32">
      <w:pPr>
        <w:keepNext w:val="0"/>
        <w:keepLines w:val="0"/>
        <w:pageBreakBefore w:val="0"/>
        <w:widowControl/>
        <w:kinsoku/>
        <w:wordWrap/>
        <w:overflowPunct/>
        <w:topLinePunct w:val="0"/>
        <w:autoSpaceDE/>
        <w:autoSpaceDN/>
        <w:bidi w:val="0"/>
        <w:spacing w:line="572" w:lineRule="atLeas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东坝</w:t>
      </w:r>
      <w:r>
        <w:rPr>
          <w:rFonts w:hint="eastAsia" w:ascii="仿宋" w:hAnsi="仿宋" w:eastAsia="仿宋" w:cs="仿宋"/>
          <w:sz w:val="32"/>
          <w:szCs w:val="32"/>
        </w:rPr>
        <w:t>幼儿园共有编制</w:t>
      </w:r>
      <w:r>
        <w:rPr>
          <w:rFonts w:hint="eastAsia" w:ascii="仿宋" w:hAnsi="仿宋" w:eastAsia="仿宋" w:cs="仿宋"/>
          <w:sz w:val="32"/>
          <w:szCs w:val="32"/>
          <w:lang w:val="en-US" w:eastAsia="zh-CN"/>
        </w:rPr>
        <w:t>19</w:t>
      </w:r>
      <w:r>
        <w:rPr>
          <w:rFonts w:hint="eastAsia" w:ascii="仿宋" w:hAnsi="仿宋" w:eastAsia="仿宋" w:cs="仿宋"/>
          <w:sz w:val="32"/>
          <w:szCs w:val="32"/>
        </w:rPr>
        <w:t>名，其中行政编制0人，全额财政补助事业编制10人。截至202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年末，实有在职人员</w:t>
      </w:r>
      <w:r>
        <w:rPr>
          <w:rFonts w:hint="eastAsia" w:ascii="仿宋" w:hAnsi="仿宋" w:eastAsia="仿宋" w:cs="仿宋"/>
          <w:sz w:val="32"/>
          <w:szCs w:val="32"/>
          <w:lang w:val="en-US" w:eastAsia="zh-CN"/>
        </w:rPr>
        <w:t>16</w:t>
      </w:r>
      <w:r>
        <w:rPr>
          <w:rFonts w:hint="eastAsia" w:ascii="仿宋" w:hAnsi="仿宋" w:eastAsia="仿宋" w:cs="仿宋"/>
          <w:sz w:val="32"/>
          <w:szCs w:val="32"/>
        </w:rPr>
        <w:t>人，临聘教职工</w:t>
      </w:r>
      <w:r>
        <w:rPr>
          <w:rFonts w:hint="eastAsia" w:ascii="仿宋" w:hAnsi="仿宋" w:eastAsia="仿宋" w:cs="仿宋"/>
          <w:sz w:val="32"/>
          <w:szCs w:val="32"/>
          <w:lang w:val="en-US" w:eastAsia="zh-CN"/>
        </w:rPr>
        <w:t>39</w:t>
      </w:r>
      <w:r>
        <w:rPr>
          <w:rFonts w:hint="eastAsia" w:ascii="仿宋" w:hAnsi="仿宋" w:eastAsia="仿宋" w:cs="仿宋"/>
          <w:sz w:val="32"/>
          <w:szCs w:val="32"/>
        </w:rPr>
        <w:t xml:space="preserve">人，安保人员2人。 </w:t>
      </w:r>
    </w:p>
    <w:p w14:paraId="734D18F2">
      <w:pPr>
        <w:widowControl/>
        <w:jc w:val="left"/>
        <w:rPr>
          <w:rFonts w:ascii="仿宋" w:hAnsi="仿宋" w:eastAsia="仿宋"/>
          <w:color w:val="auto"/>
          <w:kern w:val="0"/>
          <w:sz w:val="32"/>
          <w:szCs w:val="32"/>
          <w:highlight w:val="none"/>
        </w:rPr>
      </w:pPr>
    </w:p>
    <w:p w14:paraId="2FEA50CD">
      <w:pPr>
        <w:widowControl/>
        <w:jc w:val="left"/>
        <w:rPr>
          <w:rFonts w:ascii="仿宋" w:hAnsi="仿宋" w:eastAsia="仿宋"/>
          <w:color w:val="auto"/>
          <w:kern w:val="0"/>
          <w:sz w:val="32"/>
          <w:szCs w:val="32"/>
          <w:highlight w:val="none"/>
        </w:rPr>
      </w:pPr>
    </w:p>
    <w:p w14:paraId="7D172D48">
      <w:pPr>
        <w:widowControl/>
        <w:jc w:val="left"/>
        <w:rPr>
          <w:rFonts w:ascii="仿宋" w:hAnsi="仿宋" w:eastAsia="仿宋"/>
          <w:color w:val="auto"/>
          <w:kern w:val="0"/>
          <w:sz w:val="32"/>
          <w:szCs w:val="32"/>
          <w:highlight w:val="none"/>
        </w:rPr>
      </w:pPr>
    </w:p>
    <w:p w14:paraId="12B8F016">
      <w:pPr>
        <w:widowControl/>
        <w:jc w:val="left"/>
        <w:rPr>
          <w:rFonts w:ascii="仿宋" w:hAnsi="仿宋" w:eastAsia="仿宋"/>
          <w:color w:val="auto"/>
          <w:kern w:val="0"/>
          <w:sz w:val="32"/>
          <w:szCs w:val="32"/>
          <w:highlight w:val="none"/>
        </w:rPr>
      </w:pPr>
    </w:p>
    <w:p w14:paraId="55954F3B">
      <w:pPr>
        <w:widowControl/>
        <w:jc w:val="left"/>
        <w:rPr>
          <w:rFonts w:ascii="仿宋" w:hAnsi="仿宋" w:eastAsia="仿宋"/>
          <w:color w:val="auto"/>
          <w:kern w:val="0"/>
          <w:sz w:val="32"/>
          <w:szCs w:val="32"/>
          <w:highlight w:val="none"/>
        </w:rPr>
      </w:pPr>
    </w:p>
    <w:p w14:paraId="4DA8D3B9">
      <w:pPr>
        <w:widowControl/>
        <w:jc w:val="left"/>
        <w:rPr>
          <w:rFonts w:ascii="仿宋" w:hAnsi="仿宋" w:eastAsia="仿宋"/>
          <w:color w:val="auto"/>
          <w:kern w:val="0"/>
          <w:sz w:val="32"/>
          <w:szCs w:val="32"/>
          <w:highlight w:val="none"/>
        </w:rPr>
      </w:pPr>
    </w:p>
    <w:p w14:paraId="0897C872">
      <w:pPr>
        <w:widowControl/>
        <w:jc w:val="left"/>
        <w:rPr>
          <w:rFonts w:ascii="仿宋" w:hAnsi="仿宋" w:eastAsia="仿宋"/>
          <w:color w:val="auto"/>
          <w:kern w:val="0"/>
          <w:sz w:val="32"/>
          <w:szCs w:val="32"/>
          <w:highlight w:val="none"/>
        </w:rPr>
      </w:pPr>
    </w:p>
    <w:p w14:paraId="2051FA1D">
      <w:pPr>
        <w:widowControl/>
        <w:jc w:val="left"/>
        <w:rPr>
          <w:rFonts w:ascii="仿宋" w:hAnsi="仿宋" w:eastAsia="仿宋"/>
          <w:color w:val="auto"/>
          <w:kern w:val="0"/>
          <w:sz w:val="32"/>
          <w:szCs w:val="32"/>
          <w:highlight w:val="none"/>
        </w:rPr>
      </w:pPr>
    </w:p>
    <w:p w14:paraId="25CC6C39">
      <w:pPr>
        <w:widowControl/>
        <w:jc w:val="left"/>
        <w:rPr>
          <w:rFonts w:ascii="仿宋" w:hAnsi="仿宋" w:eastAsia="仿宋"/>
          <w:color w:val="auto"/>
          <w:kern w:val="0"/>
          <w:sz w:val="32"/>
          <w:szCs w:val="32"/>
          <w:highlight w:val="none"/>
        </w:rPr>
      </w:pPr>
    </w:p>
    <w:p w14:paraId="53E560C7">
      <w:pPr>
        <w:widowControl/>
        <w:jc w:val="left"/>
        <w:rPr>
          <w:rFonts w:ascii="仿宋" w:hAnsi="仿宋" w:eastAsia="仿宋"/>
          <w:color w:val="auto"/>
          <w:kern w:val="0"/>
          <w:sz w:val="32"/>
          <w:szCs w:val="32"/>
          <w:highlight w:val="none"/>
        </w:rPr>
      </w:pPr>
    </w:p>
    <w:p w14:paraId="7BC22AE6">
      <w:pPr>
        <w:widowControl/>
        <w:jc w:val="left"/>
        <w:rPr>
          <w:rFonts w:ascii="仿宋" w:hAnsi="仿宋" w:eastAsia="仿宋"/>
          <w:color w:val="auto"/>
          <w:kern w:val="0"/>
          <w:sz w:val="32"/>
          <w:szCs w:val="32"/>
          <w:highlight w:val="none"/>
        </w:rPr>
      </w:pPr>
    </w:p>
    <w:p w14:paraId="32F60D68">
      <w:pPr>
        <w:widowControl/>
        <w:jc w:val="left"/>
        <w:rPr>
          <w:rFonts w:ascii="仿宋" w:hAnsi="仿宋" w:eastAsia="仿宋"/>
          <w:color w:val="auto"/>
          <w:kern w:val="0"/>
          <w:sz w:val="32"/>
          <w:szCs w:val="32"/>
          <w:highlight w:val="none"/>
        </w:rPr>
      </w:pPr>
    </w:p>
    <w:p w14:paraId="0215662A">
      <w:pPr>
        <w:widowControl/>
        <w:jc w:val="left"/>
        <w:rPr>
          <w:rFonts w:ascii="仿宋" w:hAnsi="仿宋" w:eastAsia="仿宋"/>
          <w:color w:val="auto"/>
          <w:kern w:val="0"/>
          <w:sz w:val="32"/>
          <w:szCs w:val="32"/>
          <w:highlight w:val="none"/>
        </w:rPr>
      </w:pPr>
    </w:p>
    <w:p w14:paraId="18B60EC6">
      <w:pPr>
        <w:widowControl/>
        <w:jc w:val="left"/>
        <w:rPr>
          <w:rFonts w:ascii="仿宋" w:hAnsi="仿宋" w:eastAsia="仿宋"/>
          <w:color w:val="auto"/>
          <w:kern w:val="0"/>
          <w:sz w:val="32"/>
          <w:szCs w:val="32"/>
          <w:highlight w:val="none"/>
        </w:rPr>
      </w:pPr>
    </w:p>
    <w:p w14:paraId="0304351C">
      <w:pPr>
        <w:widowControl/>
        <w:jc w:val="left"/>
        <w:rPr>
          <w:rFonts w:ascii="仿宋" w:hAnsi="仿宋" w:eastAsia="仿宋"/>
          <w:color w:val="auto"/>
          <w:kern w:val="0"/>
          <w:sz w:val="32"/>
          <w:szCs w:val="32"/>
          <w:highlight w:val="none"/>
        </w:rPr>
      </w:pPr>
    </w:p>
    <w:p w14:paraId="6C10D0E9">
      <w:pPr>
        <w:widowControl/>
        <w:jc w:val="left"/>
        <w:rPr>
          <w:rFonts w:ascii="仿宋" w:hAnsi="仿宋" w:eastAsia="仿宋"/>
          <w:color w:val="auto"/>
          <w:kern w:val="0"/>
          <w:sz w:val="32"/>
          <w:szCs w:val="32"/>
          <w:highlight w:val="none"/>
        </w:rPr>
      </w:pPr>
    </w:p>
    <w:p w14:paraId="4F06163B">
      <w:pPr>
        <w:widowControl/>
        <w:jc w:val="left"/>
        <w:rPr>
          <w:rFonts w:ascii="仿宋" w:hAnsi="仿宋" w:eastAsia="仿宋"/>
          <w:color w:val="auto"/>
          <w:kern w:val="0"/>
          <w:sz w:val="32"/>
          <w:szCs w:val="32"/>
          <w:highlight w:val="none"/>
        </w:rPr>
      </w:pPr>
    </w:p>
    <w:p w14:paraId="41BE8AF5">
      <w:pPr>
        <w:widowControl/>
        <w:jc w:val="left"/>
        <w:rPr>
          <w:rFonts w:ascii="仿宋" w:hAnsi="仿宋" w:eastAsia="仿宋"/>
          <w:color w:val="auto"/>
          <w:kern w:val="0"/>
          <w:sz w:val="32"/>
          <w:szCs w:val="32"/>
          <w:highlight w:val="none"/>
        </w:rPr>
      </w:pPr>
    </w:p>
    <w:p w14:paraId="6C0F31A5">
      <w:pPr>
        <w:widowControl/>
        <w:jc w:val="left"/>
        <w:rPr>
          <w:rFonts w:ascii="仿宋" w:hAnsi="仿宋" w:eastAsia="仿宋"/>
          <w:color w:val="auto"/>
          <w:kern w:val="0"/>
          <w:sz w:val="32"/>
          <w:szCs w:val="32"/>
          <w:highlight w:val="none"/>
        </w:rPr>
      </w:pPr>
    </w:p>
    <w:p w14:paraId="10BE5DF8">
      <w:pPr>
        <w:widowControl/>
        <w:jc w:val="left"/>
        <w:rPr>
          <w:rFonts w:ascii="仿宋" w:hAnsi="仿宋" w:eastAsia="仿宋"/>
          <w:color w:val="auto"/>
          <w:kern w:val="0"/>
          <w:sz w:val="32"/>
          <w:szCs w:val="32"/>
          <w:highlight w:val="none"/>
        </w:rPr>
      </w:pPr>
    </w:p>
    <w:p w14:paraId="15786003">
      <w:pPr>
        <w:widowControl/>
        <w:jc w:val="left"/>
        <w:rPr>
          <w:rFonts w:ascii="仿宋" w:hAnsi="仿宋" w:eastAsia="仿宋"/>
          <w:color w:val="auto"/>
          <w:kern w:val="0"/>
          <w:sz w:val="32"/>
          <w:szCs w:val="32"/>
          <w:highlight w:val="none"/>
        </w:rPr>
      </w:pPr>
    </w:p>
    <w:p w14:paraId="098C2440">
      <w:pPr>
        <w:widowControl/>
        <w:jc w:val="left"/>
        <w:rPr>
          <w:rFonts w:ascii="仿宋" w:hAnsi="仿宋" w:eastAsia="仿宋"/>
          <w:color w:val="auto"/>
          <w:kern w:val="0"/>
          <w:sz w:val="32"/>
          <w:szCs w:val="32"/>
          <w:highlight w:val="none"/>
        </w:rPr>
      </w:pPr>
    </w:p>
    <w:p w14:paraId="04773D71">
      <w:pPr>
        <w:widowControl/>
        <w:jc w:val="left"/>
        <w:rPr>
          <w:rFonts w:ascii="仿宋" w:hAnsi="仿宋" w:eastAsia="仿宋"/>
          <w:color w:val="auto"/>
          <w:kern w:val="0"/>
          <w:sz w:val="32"/>
          <w:szCs w:val="32"/>
          <w:highlight w:val="none"/>
        </w:rPr>
      </w:pPr>
    </w:p>
    <w:p w14:paraId="1F48DB29">
      <w:pPr>
        <w:widowControl/>
        <w:jc w:val="left"/>
        <w:rPr>
          <w:rFonts w:ascii="仿宋" w:hAnsi="仿宋" w:eastAsia="仿宋"/>
          <w:color w:val="auto"/>
          <w:kern w:val="0"/>
          <w:sz w:val="32"/>
          <w:szCs w:val="32"/>
          <w:highlight w:val="none"/>
        </w:rPr>
      </w:pPr>
    </w:p>
    <w:p w14:paraId="01AB3750">
      <w:pPr>
        <w:pStyle w:val="3"/>
        <w:ind w:right="440"/>
        <w:jc w:val="center"/>
        <w:rPr>
          <w:rStyle w:val="26"/>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p>
    <w:p w14:paraId="08973B31">
      <w:pPr>
        <w:rPr>
          <w:color w:val="auto"/>
          <w:highlight w:val="none"/>
        </w:rPr>
      </w:pPr>
    </w:p>
    <w:p w14:paraId="2911E189">
      <w:pPr>
        <w:pStyle w:val="25"/>
        <w:numPr>
          <w:ilvl w:val="0"/>
          <w:numId w:val="0"/>
        </w:numPr>
        <w:spacing w:line="600" w:lineRule="exact"/>
        <w:ind w:left="640" w:leftChars="0"/>
        <w:outlineLvl w:val="1"/>
        <w:rPr>
          <w:rStyle w:val="27"/>
          <w:rFonts w:ascii="黑体" w:hAnsi="黑体" w:eastAsia="黑体"/>
          <w:b w:val="0"/>
          <w:color w:val="auto"/>
          <w:highlight w:val="none"/>
        </w:rPr>
      </w:pP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p>
    <w:p w14:paraId="36A00290">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rPr>
        <w:t>782</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相比，收、支总计各减少</w:t>
      </w:r>
      <w:r>
        <w:rPr>
          <w:rFonts w:hint="eastAsia" w:ascii="仿宋" w:hAnsi="仿宋" w:eastAsia="仿宋"/>
          <w:color w:val="auto"/>
          <w:sz w:val="32"/>
          <w:szCs w:val="32"/>
          <w:highlight w:val="none"/>
          <w:lang w:val="en-US" w:eastAsia="zh-CN"/>
        </w:rPr>
        <w:t>801.58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49.39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项目建设减少。</w:t>
      </w:r>
    </w:p>
    <w:bookmarkEnd w:id="0"/>
    <w:p w14:paraId="21A41285">
      <w:pPr>
        <w:pStyle w:val="2"/>
        <w:rPr>
          <w:rFonts w:hint="eastAsia" w:eastAsiaTheme="minorEastAsia"/>
          <w:lang w:eastAsia="zh-CN"/>
        </w:rPr>
      </w:pPr>
      <w:r>
        <w:rPr>
          <w:rFonts w:hint="eastAsia" w:eastAsiaTheme="minorEastAsia"/>
          <w:lang w:eastAsia="zh-CN"/>
        </w:rPr>
        <w:drawing>
          <wp:inline distT="0" distB="0" distL="114300" distR="114300">
            <wp:extent cx="5143500" cy="3229610"/>
            <wp:effectExtent l="0" t="0" r="0" b="889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stretch>
                      <a:fillRect/>
                    </a:stretch>
                  </pic:blipFill>
                  <pic:spPr>
                    <a:xfrm>
                      <a:off x="0" y="0"/>
                      <a:ext cx="5143500" cy="3229610"/>
                    </a:xfrm>
                    <a:prstGeom prst="rect">
                      <a:avLst/>
                    </a:prstGeom>
                    <a:extLst>
                      <wpswe:webExtensionRef xmlns:wpswe="http://www.wps.cn/officeDocument/2018/webExtension" r:id="rId7"/>
                    </a:extLst>
                  </pic:spPr>
                </pic:pic>
              </a:graphicData>
            </a:graphic>
          </wp:inline>
        </w:drawing>
      </w:r>
    </w:p>
    <w:p w14:paraId="6888AEB8">
      <w:pPr>
        <w:pStyle w:val="25"/>
        <w:numPr>
          <w:ilvl w:val="0"/>
          <w:numId w:val="0"/>
        </w:numPr>
        <w:spacing w:line="600" w:lineRule="exact"/>
        <w:ind w:left="640" w:leftChars="0"/>
        <w:outlineLvl w:val="1"/>
        <w:rPr>
          <w:rStyle w:val="27"/>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p>
    <w:p w14:paraId="7AD933C2">
      <w:pPr>
        <w:spacing w:line="600" w:lineRule="exact"/>
        <w:ind w:firstLine="640" w:firstLineChars="200"/>
        <w:outlineLvl w:val="1"/>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782.25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781.95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99.96</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p>
    <w:p w14:paraId="169F0356">
      <w:pPr>
        <w:pStyle w:val="2"/>
        <w:rPr>
          <w:rFonts w:hint="eastAsia" w:eastAsiaTheme="minorEastAsia"/>
          <w:lang w:eastAsia="zh-CN"/>
        </w:rPr>
      </w:pPr>
    </w:p>
    <w:p w14:paraId="14B9D97B">
      <w:pPr>
        <w:pStyle w:val="2"/>
      </w:pPr>
      <w:r>
        <w:rPr>
          <w:rFonts w:hint="eastAsia" w:eastAsiaTheme="minorEastAsia"/>
          <w:lang w:eastAsia="zh-CN"/>
        </w:rPr>
        <w:drawing>
          <wp:inline distT="0" distB="0" distL="114300" distR="114300">
            <wp:extent cx="5225415" cy="3483610"/>
            <wp:effectExtent l="0" t="0" r="6985" b="889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stretch>
                      <a:fillRect/>
                    </a:stretch>
                  </pic:blipFill>
                  <pic:spPr>
                    <a:xfrm>
                      <a:off x="0" y="0"/>
                      <a:ext cx="5225415" cy="3483610"/>
                    </a:xfrm>
                    <a:prstGeom prst="rect">
                      <a:avLst/>
                    </a:prstGeom>
                    <a:extLst>
                      <wpswe:webExtensionRef xmlns:wpswe="http://www.wps.cn/officeDocument/2018/webExtension" r:id="rId9"/>
                    </a:extLst>
                  </pic:spPr>
                </pic:pic>
              </a:graphicData>
            </a:graphic>
          </wp:inline>
        </w:drawing>
      </w:r>
    </w:p>
    <w:p w14:paraId="65EC2C68">
      <w:pPr>
        <w:pStyle w:val="25"/>
        <w:numPr>
          <w:ilvl w:val="0"/>
          <w:numId w:val="0"/>
        </w:numPr>
        <w:spacing w:line="600" w:lineRule="exact"/>
        <w:ind w:left="640" w:leftChars="0"/>
        <w:outlineLvl w:val="1"/>
        <w:rPr>
          <w:rStyle w:val="27"/>
          <w:rFonts w:ascii="黑体" w:hAnsi="黑体" w:eastAsia="黑体"/>
          <w:b w:val="0"/>
          <w:color w:val="auto"/>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p>
    <w:p w14:paraId="7D2E8185">
      <w:pPr>
        <w:spacing w:line="600" w:lineRule="exact"/>
        <w:ind w:firstLine="640" w:firstLineChars="200"/>
        <w:outlineLvl w:val="1"/>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本年支出合计</w:t>
      </w:r>
      <w:r>
        <w:rPr>
          <w:rFonts w:hint="eastAsia" w:ascii="仿宋" w:hAnsi="仿宋" w:eastAsia="仿宋"/>
          <w:color w:val="auto"/>
          <w:sz w:val="32"/>
          <w:szCs w:val="32"/>
          <w:highlight w:val="none"/>
          <w:lang w:val="en-US" w:eastAsia="zh-CN"/>
        </w:rPr>
        <w:t>782.25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508.44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271.81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35</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p>
    <w:p w14:paraId="78875153">
      <w:pPr>
        <w:pStyle w:val="2"/>
        <w:rPr>
          <w:rFonts w:hint="eastAsia" w:eastAsiaTheme="minorEastAsia"/>
          <w:lang w:eastAsia="zh-CN"/>
        </w:rPr>
      </w:pPr>
      <w:r>
        <w:rPr>
          <w:rFonts w:hint="eastAsia" w:eastAsiaTheme="minorEastAsia"/>
          <w:lang w:eastAsia="zh-CN"/>
        </w:rPr>
        <w:drawing>
          <wp:inline distT="0" distB="0" distL="114300" distR="114300">
            <wp:extent cx="5115560" cy="2241550"/>
            <wp:effectExtent l="5080" t="4445" r="10160" b="14605"/>
            <wp:docPr id="4" name="图表 4"/>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68242&quot;,&quot;origin&quot;:0,&quot;type&quot;:&quot;charts&quot;,&quot;user&quot;:&quot;271171727&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7D04A1">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p>
    <w:p w14:paraId="72D70530">
      <w:pPr>
        <w:spacing w:line="600" w:lineRule="exact"/>
        <w:ind w:firstLine="640"/>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781.95</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相比，财政拨款收、支总计减少</w:t>
      </w:r>
      <w:r>
        <w:rPr>
          <w:rFonts w:hint="eastAsia" w:ascii="仿宋" w:hAnsi="仿宋" w:eastAsia="仿宋"/>
          <w:color w:val="auto"/>
          <w:sz w:val="32"/>
          <w:szCs w:val="32"/>
          <w:highlight w:val="none"/>
          <w:lang w:val="en-US" w:eastAsia="zh-CN"/>
        </w:rPr>
        <w:t>647.89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45.31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建设项目变少。</w:t>
      </w:r>
    </w:p>
    <w:p w14:paraId="5809E406">
      <w:pPr>
        <w:spacing w:line="600" w:lineRule="exact"/>
        <w:rPr>
          <w:rFonts w:ascii="仿宋" w:hAnsi="仿宋" w:eastAsia="仿宋"/>
          <w:color w:val="auto"/>
          <w:sz w:val="32"/>
          <w:szCs w:val="32"/>
          <w:highlight w:val="none"/>
        </w:rPr>
      </w:pPr>
    </w:p>
    <w:p w14:paraId="36C9D3B1">
      <w:pPr>
        <w:pStyle w:val="2"/>
        <w:rPr>
          <w:rFonts w:hint="eastAsia" w:eastAsiaTheme="minorEastAsia"/>
          <w:lang w:eastAsia="zh-CN"/>
        </w:rPr>
      </w:pPr>
      <w:r>
        <w:rPr>
          <w:rFonts w:hint="eastAsia" w:eastAsiaTheme="minorEastAsia"/>
          <w:lang w:eastAsia="zh-CN"/>
        </w:rPr>
        <w:drawing>
          <wp:inline distT="0" distB="0" distL="114300" distR="114300">
            <wp:extent cx="5143500" cy="3229610"/>
            <wp:effectExtent l="0" t="0" r="0" b="889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3"/>
                    <a:stretch>
                      <a:fillRect/>
                    </a:stretch>
                  </pic:blipFill>
                  <pic:spPr>
                    <a:xfrm>
                      <a:off x="0" y="0"/>
                      <a:ext cx="5143500" cy="3229610"/>
                    </a:xfrm>
                    <a:prstGeom prst="rect">
                      <a:avLst/>
                    </a:prstGeom>
                    <a:extLst>
                      <wpswe:webExtensionRef xmlns:wpswe="http://www.wps.cn/officeDocument/2018/webExtension" r:id="rId12"/>
                    </a:extLst>
                  </pic:spPr>
                </pic:pic>
              </a:graphicData>
            </a:graphic>
          </wp:inline>
        </w:drawing>
      </w:r>
    </w:p>
    <w:p w14:paraId="70ACD337">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p>
    <w:p w14:paraId="2ADDD93C">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p>
    <w:p w14:paraId="21C963B1">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781.95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647.89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45.31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项目建设减少。</w:t>
      </w:r>
    </w:p>
    <w:p w14:paraId="01254A0C">
      <w:pPr>
        <w:spacing w:line="600" w:lineRule="exact"/>
        <w:rPr>
          <w:rFonts w:ascii="仿宋" w:hAnsi="仿宋" w:eastAsia="仿宋"/>
          <w:color w:val="auto"/>
          <w:sz w:val="32"/>
          <w:szCs w:val="32"/>
          <w:highlight w:val="none"/>
        </w:rPr>
      </w:pPr>
    </w:p>
    <w:p w14:paraId="5C09694A">
      <w:pPr>
        <w:pStyle w:val="2"/>
        <w:rPr>
          <w:rFonts w:hint="eastAsia" w:eastAsiaTheme="minorEastAsia"/>
          <w:lang w:eastAsia="zh-CN"/>
        </w:rPr>
      </w:pPr>
      <w:r>
        <w:rPr>
          <w:rFonts w:hint="eastAsia" w:eastAsiaTheme="minorEastAsia"/>
          <w:lang w:eastAsia="zh-CN"/>
        </w:rPr>
        <w:drawing>
          <wp:inline distT="0" distB="0" distL="114300" distR="114300">
            <wp:extent cx="5397500" cy="2867660"/>
            <wp:effectExtent l="0" t="0" r="0" b="254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5"/>
                    <a:stretch>
                      <a:fillRect/>
                    </a:stretch>
                  </pic:blipFill>
                  <pic:spPr>
                    <a:xfrm>
                      <a:off x="0" y="0"/>
                      <a:ext cx="5397500" cy="2867660"/>
                    </a:xfrm>
                    <a:prstGeom prst="rect">
                      <a:avLst/>
                    </a:prstGeom>
                    <a:extLst>
                      <wpswe:webExtensionRef xmlns:wpswe="http://www.wps.cn/officeDocument/2018/webExtension" r:id="rId14"/>
                    </a:extLst>
                  </pic:spPr>
                </pic:pic>
              </a:graphicData>
            </a:graphic>
          </wp:inline>
        </w:drawing>
      </w:r>
    </w:p>
    <w:p w14:paraId="79C84072">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p>
    <w:p w14:paraId="7F24DEFE">
      <w:pPr>
        <w:spacing w:line="600" w:lineRule="exact"/>
        <w:ind w:firstLine="640"/>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781.95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721.74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92.30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28</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5</w:t>
      </w:r>
      <w:bookmarkStart w:id="12" w:name="_GoBack"/>
      <w:bookmarkEnd w:id="12"/>
      <w:r>
        <w:rPr>
          <w:rFonts w:hint="eastAsia" w:ascii="仿宋" w:hAnsi="仿宋" w:eastAsia="仿宋"/>
          <w:color w:val="auto"/>
          <w:sz w:val="32"/>
          <w:szCs w:val="32"/>
          <w:highlight w:val="none"/>
        </w:rPr>
        <w:t>8万元，占</w:t>
      </w:r>
      <w:r>
        <w:rPr>
          <w:rFonts w:hint="eastAsia" w:ascii="仿宋" w:hAnsi="仿宋" w:eastAsia="仿宋"/>
          <w:color w:val="auto"/>
          <w:sz w:val="32"/>
          <w:szCs w:val="32"/>
          <w:highlight w:val="none"/>
          <w:lang w:val="en-US" w:eastAsia="zh-CN"/>
        </w:rPr>
        <w:t>3.65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11</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3116万元，占</w:t>
      </w:r>
      <w:r>
        <w:rPr>
          <w:rFonts w:hint="eastAsia" w:ascii="仿宋" w:hAnsi="仿宋" w:eastAsia="仿宋"/>
          <w:color w:val="auto"/>
          <w:sz w:val="32"/>
          <w:szCs w:val="32"/>
          <w:highlight w:val="none"/>
          <w:lang w:val="en-US" w:eastAsia="zh-CN"/>
        </w:rPr>
        <w:t>1.45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3</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2.60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709BF2A">
      <w:pPr>
        <w:pStyle w:val="2"/>
        <w:rPr>
          <w:rFonts w:hint="eastAsia" w:eastAsiaTheme="minorEastAsia"/>
          <w:lang w:eastAsia="zh-CN"/>
        </w:rPr>
      </w:pPr>
      <w:r>
        <w:rPr>
          <w:rFonts w:hint="eastAsia" w:eastAsiaTheme="minorEastAsia"/>
          <w:lang w:eastAsia="zh-CN"/>
        </w:rPr>
        <w:drawing>
          <wp:inline distT="0" distB="0" distL="114300" distR="114300">
            <wp:extent cx="6158865" cy="2731135"/>
            <wp:effectExtent l="0" t="0" r="635" b="1206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7"/>
                    <a:stretch>
                      <a:fillRect/>
                    </a:stretch>
                  </pic:blipFill>
                  <pic:spPr>
                    <a:xfrm>
                      <a:off x="0" y="0"/>
                      <a:ext cx="6158865" cy="2731135"/>
                    </a:xfrm>
                    <a:prstGeom prst="rect">
                      <a:avLst/>
                    </a:prstGeom>
                    <a:extLst>
                      <wpswe:webExtensionRef xmlns:wpswe="http://www.wps.cn/officeDocument/2018/webExtension" r:id="rId16"/>
                    </a:extLst>
                  </pic:spPr>
                </pic:pic>
              </a:graphicData>
            </a:graphic>
          </wp:inline>
        </w:drawing>
      </w:r>
    </w:p>
    <w:p w14:paraId="58BA5B4F">
      <w:pPr>
        <w:spacing w:line="600" w:lineRule="exact"/>
        <w:ind w:firstLine="643" w:firstLineChars="200"/>
        <w:outlineLvl w:val="2"/>
        <w:rPr>
          <w:rFonts w:ascii="仿宋" w:hAnsi="仿宋" w:eastAsia="仿宋"/>
          <w:b/>
          <w:color w:val="auto"/>
          <w:sz w:val="32"/>
          <w:szCs w:val="32"/>
          <w:highlight w:val="none"/>
        </w:rPr>
      </w:pPr>
      <w:bookmarkStart w:id="1" w:name="_Toc15377214"/>
      <w:r>
        <w:rPr>
          <w:rFonts w:hint="eastAsia" w:ascii="仿宋" w:hAnsi="仿宋" w:eastAsia="仿宋"/>
          <w:b/>
          <w:color w:val="auto"/>
          <w:sz w:val="32"/>
          <w:szCs w:val="32"/>
          <w:highlight w:val="none"/>
        </w:rPr>
        <w:t>（三）一般公共预算财政拨款支出决算具体情况</w:t>
      </w:r>
    </w:p>
    <w:p w14:paraId="4A7EFE9C">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度一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781.95</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p>
    <w:p w14:paraId="231661AE">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教育（类）</w:t>
      </w:r>
      <w:r>
        <w:rPr>
          <w:rStyle w:val="16"/>
          <w:rFonts w:hint="eastAsia" w:ascii="仿宋" w:hAnsi="仿宋" w:eastAsia="仿宋"/>
          <w:bCs/>
          <w:color w:val="auto"/>
          <w:sz w:val="32"/>
          <w:szCs w:val="32"/>
          <w:highlight w:val="none"/>
          <w:lang w:eastAsia="zh-CN"/>
        </w:rPr>
        <w:t>普通教育</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学前教育</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721.74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w:t>
      </w:r>
      <w:r>
        <w:rPr>
          <w:rStyle w:val="16"/>
          <w:rFonts w:hint="eastAsia" w:ascii="仿宋" w:hAnsi="仿宋" w:eastAsia="仿宋"/>
          <w:b w:val="0"/>
          <w:bCs/>
          <w:color w:val="auto"/>
          <w:sz w:val="32"/>
          <w:szCs w:val="32"/>
          <w:highlight w:val="none"/>
          <w:lang w:eastAsia="zh-CN"/>
        </w:rPr>
        <w:t>无</w:t>
      </w:r>
      <w:r>
        <w:rPr>
          <w:rStyle w:val="16"/>
          <w:rFonts w:hint="eastAsia" w:ascii="仿宋" w:hAnsi="仿宋" w:eastAsia="仿宋"/>
          <w:b w:val="0"/>
          <w:bCs/>
          <w:color w:val="auto"/>
          <w:sz w:val="32"/>
          <w:szCs w:val="32"/>
          <w:highlight w:val="none"/>
        </w:rPr>
        <w:t>。</w:t>
      </w:r>
    </w:p>
    <w:p w14:paraId="5C0C5A95">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行政事业单位养老支出、其他社会保障就业支出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机关事业单位养老保险缴费支出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27.69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w:t>
      </w:r>
      <w:r>
        <w:rPr>
          <w:rStyle w:val="16"/>
          <w:rFonts w:hint="eastAsia" w:ascii="仿宋" w:hAnsi="仿宋" w:eastAsia="仿宋"/>
          <w:b w:val="0"/>
          <w:bCs/>
          <w:color w:val="auto"/>
          <w:sz w:val="32"/>
          <w:szCs w:val="32"/>
          <w:highlight w:val="none"/>
          <w:lang w:eastAsia="zh-CN"/>
        </w:rPr>
        <w:t>无</w:t>
      </w:r>
      <w:r>
        <w:rPr>
          <w:rStyle w:val="16"/>
          <w:rFonts w:hint="eastAsia" w:ascii="仿宋" w:hAnsi="仿宋" w:eastAsia="仿宋"/>
          <w:b w:val="0"/>
          <w:bCs/>
          <w:color w:val="auto"/>
          <w:sz w:val="32"/>
          <w:szCs w:val="32"/>
          <w:highlight w:val="none"/>
        </w:rPr>
        <w:t>。</w:t>
      </w:r>
    </w:p>
    <w:p w14:paraId="51F28BFB">
      <w:pPr>
        <w:spacing w:line="600" w:lineRule="exact"/>
        <w:ind w:firstLine="643" w:firstLineChars="200"/>
      </w:pPr>
      <w:r>
        <w:rPr>
          <w:rStyle w:val="16"/>
          <w:rFonts w:hint="eastAsia" w:ascii="仿宋" w:hAnsi="仿宋" w:eastAsia="仿宋"/>
          <w:bCs/>
          <w:color w:val="auto"/>
          <w:sz w:val="32"/>
          <w:szCs w:val="32"/>
          <w:highlight w:val="none"/>
          <w:lang w:val="en-US" w:eastAsia="zh-CN"/>
        </w:rPr>
        <w:t>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、其他社会保障就业支出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1.49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w:t>
      </w:r>
      <w:r>
        <w:rPr>
          <w:rStyle w:val="16"/>
          <w:rFonts w:hint="eastAsia" w:ascii="仿宋" w:hAnsi="仿宋" w:eastAsia="仿宋"/>
          <w:b w:val="0"/>
          <w:bCs/>
          <w:color w:val="auto"/>
          <w:sz w:val="32"/>
          <w:szCs w:val="32"/>
          <w:highlight w:val="none"/>
          <w:lang w:eastAsia="zh-CN"/>
        </w:rPr>
        <w:t>无</w:t>
      </w:r>
      <w:r>
        <w:rPr>
          <w:rStyle w:val="16"/>
          <w:rFonts w:hint="eastAsia" w:ascii="仿宋" w:hAnsi="仿宋" w:eastAsia="仿宋"/>
          <w:b w:val="0"/>
          <w:bCs/>
          <w:color w:val="auto"/>
          <w:sz w:val="32"/>
          <w:szCs w:val="32"/>
          <w:highlight w:val="none"/>
        </w:rPr>
        <w:t>。</w:t>
      </w:r>
    </w:p>
    <w:p w14:paraId="095CA08F">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事业单位医疗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11.31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w:t>
      </w:r>
      <w:r>
        <w:rPr>
          <w:rStyle w:val="16"/>
          <w:rFonts w:hint="eastAsia" w:ascii="仿宋" w:hAnsi="仿宋" w:eastAsia="仿宋"/>
          <w:b w:val="0"/>
          <w:bCs/>
          <w:color w:val="auto"/>
          <w:sz w:val="32"/>
          <w:szCs w:val="32"/>
          <w:highlight w:val="none"/>
          <w:lang w:eastAsia="zh-CN"/>
        </w:rPr>
        <w:t>无</w:t>
      </w:r>
      <w:r>
        <w:rPr>
          <w:rStyle w:val="16"/>
          <w:rFonts w:hint="eastAsia" w:ascii="仿宋" w:hAnsi="仿宋" w:eastAsia="仿宋"/>
          <w:b w:val="0"/>
          <w:bCs/>
          <w:color w:val="auto"/>
          <w:sz w:val="32"/>
          <w:szCs w:val="32"/>
          <w:highlight w:val="none"/>
        </w:rPr>
        <w:t>。</w:t>
      </w:r>
    </w:p>
    <w:p w14:paraId="79A82261">
      <w:pPr>
        <w:spacing w:line="600" w:lineRule="exact"/>
        <w:ind w:firstLine="643" w:firstLineChars="200"/>
        <w:rPr>
          <w:rFonts w:hint="eastAsia" w:eastAsia="仿宋"/>
          <w:lang w:eastAsia="zh-CN"/>
        </w:rPr>
      </w:pPr>
      <w:r>
        <w:rPr>
          <w:rStyle w:val="16"/>
          <w:rFonts w:hint="eastAsia" w:ascii="仿宋" w:hAnsi="仿宋" w:eastAsia="仿宋"/>
          <w:bCs/>
          <w:color w:val="auto"/>
          <w:sz w:val="32"/>
          <w:szCs w:val="32"/>
          <w:lang w:val="en-US" w:eastAsia="zh-CN"/>
        </w:rPr>
        <w:t>6</w:t>
      </w:r>
      <w:r>
        <w:rPr>
          <w:rStyle w:val="16"/>
          <w:rFonts w:hint="eastAsia" w:ascii="仿宋" w:hAnsi="仿宋" w:eastAsia="仿宋"/>
          <w:bCs/>
          <w:color w:val="auto"/>
          <w:sz w:val="32"/>
          <w:szCs w:val="32"/>
        </w:rPr>
        <w:t>.</w:t>
      </w:r>
      <w:r>
        <w:rPr>
          <w:rFonts w:hint="eastAsia" w:ascii="仿宋" w:hAnsi="仿宋" w:eastAsia="仿宋"/>
          <w:bCs/>
          <w:color w:val="000000"/>
          <w:sz w:val="32"/>
          <w:szCs w:val="32"/>
        </w:rPr>
        <w:t xml:space="preserve"> </w:t>
      </w:r>
      <w:r>
        <w:rPr>
          <w:rFonts w:hint="eastAsia" w:ascii="仿宋" w:hAnsi="仿宋" w:eastAsia="仿宋"/>
          <w:b/>
          <w:bCs/>
          <w:color w:val="000000"/>
          <w:sz w:val="32"/>
          <w:szCs w:val="32"/>
        </w:rPr>
        <w:t>住房保障支出</w:t>
      </w:r>
      <w:r>
        <w:rPr>
          <w:rStyle w:val="16"/>
          <w:rFonts w:hint="eastAsia" w:ascii="仿宋" w:hAnsi="仿宋" w:eastAsia="仿宋"/>
          <w:color w:val="000000"/>
          <w:sz w:val="32"/>
          <w:szCs w:val="32"/>
        </w:rPr>
        <w:t xml:space="preserve">（类）住房改革支出（款）住房公积金（项）: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sz w:val="32"/>
          <w:szCs w:val="32"/>
          <w:lang w:val="en-US" w:eastAsia="zh-CN"/>
        </w:rPr>
        <w:t>20.32</w:t>
      </w:r>
      <w:r>
        <w:rPr>
          <w:rStyle w:val="16"/>
          <w:rFonts w:hint="eastAsia" w:ascii="仿宋" w:hAnsi="仿宋" w:eastAsia="仿宋"/>
          <w:b w:val="0"/>
          <w:bCs/>
          <w:color w:val="000000"/>
          <w:sz w:val="32"/>
          <w:szCs w:val="32"/>
        </w:rPr>
        <w:t>万元，完成预算10</w:t>
      </w:r>
      <w:r>
        <w:rPr>
          <w:rStyle w:val="16"/>
          <w:rFonts w:ascii="仿宋" w:hAnsi="仿宋" w:eastAsia="仿宋"/>
          <w:b w:val="0"/>
          <w:bCs/>
          <w:color w:val="000000"/>
          <w:sz w:val="32"/>
          <w:szCs w:val="32"/>
        </w:rPr>
        <w:t>0</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auto"/>
          <w:sz w:val="32"/>
          <w:szCs w:val="32"/>
          <w:highlight w:val="none"/>
        </w:rPr>
        <w:t>决算数等于预算数的主要原因</w:t>
      </w:r>
      <w:r>
        <w:rPr>
          <w:rStyle w:val="16"/>
          <w:rFonts w:hint="eastAsia" w:ascii="仿宋" w:hAnsi="仿宋" w:eastAsia="仿宋"/>
          <w:b w:val="0"/>
          <w:bCs/>
          <w:color w:val="auto"/>
          <w:sz w:val="32"/>
          <w:szCs w:val="32"/>
          <w:highlight w:val="none"/>
          <w:lang w:eastAsia="zh-CN"/>
        </w:rPr>
        <w:t>无</w:t>
      </w:r>
      <w:r>
        <w:rPr>
          <w:rStyle w:val="16"/>
          <w:rFonts w:hint="eastAsia" w:ascii="仿宋" w:hAnsi="仿宋" w:eastAsia="仿宋"/>
          <w:b w:val="0"/>
          <w:bCs/>
          <w:color w:val="auto"/>
          <w:sz w:val="32"/>
          <w:szCs w:val="32"/>
          <w:highlight w:val="none"/>
        </w:rPr>
        <w:t>。</w:t>
      </w:r>
    </w:p>
    <w:bookmarkEnd w:id="1"/>
    <w:p w14:paraId="05F77330">
      <w:pPr>
        <w:tabs>
          <w:tab w:val="right" w:pos="8306"/>
        </w:tabs>
        <w:spacing w:line="600" w:lineRule="exact"/>
        <w:ind w:firstLine="640"/>
        <w:outlineLvl w:val="1"/>
        <w:rPr>
          <w:rStyle w:val="27"/>
          <w:color w:val="auto"/>
          <w:highlight w:val="none"/>
        </w:rPr>
      </w:pPr>
      <w:bookmarkStart w:id="2" w:name="_Toc19089870"/>
      <w:bookmarkStart w:id="3" w:name="_Toc15377215"/>
      <w:bookmarkStart w:id="4" w:name="_Toc19089873"/>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r>
        <w:rPr>
          <w:rStyle w:val="27"/>
          <w:rFonts w:ascii="黑体" w:hAnsi="黑体" w:eastAsia="黑体"/>
          <w:b w:val="0"/>
          <w:color w:val="auto"/>
          <w:highlight w:val="none"/>
        </w:rPr>
        <w:tab/>
      </w:r>
    </w:p>
    <w:p w14:paraId="6E91D106">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508.14</w:t>
      </w:r>
      <w:r>
        <w:rPr>
          <w:rFonts w:hint="eastAsia" w:ascii="仿宋" w:hAnsi="仿宋" w:eastAsia="仿宋"/>
          <w:color w:val="auto"/>
          <w:sz w:val="32"/>
          <w:szCs w:val="32"/>
          <w:highlight w:val="none"/>
        </w:rPr>
        <w:t>万元，其中：</w:t>
      </w:r>
    </w:p>
    <w:p w14:paraId="36E45660">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230.99</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2EE33D56">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277.15</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0D6158B">
      <w:pPr>
        <w:spacing w:line="600" w:lineRule="exact"/>
        <w:ind w:firstLine="640"/>
        <w:outlineLvl w:val="1"/>
        <w:rPr>
          <w:rStyle w:val="27"/>
          <w:rFonts w:ascii="黑体" w:hAnsi="黑体" w:eastAsia="黑体"/>
          <w:b w:val="0"/>
          <w:color w:val="auto"/>
          <w:highlight w:val="none"/>
        </w:rPr>
      </w:pPr>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p>
    <w:p w14:paraId="598C7E7B">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（一）“三公”经费财政拨款支出决算总体情况说明</w:t>
      </w:r>
    </w:p>
    <w:p w14:paraId="78054530">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决算数与预算数持平的主要原因是</w:t>
      </w:r>
      <w:r>
        <w:rPr>
          <w:rFonts w:hint="eastAsia" w:ascii="仿宋" w:hAnsi="仿宋" w:eastAsia="仿宋"/>
          <w:color w:val="000000"/>
          <w:sz w:val="32"/>
          <w:szCs w:val="32"/>
        </w:rPr>
        <w:t>主要原因是未预算此项资金，年度也未发生公务接待活动</w:t>
      </w:r>
      <w:r>
        <w:rPr>
          <w:rFonts w:hint="eastAsia" w:ascii="仿宋" w:hAnsi="仿宋" w:eastAsia="仿宋"/>
          <w:color w:val="auto"/>
          <w:sz w:val="32"/>
          <w:szCs w:val="32"/>
          <w:highlight w:val="none"/>
        </w:rPr>
        <w:t>。</w:t>
      </w:r>
    </w:p>
    <w:p w14:paraId="170071B0">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p>
    <w:p w14:paraId="66A23C47">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55DDDA5">
      <w:pPr>
        <w:pStyle w:val="2"/>
      </w:pPr>
    </w:p>
    <w:p w14:paraId="7568304A">
      <w:pPr>
        <w:spacing w:line="240" w:lineRule="auto"/>
        <w:ind w:firstLine="640"/>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drawing>
          <wp:inline distT="0" distB="0" distL="114300" distR="114300">
            <wp:extent cx="4916170" cy="2765425"/>
            <wp:effectExtent l="0" t="0" r="17780" b="15875"/>
            <wp:docPr id="10" name="图片 10" descr="847eb350-7bf0-4b9d-b5a6-b3cc31fc2c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47eb350-7bf0-4b9d-b5a6-b3cc31fc2cd6"/>
                    <pic:cNvPicPr>
                      <a:picLocks noChangeAspect="1"/>
                    </pic:cNvPicPr>
                  </pic:nvPicPr>
                  <pic:blipFill>
                    <a:blip r:embed="rId18"/>
                    <a:stretch>
                      <a:fillRect/>
                    </a:stretch>
                  </pic:blipFill>
                  <pic:spPr>
                    <a:xfrm>
                      <a:off x="0" y="0"/>
                      <a:ext cx="4916170" cy="2765425"/>
                    </a:xfrm>
                    <a:prstGeom prst="rect">
                      <a:avLst/>
                    </a:prstGeom>
                  </pic:spPr>
                </pic:pic>
              </a:graphicData>
            </a:graphic>
          </wp:inline>
        </w:drawing>
      </w:r>
    </w:p>
    <w:p w14:paraId="1992C2DE">
      <w:pPr>
        <w:snapToGrid w:val="0"/>
        <w:spacing w:line="540" w:lineRule="exact"/>
        <w:ind w:firstLine="645"/>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1.因公出国（境）经费支出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Style w:val="16"/>
          <w:rFonts w:hint="eastAsia" w:ascii="仿宋" w:hAnsi="仿宋" w:eastAsia="仿宋" w:cs="仿宋"/>
          <w:b w:val="0"/>
          <w:bCs/>
          <w:color w:val="auto"/>
          <w:sz w:val="32"/>
          <w:szCs w:val="32"/>
          <w:highlight w:val="none"/>
        </w:rPr>
        <w:t>完成预算</w:t>
      </w:r>
      <w:r>
        <w:rPr>
          <w:rStyle w:val="16"/>
          <w:rFonts w:hint="eastAsia" w:ascii="仿宋" w:hAnsi="仿宋" w:eastAsia="仿宋" w:cs="仿宋"/>
          <w:b w:val="0"/>
          <w:bCs/>
          <w:color w:val="auto"/>
          <w:sz w:val="32"/>
          <w:szCs w:val="32"/>
          <w:highlight w:val="none"/>
          <w:lang w:val="en-US" w:eastAsia="zh-CN"/>
        </w:rPr>
        <w:t>0</w:t>
      </w:r>
      <w:r>
        <w:rPr>
          <w:rStyle w:val="16"/>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全年安排因公出国（境）团组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次，出国（境）</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人。因公出国（境）</w:t>
      </w:r>
      <w:r>
        <w:rPr>
          <w:rFonts w:hint="eastAsia" w:ascii="仿宋" w:hAnsi="仿宋" w:eastAsia="仿宋" w:cs="仿宋"/>
          <w:color w:val="000000"/>
          <w:sz w:val="32"/>
          <w:szCs w:val="32"/>
        </w:rPr>
        <w:t>主要原因是当年未安排因公出国（境）支出预算，无因公出国（境）支出。</w:t>
      </w:r>
    </w:p>
    <w:p w14:paraId="784DDD8C">
      <w:pPr>
        <w:spacing w:line="600" w:lineRule="exact"/>
        <w:ind w:firstLine="64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2.公务用车购置及运行维护费支出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Style w:val="16"/>
          <w:rFonts w:hint="eastAsia" w:ascii="仿宋" w:hAnsi="仿宋" w:eastAsia="仿宋" w:cs="仿宋"/>
          <w:b w:val="0"/>
          <w:bCs/>
          <w:color w:val="auto"/>
          <w:sz w:val="32"/>
          <w:szCs w:val="32"/>
          <w:highlight w:val="none"/>
        </w:rPr>
        <w:t>完成预算</w:t>
      </w:r>
      <w:r>
        <w:rPr>
          <w:rStyle w:val="16"/>
          <w:rFonts w:hint="eastAsia" w:ascii="仿宋" w:hAnsi="仿宋" w:eastAsia="仿宋" w:cs="仿宋"/>
          <w:b w:val="0"/>
          <w:bCs/>
          <w:color w:val="auto"/>
          <w:sz w:val="32"/>
          <w:szCs w:val="32"/>
          <w:highlight w:val="none"/>
          <w:lang w:val="en-US" w:eastAsia="zh-CN"/>
        </w:rPr>
        <w:t>0</w:t>
      </w:r>
      <w:r>
        <w:rPr>
          <w:rStyle w:val="16"/>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公</w:t>
      </w:r>
      <w:r>
        <w:rPr>
          <w:rFonts w:hint="eastAsia" w:ascii="仿宋" w:hAnsi="仿宋" w:eastAsia="仿宋" w:cs="仿宋"/>
          <w:color w:val="000000"/>
          <w:sz w:val="32"/>
          <w:szCs w:val="32"/>
        </w:rPr>
        <w:t>用车购置及运行维护费支出决算比决算数较2020年持平。主要原因是无公务用车购置及运行维护费支出。</w:t>
      </w:r>
    </w:p>
    <w:p w14:paraId="32F79416">
      <w:pPr>
        <w:spacing w:line="600" w:lineRule="exact"/>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其中：</w:t>
      </w:r>
      <w:r>
        <w:rPr>
          <w:rFonts w:hint="eastAsia" w:ascii="仿宋" w:hAnsi="仿宋" w:eastAsia="仿宋" w:cs="仿宋"/>
          <w:b/>
          <w:color w:val="auto"/>
          <w:sz w:val="32"/>
          <w:szCs w:val="32"/>
          <w:highlight w:val="none"/>
        </w:rPr>
        <w:t>公务用车购置支出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万元。全年按规定更新购置公务用车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辆，其中：轿车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辆、金额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万元，越野车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辆、金额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万元，载客汽车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辆、金额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万元，主要用于</w:t>
      </w:r>
      <w:r>
        <w:rPr>
          <w:rFonts w:hint="eastAsia" w:ascii="仿宋" w:hAnsi="仿宋" w:eastAsia="仿宋" w:cs="仿宋"/>
          <w:color w:val="000000"/>
          <w:sz w:val="32"/>
          <w:szCs w:val="32"/>
        </w:rPr>
        <w:t>公务用车的燃料费、维修费、过路过桥费、保险费等支出</w:t>
      </w:r>
      <w:r>
        <w:rPr>
          <w:rFonts w:hint="eastAsia" w:ascii="仿宋" w:hAnsi="仿宋" w:eastAsia="仿宋" w:cs="仿宋"/>
          <w:color w:val="auto"/>
          <w:sz w:val="32"/>
          <w:szCs w:val="32"/>
          <w:highlight w:val="none"/>
        </w:rPr>
        <w:t>。截至</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年12月</w:t>
      </w:r>
      <w:r>
        <w:rPr>
          <w:rFonts w:hint="eastAsia" w:ascii="仿宋" w:hAnsi="仿宋" w:eastAsia="仿宋" w:cs="仿宋"/>
          <w:color w:val="auto"/>
          <w:sz w:val="32"/>
          <w:szCs w:val="32"/>
          <w:highlight w:val="none"/>
          <w:lang w:val="en-US" w:eastAsia="zh-CN"/>
        </w:rPr>
        <w:t>31日</w:t>
      </w:r>
      <w:r>
        <w:rPr>
          <w:rFonts w:hint="eastAsia" w:ascii="仿宋" w:hAnsi="仿宋" w:eastAsia="仿宋" w:cs="仿宋"/>
          <w:color w:val="auto"/>
          <w:sz w:val="32"/>
          <w:szCs w:val="32"/>
          <w:highlight w:val="none"/>
        </w:rPr>
        <w:t>，单位共有公务用车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辆，其中：轿车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辆、越野车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辆、载客汽车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w:t>
      </w:r>
    </w:p>
    <w:p w14:paraId="0D8B3312">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公务用车运行维护费支出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万元。主要用于等所需的公务用车燃料费、维修费、过路过桥费、保险费等支出。</w:t>
      </w:r>
    </w:p>
    <w:p w14:paraId="7B1BAEF6">
      <w:pPr>
        <w:snapToGrid w:val="0"/>
        <w:spacing w:line="540" w:lineRule="exact"/>
        <w:ind w:firstLine="645"/>
        <w:rPr>
          <w:rFonts w:hint="eastAsia" w:ascii="仿宋" w:hAnsi="仿宋" w:eastAsia="仿宋" w:cs="仿宋"/>
          <w:color w:val="000000"/>
          <w:sz w:val="32"/>
          <w:szCs w:val="32"/>
        </w:rPr>
      </w:pPr>
      <w:r>
        <w:rPr>
          <w:rFonts w:hint="eastAsia" w:ascii="仿宋" w:hAnsi="仿宋" w:eastAsia="仿宋" w:cs="仿宋"/>
          <w:b/>
          <w:color w:val="auto"/>
          <w:sz w:val="32"/>
          <w:szCs w:val="32"/>
          <w:highlight w:val="none"/>
        </w:rPr>
        <w:t>3.公务接待费支出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Style w:val="16"/>
          <w:rFonts w:hint="eastAsia" w:ascii="仿宋" w:hAnsi="仿宋" w:eastAsia="仿宋" w:cs="仿宋"/>
          <w:b w:val="0"/>
          <w:bCs/>
          <w:color w:val="auto"/>
          <w:sz w:val="32"/>
          <w:szCs w:val="32"/>
          <w:highlight w:val="none"/>
        </w:rPr>
        <w:t>完成预算</w:t>
      </w:r>
      <w:r>
        <w:rPr>
          <w:rStyle w:val="16"/>
          <w:rFonts w:hint="eastAsia" w:ascii="仿宋" w:hAnsi="仿宋" w:eastAsia="仿宋" w:cs="仿宋"/>
          <w:b w:val="0"/>
          <w:bCs/>
          <w:color w:val="auto"/>
          <w:sz w:val="32"/>
          <w:szCs w:val="32"/>
          <w:highlight w:val="none"/>
          <w:lang w:val="en-US" w:eastAsia="zh-CN"/>
        </w:rPr>
        <w:t>0</w:t>
      </w:r>
      <w:r>
        <w:rPr>
          <w:rStyle w:val="16"/>
          <w:rFonts w:hint="eastAsia" w:ascii="仿宋" w:hAnsi="仿宋" w:eastAsia="仿宋" w:cs="仿宋"/>
          <w:b w:val="0"/>
          <w:bCs/>
          <w:color w:val="auto"/>
          <w:sz w:val="32"/>
          <w:szCs w:val="32"/>
          <w:highlight w:val="none"/>
        </w:rPr>
        <w:t>%。。</w:t>
      </w:r>
      <w:r>
        <w:rPr>
          <w:rFonts w:hint="eastAsia" w:ascii="仿宋" w:hAnsi="仿宋" w:eastAsia="仿宋" w:cs="仿宋"/>
          <w:color w:val="000000"/>
          <w:sz w:val="32"/>
          <w:szCs w:val="32"/>
        </w:rPr>
        <w:t>主要原因是未预算此项资金，年度也未发生公务接待活动。外事接待支出0.00万元，外事接待0批次0人，共计支出0.00万元。</w:t>
      </w:r>
    </w:p>
    <w:p w14:paraId="3D69CF0A">
      <w:pPr>
        <w:snapToGrid w:val="0"/>
        <w:spacing w:line="540" w:lineRule="exact"/>
        <w:ind w:firstLine="645"/>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国内公务接待支出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万元，主要用于(执行公务、开展业务活动开支的交通费、住宿费、用餐费等)。国内公务接待</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批次，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人次（不包括陪同人员），共计支出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000000"/>
          <w:sz w:val="32"/>
          <w:szCs w:val="32"/>
        </w:rPr>
        <w:t>主要原因是未预算此项资金，年度也未发生公务接待活动。外事接待支出0.00万元，外事接待0批次0人，共计支出0.00万元。</w:t>
      </w:r>
    </w:p>
    <w:p w14:paraId="58A92C80">
      <w:pPr>
        <w:spacing w:line="600" w:lineRule="exact"/>
        <w:ind w:firstLine="643" w:firstLineChars="200"/>
        <w:rPr>
          <w:rFonts w:hint="eastAsia" w:ascii="仿宋" w:hAnsi="仿宋" w:eastAsia="仿宋" w:cs="仿宋"/>
          <w:sz w:val="32"/>
          <w:szCs w:val="32"/>
        </w:rPr>
      </w:pPr>
      <w:r>
        <w:rPr>
          <w:rFonts w:hint="eastAsia" w:ascii="仿宋" w:hAnsi="仿宋" w:eastAsia="仿宋" w:cs="仿宋"/>
          <w:b/>
          <w:color w:val="auto"/>
          <w:sz w:val="32"/>
          <w:szCs w:val="32"/>
          <w:highlight w:val="none"/>
        </w:rPr>
        <w:t>外事接待支出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万元，外事接待</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批次，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人，共计支出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000000"/>
          <w:sz w:val="32"/>
          <w:szCs w:val="32"/>
        </w:rPr>
        <w:t>主要原因是未预算此项资金，年度也未发生</w:t>
      </w:r>
      <w:r>
        <w:rPr>
          <w:rFonts w:hint="eastAsia" w:ascii="仿宋" w:hAnsi="仿宋" w:eastAsia="仿宋" w:cs="仿宋"/>
          <w:color w:val="000000"/>
          <w:sz w:val="32"/>
          <w:szCs w:val="32"/>
          <w:lang w:eastAsia="zh-CN"/>
        </w:rPr>
        <w:t>外事</w:t>
      </w:r>
      <w:r>
        <w:rPr>
          <w:rFonts w:hint="eastAsia" w:ascii="仿宋" w:hAnsi="仿宋" w:eastAsia="仿宋" w:cs="仿宋"/>
          <w:color w:val="000000"/>
          <w:sz w:val="32"/>
          <w:szCs w:val="32"/>
        </w:rPr>
        <w:t>接待活动。</w:t>
      </w:r>
    </w:p>
    <w:bookmarkEnd w:id="2"/>
    <w:bookmarkEnd w:id="3"/>
    <w:p w14:paraId="310585AF">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p>
    <w:p w14:paraId="0CC77491">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8CAA9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7"/>
          <w:rFonts w:ascii="黑体" w:hAnsi="黑体" w:eastAsia="黑体"/>
          <w:b w:val="0"/>
          <w:color w:val="auto"/>
          <w:highlight w:val="none"/>
        </w:rPr>
      </w:pPr>
      <w:r>
        <w:rPr>
          <w:rStyle w:val="27"/>
          <w:rFonts w:hint="eastAsia" w:ascii="黑体" w:hAnsi="黑体" w:eastAsia="黑体"/>
          <w:b w:val="0"/>
          <w:color w:val="auto"/>
          <w:highlight w:val="none"/>
          <w:lang w:eastAsia="zh-CN"/>
        </w:rPr>
        <w:t>九、</w:t>
      </w:r>
      <w:r>
        <w:rPr>
          <w:rStyle w:val="27"/>
          <w:rFonts w:hint="eastAsia" w:ascii="黑体" w:hAnsi="黑体" w:eastAsia="黑体"/>
          <w:b w:val="0"/>
          <w:color w:val="auto"/>
          <w:highlight w:val="none"/>
        </w:rPr>
        <w:t>国有资本经营预算支出决算情况说明</w:t>
      </w:r>
    </w:p>
    <w:p w14:paraId="744F806A">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bookmarkEnd w:id="4"/>
    <w:p w14:paraId="2DF61A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lang w:eastAsia="zh-CN"/>
        </w:rPr>
        <w:t>十、</w:t>
      </w:r>
      <w:r>
        <w:rPr>
          <w:rStyle w:val="27"/>
          <w:rFonts w:hint="eastAsia" w:ascii="黑体" w:hAnsi="黑体" w:eastAsia="黑体"/>
          <w:b w:val="0"/>
          <w:color w:val="auto"/>
          <w:highlight w:val="none"/>
        </w:rPr>
        <w:t>其他重要事项的情况说明</w:t>
      </w:r>
    </w:p>
    <w:p w14:paraId="62915003">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（一）机关运行经费支出情况</w:t>
      </w:r>
    </w:p>
    <w:p w14:paraId="00573EAB">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广元市利州区东坝幼儿园</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当年未预算此项经费。</w:t>
      </w:r>
    </w:p>
    <w:p w14:paraId="52DDA95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p>
    <w:p w14:paraId="61FDDAFA">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利州区东坝幼儿园</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099B5293">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p>
    <w:p w14:paraId="01CCDE19">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利州区东坝幼儿园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w:t>
      </w:r>
      <w:r>
        <w:rPr>
          <w:rFonts w:hint="eastAsia" w:ascii="仿宋_GB2312" w:eastAsia="仿宋_GB2312"/>
          <w:color w:val="auto"/>
          <w:sz w:val="32"/>
          <w:szCs w:val="32"/>
          <w:highlight w:val="none"/>
          <w:lang w:eastAsia="zh-CN"/>
        </w:rPr>
        <w:t>于</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69F339A9">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4A69E646">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预算编制阶段，组织对</w:t>
      </w:r>
      <w:r>
        <w:rPr>
          <w:rFonts w:hint="eastAsia" w:ascii="仿宋_GB2312" w:hAnsi="Times New Roman" w:eastAsia="仿宋_GB2312" w:cs="Times New Roman"/>
          <w:color w:val="auto"/>
          <w:sz w:val="32"/>
          <w:szCs w:val="32"/>
          <w:highlight w:val="none"/>
          <w:lang w:val="en-US" w:eastAsia="zh-CN"/>
        </w:rPr>
        <w:t>保教费</w:t>
      </w:r>
      <w:r>
        <w:rPr>
          <w:rFonts w:hint="eastAsia" w:ascii="仿宋_GB2312" w:hAnsi="Times New Roman" w:eastAsia="仿宋_GB2312" w:cs="Times New Roman"/>
          <w:color w:val="auto"/>
          <w:sz w:val="32"/>
          <w:szCs w:val="32"/>
          <w:highlight w:val="none"/>
          <w:lang w:eastAsia="zh-CN"/>
        </w:rPr>
        <w:t>项目（项目名称）等</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个项目开展绩效自评，绩效自评表详见第四部分附件。</w:t>
      </w:r>
    </w:p>
    <w:p w14:paraId="67971086">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14C1979C">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7BC22C44">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6CA22F47">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0BB87660">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3DCFC9E5">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44931A8D">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5D1A13C2">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31BEE558">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3B816877">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7B12E3AA">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6FA2E791">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4A48BE9B">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28D57855">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6E8B64E4">
      <w:pPr>
        <w:pStyle w:val="2"/>
        <w:rPr>
          <w:rFonts w:hint="eastAsia" w:ascii="仿宋_GB2312" w:hAnsi="仿宋_GB2312" w:eastAsia="仿宋_GB2312" w:cs="仿宋_GB2312"/>
          <w:color w:val="auto"/>
          <w:sz w:val="32"/>
          <w:szCs w:val="32"/>
          <w:highlight w:val="none"/>
        </w:rPr>
      </w:pPr>
    </w:p>
    <w:p w14:paraId="4AEBC93E">
      <w:pPr>
        <w:numPr>
          <w:ilvl w:val="0"/>
          <w:numId w:val="2"/>
        </w:numPr>
        <w:spacing w:line="600" w:lineRule="exact"/>
        <w:ind w:firstLine="660" w:firstLineChars="150"/>
        <w:jc w:val="center"/>
        <w:outlineLvl w:val="0"/>
        <w:rPr>
          <w:rStyle w:val="26"/>
          <w:rFonts w:ascii="黑体" w:hAnsi="黑体" w:eastAsia="黑体"/>
          <w:b w:val="0"/>
          <w:color w:val="auto"/>
          <w:highlight w:val="none"/>
        </w:rPr>
      </w:pPr>
      <w:bookmarkStart w:id="5" w:name="_Toc19089876"/>
      <w:bookmarkStart w:id="6" w:name="_Toc15377226"/>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p>
    <w:p w14:paraId="22043EC8">
      <w:pPr>
        <w:spacing w:line="600" w:lineRule="exact"/>
        <w:jc w:val="left"/>
        <w:rPr>
          <w:rFonts w:ascii="宋体"/>
          <w:b/>
          <w:color w:val="auto"/>
          <w:sz w:val="44"/>
          <w:szCs w:val="44"/>
          <w:highlight w:val="none"/>
        </w:rPr>
      </w:pPr>
    </w:p>
    <w:p w14:paraId="4923FCCC">
      <w:pPr>
        <w:pStyle w:val="24"/>
        <w:snapToGrid w:val="0"/>
        <w:spacing w:line="560" w:lineRule="exact"/>
        <w:ind w:firstLine="640" w:firstLineChars="200"/>
        <w:outlineLvl w:val="1"/>
        <w:rPr>
          <w:rFonts w:ascii="仿宋_GB2312" w:eastAsia="仿宋_GB2312"/>
          <w:color w:val="auto"/>
          <w:sz w:val="32"/>
          <w:szCs w:val="32"/>
        </w:rPr>
      </w:pPr>
      <w:bookmarkStart w:id="7" w:name="_Toc15680"/>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7"/>
    </w:p>
    <w:p w14:paraId="2096B086">
      <w:pPr>
        <w:pStyle w:val="24"/>
        <w:snapToGrid w:val="0"/>
        <w:spacing w:line="560" w:lineRule="exact"/>
        <w:ind w:firstLine="640" w:firstLineChars="200"/>
        <w:outlineLvl w:val="1"/>
        <w:rPr>
          <w:rFonts w:ascii="仿宋_GB2312" w:eastAsia="仿宋_GB2312"/>
          <w:color w:val="auto"/>
          <w:sz w:val="32"/>
          <w:szCs w:val="32"/>
        </w:rPr>
      </w:pPr>
      <w:bookmarkStart w:id="8" w:name="_Toc18447"/>
      <w:r>
        <w:rPr>
          <w:rFonts w:hint="eastAsia" w:ascii="仿宋_GB2312" w:eastAsia="仿宋_GB2312"/>
          <w:color w:val="auto"/>
          <w:sz w:val="32"/>
          <w:szCs w:val="32"/>
        </w:rPr>
        <w:t>2.事业收入：指事业单位开展专业业务活动及辅助活动取得的收入。</w:t>
      </w:r>
      <w:bookmarkEnd w:id="8"/>
    </w:p>
    <w:p w14:paraId="46905581">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14:paraId="7C221259">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14:paraId="5D19D410">
      <w:pPr>
        <w:pStyle w:val="24"/>
        <w:snapToGrid w:val="0"/>
        <w:spacing w:line="560" w:lineRule="exact"/>
        <w:ind w:firstLine="640" w:firstLineChars="200"/>
        <w:outlineLvl w:val="1"/>
        <w:rPr>
          <w:rFonts w:ascii="仿宋_GB2312" w:eastAsia="仿宋_GB2312"/>
          <w:color w:val="auto"/>
          <w:sz w:val="32"/>
          <w:szCs w:val="32"/>
        </w:rPr>
      </w:pPr>
      <w:bookmarkStart w:id="9" w:name="_Toc20496"/>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.年初结转和结余：指以前年度尚未完成、结转到本年按有关规定继续使用的资金。</w:t>
      </w:r>
      <w:bookmarkEnd w:id="9"/>
      <w:r>
        <w:rPr>
          <w:rFonts w:hint="eastAsia" w:ascii="仿宋_GB2312" w:eastAsia="仿宋_GB2312"/>
          <w:color w:val="auto"/>
          <w:sz w:val="32"/>
          <w:szCs w:val="32"/>
        </w:rPr>
        <w:t xml:space="preserve"> </w:t>
      </w:r>
    </w:p>
    <w:p w14:paraId="6CF17A03">
      <w:pPr>
        <w:pStyle w:val="24"/>
        <w:snapToGrid w:val="0"/>
        <w:spacing w:line="560" w:lineRule="exact"/>
        <w:ind w:firstLine="640" w:firstLineChars="200"/>
        <w:outlineLvl w:val="1"/>
        <w:rPr>
          <w:rFonts w:ascii="仿宋_GB2312" w:eastAsia="仿宋_GB2312"/>
          <w:color w:val="auto"/>
          <w:sz w:val="32"/>
          <w:szCs w:val="32"/>
        </w:rPr>
      </w:pPr>
      <w:bookmarkStart w:id="10" w:name="_Toc1650"/>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w:t>
      </w:r>
      <w:r>
        <w:rPr>
          <w:rFonts w:hint="eastAsia" w:ascii="仿宋_GB2312" w:eastAsia="仿宋_GB2312"/>
          <w:color w:val="auto"/>
          <w:sz w:val="32"/>
          <w:szCs w:val="32"/>
        </w:rPr>
        <w:t>年末结转和结余：指单位按有关规定结转到下年或以后年度继续使用的资金。</w:t>
      </w:r>
      <w:bookmarkEnd w:id="10"/>
    </w:p>
    <w:p w14:paraId="2610D20F">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.教育支出（类）教育管理事务（款）行政运行（项）:反映教育行政单位（包括实行公务员管理的事业单位）的基本支出</w:t>
      </w:r>
    </w:p>
    <w:p w14:paraId="3E0C9C6B">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 教育支出（类）教育管理事务（款）一般行政管理事务（项）:反映行政单位（包括实行公务员管理的事业单位）未单独设置项级科目的其它项目支出。</w:t>
      </w:r>
    </w:p>
    <w:p w14:paraId="34AD2E09">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 教育支出（类）教育管理事务（款）其它教育管理事务支出（项）:反映除上述项目以外其它用户教育管理事务方面的支出。</w:t>
      </w:r>
    </w:p>
    <w:p w14:paraId="10A6F6A4">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 教育支出（类）普通教育（款）学前教育（项）:反映各部门举办的学前教育支出。</w:t>
      </w:r>
    </w:p>
    <w:p w14:paraId="12B59935">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 教育支出（类）普通教育（款）小学教育（项）:反映各部门举办的小学教育支出。政府各部门对社会中介组织等举办的小学的资助，如各类捐赠、补贴等，也在本科目中反映。</w:t>
      </w:r>
    </w:p>
    <w:p w14:paraId="23EFC879">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 教育支出（类）普通教育（款）初中教育（项）: 反映各部门举办的初中教育支出。政府各部门对社会中介组织等举办的初中教育的资助，如捐赠、补贴等，也在本科目中反映。</w:t>
      </w:r>
    </w:p>
    <w:p w14:paraId="7D10F47C">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 教育支出（类）普通教育（款）高中教育（项）: 反映各部门举办的高级中学教育支出。政府各部门对社会中介组织等举办的高级中学的资助，如捐赠、补贴等，也在本科目中反映。</w:t>
      </w:r>
    </w:p>
    <w:p w14:paraId="5B9C5258">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 教育支出（类）普通教育（款）其它普通教育（项）: 反映除上述项目以外其他用于普通教育方面的支出。</w:t>
      </w:r>
    </w:p>
    <w:p w14:paraId="23D0A2B4">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 社会保障和就业支出（类）行政事业单位离退休（款）机关事业单位基本养老保险缴费支出（项）: 指机关事业单位实施养老保险制度由单位缴纳的基本养老保险费支出。</w:t>
      </w:r>
    </w:p>
    <w:p w14:paraId="76E724E2">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 社会保障和就业支出（类）行政事业单位离退休（款）机关事业单位职业年金缴费支出（项）: 指机关事业单位实施养老保险制度由单位实际缴纳的职业年金支出。</w:t>
      </w:r>
    </w:p>
    <w:p w14:paraId="3B8BC346">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 社会保障和就业支出（类）抚恤（款）死亡抚恤（项）: 指按规定用于烈士和牺牲、病故人员家属的一次性和定期抚恤金以及丧葬补助费。</w:t>
      </w:r>
    </w:p>
    <w:p w14:paraId="6DC14D6C">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6BFA7EF2">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14:paraId="7221AB0F">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 住房保障支出（类）住房改革支出（款）住房公积金（项）: 指行政事业单位按人力资源和社会保障部、财政部规定的基本工资和津贴补贴以及规定比例为职工缴纳的住房公积金。</w:t>
      </w:r>
    </w:p>
    <w:p w14:paraId="448866E2">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rPr>
        <w:t>. 其他支出（类）其他支出（款）其他支出（项）: 指上述项目以外其他不能划分到具体功能科目中的支出项目。</w:t>
      </w:r>
    </w:p>
    <w:p w14:paraId="6DC090B1">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hint="eastAsia" w:ascii="仿宋_GB2312" w:eastAsia="仿宋_GB2312"/>
          <w:color w:val="auto"/>
          <w:sz w:val="32"/>
          <w:szCs w:val="32"/>
        </w:rPr>
        <w:t>. 基本支出：指为保障机构正常运转、完成日常工作任务而发生的人员支出和公用支出。</w:t>
      </w:r>
    </w:p>
    <w:p w14:paraId="5BC8E6D4">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hint="eastAsia" w:ascii="仿宋_GB2312" w:eastAsia="仿宋_GB2312"/>
          <w:color w:val="auto"/>
          <w:sz w:val="32"/>
          <w:szCs w:val="32"/>
        </w:rPr>
        <w:t xml:space="preserve">. 项目支出：指在基本支出之外为完成特定行政任务和事业发展目标所发生的支出。 </w:t>
      </w:r>
    </w:p>
    <w:p w14:paraId="3E61ADE8">
      <w:pPr>
        <w:pStyle w:val="24"/>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hint="eastAsia" w:ascii="仿宋_GB2312" w:eastAsia="仿宋_GB2312"/>
          <w:color w:val="auto"/>
          <w:sz w:val="32"/>
          <w:szCs w:val="32"/>
        </w:rPr>
        <w:t>. 经营支出：指事业单位在专业业务活动及其辅助活动之外开展非独立核算经营活动发生的支出。</w:t>
      </w:r>
    </w:p>
    <w:p w14:paraId="1F576899">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25</w:t>
      </w:r>
      <w:r>
        <w:rPr>
          <w:rFonts w:hint="eastAsia" w:ascii="仿宋_GB2312" w:eastAsia="仿宋_GB2312"/>
          <w:color w:val="auto"/>
          <w:sz w:val="32"/>
          <w:szCs w:val="32"/>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DF52F79">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F37CA0">
      <w:pPr>
        <w:spacing w:line="600" w:lineRule="exact"/>
        <w:jc w:val="center"/>
        <w:outlineLvl w:val="0"/>
        <w:rPr>
          <w:rFonts w:hint="eastAsia" w:ascii="方正小标宋简体" w:hAnsi="方正小标宋简体" w:eastAsia="方正小标宋简体" w:cs="方正小标宋简体"/>
          <w:sz w:val="44"/>
          <w:szCs w:val="44"/>
        </w:rPr>
      </w:pPr>
    </w:p>
    <w:p w14:paraId="7532543D">
      <w:pPr>
        <w:spacing w:line="600" w:lineRule="exact"/>
        <w:jc w:val="center"/>
        <w:outlineLvl w:val="0"/>
        <w:rPr>
          <w:rFonts w:hint="eastAsia" w:ascii="方正小标宋简体" w:hAnsi="方正小标宋简体" w:eastAsia="方正小标宋简体" w:cs="方正小标宋简体"/>
          <w:sz w:val="44"/>
          <w:szCs w:val="44"/>
        </w:rPr>
      </w:pPr>
    </w:p>
    <w:p w14:paraId="024FB753">
      <w:pPr>
        <w:spacing w:line="600" w:lineRule="exact"/>
        <w:jc w:val="center"/>
        <w:outlineLvl w:val="0"/>
        <w:rPr>
          <w:rFonts w:hint="eastAsia" w:ascii="方正小标宋简体" w:hAnsi="方正小标宋简体" w:eastAsia="方正小标宋简体" w:cs="方正小标宋简体"/>
          <w:sz w:val="44"/>
          <w:szCs w:val="44"/>
        </w:rPr>
      </w:pPr>
    </w:p>
    <w:p w14:paraId="7E1E022E">
      <w:pPr>
        <w:spacing w:line="600" w:lineRule="exact"/>
        <w:jc w:val="center"/>
        <w:outlineLvl w:val="0"/>
        <w:rPr>
          <w:rFonts w:hint="eastAsia" w:ascii="方正小标宋简体" w:hAnsi="方正小标宋简体" w:eastAsia="方正小标宋简体" w:cs="方正小标宋简体"/>
          <w:sz w:val="44"/>
          <w:szCs w:val="44"/>
        </w:rPr>
      </w:pPr>
    </w:p>
    <w:p w14:paraId="0A90E16E">
      <w:pPr>
        <w:spacing w:line="600" w:lineRule="exact"/>
        <w:jc w:val="center"/>
        <w:outlineLvl w:val="0"/>
        <w:rPr>
          <w:rFonts w:hint="eastAsia" w:ascii="方正小标宋简体" w:hAnsi="方正小标宋简体" w:eastAsia="方正小标宋简体" w:cs="方正小标宋简体"/>
          <w:sz w:val="44"/>
          <w:szCs w:val="44"/>
        </w:rPr>
      </w:pPr>
    </w:p>
    <w:p w14:paraId="45861F93">
      <w:pPr>
        <w:spacing w:line="600" w:lineRule="exact"/>
        <w:jc w:val="center"/>
        <w:outlineLvl w:val="0"/>
        <w:rPr>
          <w:rFonts w:hint="eastAsia" w:ascii="方正小标宋简体" w:hAnsi="方正小标宋简体" w:eastAsia="方正小标宋简体" w:cs="方正小标宋简体"/>
          <w:sz w:val="44"/>
          <w:szCs w:val="44"/>
        </w:rPr>
      </w:pPr>
    </w:p>
    <w:p w14:paraId="536113D9">
      <w:pPr>
        <w:spacing w:line="600" w:lineRule="exact"/>
        <w:jc w:val="center"/>
        <w:outlineLvl w:val="0"/>
        <w:rPr>
          <w:rFonts w:hint="eastAsia" w:ascii="方正小标宋简体" w:hAnsi="方正小标宋简体" w:eastAsia="方正小标宋简体" w:cs="方正小标宋简体"/>
          <w:sz w:val="44"/>
          <w:szCs w:val="44"/>
        </w:rPr>
      </w:pPr>
    </w:p>
    <w:p w14:paraId="4FC7C6F3">
      <w:pPr>
        <w:spacing w:line="600" w:lineRule="exact"/>
        <w:jc w:val="center"/>
        <w:outlineLvl w:val="0"/>
        <w:rPr>
          <w:rFonts w:hint="eastAsia" w:ascii="方正小标宋简体" w:hAnsi="方正小标宋简体" w:eastAsia="方正小标宋简体" w:cs="方正小标宋简体"/>
          <w:sz w:val="44"/>
          <w:szCs w:val="44"/>
        </w:rPr>
      </w:pPr>
    </w:p>
    <w:p w14:paraId="1AD09F57">
      <w:pPr>
        <w:spacing w:line="600" w:lineRule="exact"/>
        <w:jc w:val="center"/>
        <w:outlineLvl w:val="0"/>
        <w:rPr>
          <w:rFonts w:hint="eastAsia" w:ascii="方正小标宋简体" w:hAnsi="方正小标宋简体" w:eastAsia="方正小标宋简体" w:cs="方正小标宋简体"/>
          <w:sz w:val="44"/>
          <w:szCs w:val="44"/>
        </w:rPr>
      </w:pPr>
    </w:p>
    <w:p w14:paraId="2568F303">
      <w:pPr>
        <w:spacing w:line="600" w:lineRule="exact"/>
        <w:jc w:val="center"/>
        <w:outlineLvl w:val="0"/>
        <w:rPr>
          <w:rFonts w:hint="eastAsia" w:ascii="方正小标宋简体" w:hAnsi="方正小标宋简体" w:eastAsia="方正小标宋简体" w:cs="方正小标宋简体"/>
          <w:sz w:val="44"/>
          <w:szCs w:val="44"/>
        </w:rPr>
      </w:pPr>
    </w:p>
    <w:p w14:paraId="1BF3AA13">
      <w:pPr>
        <w:spacing w:line="600" w:lineRule="exact"/>
        <w:jc w:val="center"/>
        <w:outlineLvl w:val="0"/>
        <w:rPr>
          <w:rFonts w:hint="eastAsia" w:ascii="方正小标宋简体" w:hAnsi="方正小标宋简体" w:eastAsia="方正小标宋简体" w:cs="方正小标宋简体"/>
          <w:sz w:val="44"/>
          <w:szCs w:val="44"/>
        </w:rPr>
      </w:pPr>
    </w:p>
    <w:p w14:paraId="1DF5CEF9">
      <w:pPr>
        <w:spacing w:line="600" w:lineRule="exact"/>
        <w:jc w:val="center"/>
        <w:outlineLvl w:val="0"/>
        <w:rPr>
          <w:rFonts w:hint="eastAsia" w:ascii="方正小标宋简体" w:hAnsi="方正小标宋简体" w:eastAsia="方正小标宋简体" w:cs="方正小标宋简体"/>
          <w:sz w:val="44"/>
          <w:szCs w:val="44"/>
        </w:rPr>
      </w:pPr>
    </w:p>
    <w:p w14:paraId="161B2645">
      <w:pPr>
        <w:spacing w:line="600" w:lineRule="exact"/>
        <w:jc w:val="center"/>
        <w:outlineLvl w:val="0"/>
        <w:rPr>
          <w:rFonts w:hint="eastAsia" w:ascii="方正小标宋简体" w:hAnsi="方正小标宋简体" w:eastAsia="方正小标宋简体" w:cs="方正小标宋简体"/>
          <w:sz w:val="44"/>
          <w:szCs w:val="44"/>
        </w:rPr>
      </w:pPr>
    </w:p>
    <w:p w14:paraId="4692F625">
      <w:pPr>
        <w:spacing w:line="600" w:lineRule="exact"/>
        <w:jc w:val="center"/>
        <w:outlineLvl w:val="0"/>
        <w:rPr>
          <w:rFonts w:hint="eastAsia" w:ascii="方正小标宋简体" w:hAnsi="方正小标宋简体" w:eastAsia="方正小标宋简体" w:cs="方正小标宋简体"/>
          <w:sz w:val="44"/>
          <w:szCs w:val="44"/>
        </w:rPr>
      </w:pPr>
    </w:p>
    <w:p w14:paraId="41EED6C2">
      <w:pPr>
        <w:spacing w:line="600" w:lineRule="exact"/>
        <w:jc w:val="center"/>
        <w:outlineLvl w:val="0"/>
        <w:rPr>
          <w:rFonts w:hint="eastAsia" w:ascii="方正小标宋简体" w:hAnsi="方正小标宋简体" w:eastAsia="方正小标宋简体" w:cs="方正小标宋简体"/>
          <w:sz w:val="44"/>
          <w:szCs w:val="44"/>
        </w:rPr>
      </w:pPr>
    </w:p>
    <w:p w14:paraId="454D180F">
      <w:pPr>
        <w:spacing w:line="600" w:lineRule="exact"/>
        <w:jc w:val="center"/>
        <w:outlineLvl w:val="0"/>
        <w:rPr>
          <w:rFonts w:hint="eastAsia" w:ascii="方正小标宋简体" w:hAnsi="方正小标宋简体" w:eastAsia="方正小标宋简体" w:cs="方正小标宋简体"/>
          <w:sz w:val="44"/>
          <w:szCs w:val="44"/>
        </w:rPr>
      </w:pPr>
    </w:p>
    <w:p w14:paraId="74EDBBE2">
      <w:pPr>
        <w:spacing w:line="600" w:lineRule="exact"/>
        <w:jc w:val="center"/>
        <w:outlineLvl w:val="0"/>
        <w:rPr>
          <w:rFonts w:hint="eastAsia" w:ascii="方正小标宋简体" w:hAnsi="方正小标宋简体" w:eastAsia="方正小标宋简体" w:cs="方正小标宋简体"/>
          <w:sz w:val="44"/>
          <w:szCs w:val="44"/>
        </w:rPr>
      </w:pPr>
    </w:p>
    <w:p w14:paraId="2FDB7E67">
      <w:pPr>
        <w:spacing w:line="600" w:lineRule="exact"/>
        <w:jc w:val="center"/>
        <w:outlineLvl w:val="0"/>
        <w:rPr>
          <w:rFonts w:hint="eastAsia" w:ascii="方正小标宋简体" w:hAnsi="方正小标宋简体" w:eastAsia="方正小标宋简体" w:cs="方正小标宋简体"/>
          <w:sz w:val="44"/>
          <w:szCs w:val="44"/>
        </w:rPr>
      </w:pPr>
    </w:p>
    <w:p w14:paraId="74968FB8">
      <w:pPr>
        <w:spacing w:line="600" w:lineRule="exact"/>
        <w:jc w:val="center"/>
        <w:outlineLvl w:val="0"/>
        <w:rPr>
          <w:rFonts w:hint="eastAsia" w:ascii="方正小标宋简体" w:hAnsi="方正小标宋简体" w:eastAsia="方正小标宋简体" w:cs="方正小标宋简体"/>
          <w:sz w:val="44"/>
          <w:szCs w:val="44"/>
        </w:rPr>
      </w:pPr>
    </w:p>
    <w:p w14:paraId="262A5363">
      <w:pPr>
        <w:spacing w:line="600" w:lineRule="exact"/>
        <w:jc w:val="center"/>
        <w:outlineLvl w:val="0"/>
        <w:rPr>
          <w:rFonts w:hint="eastAsia" w:ascii="方正小标宋简体" w:hAnsi="方正小标宋简体" w:eastAsia="方正小标宋简体" w:cs="方正小标宋简体"/>
          <w:sz w:val="44"/>
          <w:szCs w:val="44"/>
        </w:rPr>
      </w:pPr>
    </w:p>
    <w:p w14:paraId="5B74C996">
      <w:pPr>
        <w:spacing w:line="600" w:lineRule="exact"/>
        <w:jc w:val="both"/>
        <w:outlineLvl w:val="0"/>
        <w:rPr>
          <w:rFonts w:hint="eastAsia" w:ascii="方正小标宋简体" w:hAnsi="方正小标宋简体" w:eastAsia="方正小标宋简体" w:cs="方正小标宋简体"/>
          <w:sz w:val="44"/>
          <w:szCs w:val="44"/>
        </w:rPr>
      </w:pPr>
    </w:p>
    <w:p w14:paraId="720DCC17">
      <w:pPr>
        <w:spacing w:line="600" w:lineRule="exact"/>
        <w:jc w:val="center"/>
        <w:outlineLvl w:val="0"/>
        <w:rPr>
          <w:rStyle w:val="26"/>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6"/>
          <w:rFonts w:hint="eastAsia" w:ascii="方正小标宋简体" w:hAnsi="方正小标宋简体" w:eastAsia="方正小标宋简体" w:cs="方正小标宋简体"/>
          <w:b w:val="0"/>
        </w:rPr>
        <w:t>四部分 附件</w:t>
      </w:r>
      <w:bookmarkEnd w:id="5"/>
    </w:p>
    <w:p w14:paraId="7898BD94">
      <w:pPr>
        <w:pStyle w:val="2"/>
        <w:keepNext w:val="0"/>
        <w:keepLines w:val="0"/>
        <w:pageBreakBefore w:val="0"/>
        <w:widowControl w:val="0"/>
        <w:kinsoku/>
        <w:wordWrap/>
        <w:overflowPunct/>
        <w:topLinePunct w:val="0"/>
        <w:autoSpaceDE/>
        <w:autoSpaceDN/>
        <w:bidi w:val="0"/>
        <w:adjustRightInd/>
        <w:snapToGrid/>
        <w:spacing w:before="101" w:line="572" w:lineRule="atLeast"/>
        <w:ind w:left="35" w:right="162" w:firstLine="664" w:firstLineChars="200"/>
        <w:textAlignment w:val="auto"/>
        <w:rPr>
          <w:rFonts w:hint="eastAsia" w:ascii="仿宋" w:hAnsi="仿宋" w:eastAsia="仿宋" w:cs="仿宋"/>
          <w:spacing w:val="6"/>
          <w:sz w:val="32"/>
          <w:szCs w:val="32"/>
        </w:rPr>
      </w:pPr>
      <w:bookmarkStart w:id="11" w:name="_Toc19089885"/>
    </w:p>
    <w:p w14:paraId="6BB854E4">
      <w:pPr>
        <w:pStyle w:val="2"/>
        <w:keepNext w:val="0"/>
        <w:keepLines w:val="0"/>
        <w:pageBreakBefore w:val="0"/>
        <w:widowControl w:val="0"/>
        <w:kinsoku/>
        <w:wordWrap/>
        <w:overflowPunct/>
        <w:topLinePunct w:val="0"/>
        <w:autoSpaceDE/>
        <w:autoSpaceDN/>
        <w:bidi w:val="0"/>
        <w:adjustRightInd/>
        <w:snapToGrid/>
        <w:spacing w:before="101" w:line="572" w:lineRule="atLeast"/>
        <w:ind w:left="35" w:right="162" w:firstLine="664" w:firstLineChars="200"/>
        <w:textAlignment w:val="auto"/>
        <w:rPr>
          <w:rFonts w:hint="eastAsia" w:ascii="仿宋" w:hAnsi="仿宋" w:eastAsia="仿宋" w:cs="仿宋"/>
          <w:spacing w:val="6"/>
          <w:sz w:val="32"/>
          <w:szCs w:val="32"/>
        </w:rPr>
      </w:pPr>
    </w:p>
    <w:p w14:paraId="62BD5C04">
      <w:pPr>
        <w:pStyle w:val="2"/>
        <w:keepNext w:val="0"/>
        <w:keepLines w:val="0"/>
        <w:pageBreakBefore w:val="0"/>
        <w:widowControl w:val="0"/>
        <w:kinsoku/>
        <w:wordWrap/>
        <w:overflowPunct/>
        <w:topLinePunct w:val="0"/>
        <w:autoSpaceDE/>
        <w:autoSpaceDN/>
        <w:bidi w:val="0"/>
        <w:adjustRightInd/>
        <w:snapToGrid/>
        <w:spacing w:before="101" w:line="572" w:lineRule="atLeast"/>
        <w:ind w:left="35" w:right="162" w:firstLine="664" w:firstLineChars="200"/>
        <w:textAlignment w:val="auto"/>
        <w:rPr>
          <w:rFonts w:hint="eastAsia" w:ascii="仿宋" w:hAnsi="仿宋" w:eastAsia="仿宋" w:cs="仿宋"/>
          <w:spacing w:val="6"/>
          <w:sz w:val="32"/>
          <w:szCs w:val="32"/>
        </w:rPr>
      </w:pPr>
    </w:p>
    <w:p w14:paraId="5CE6FE6B">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cs="宋体"/>
          <w:color w:val="auto"/>
          <w:kern w:val="0"/>
          <w:sz w:val="32"/>
          <w:szCs w:val="32"/>
          <w:highlight w:val="none"/>
          <w:lang w:val="en-US" w:eastAsia="zh-CN" w:bidi="ar-SA"/>
        </w:rPr>
        <w:t>详见</w:t>
      </w:r>
      <w:r>
        <w:rPr>
          <w:rFonts w:hint="eastAsia" w:ascii="宋体" w:hAnsi="宋体" w:eastAsia="宋体" w:cs="宋体"/>
          <w:color w:val="auto"/>
          <w:kern w:val="0"/>
          <w:sz w:val="32"/>
          <w:szCs w:val="32"/>
          <w:highlight w:val="none"/>
          <w:lang w:val="en-US" w:eastAsia="zh-CN" w:bidi="ar-SA"/>
        </w:rPr>
        <w:t>部门</w:t>
      </w:r>
      <w:r>
        <w:rPr>
          <w:rFonts w:hint="eastAsia" w:ascii="宋体" w:hAnsi="宋体" w:cs="宋体"/>
          <w:color w:val="auto"/>
          <w:kern w:val="0"/>
          <w:sz w:val="32"/>
          <w:szCs w:val="32"/>
          <w:highlight w:val="none"/>
          <w:lang w:val="en-US" w:eastAsia="zh-CN" w:bidi="ar-SA"/>
        </w:rPr>
        <w:t>预算</w:t>
      </w:r>
      <w:r>
        <w:rPr>
          <w:rFonts w:hint="eastAsia" w:ascii="宋体" w:hAnsi="宋体" w:eastAsia="宋体" w:cs="宋体"/>
          <w:color w:val="auto"/>
          <w:kern w:val="0"/>
          <w:sz w:val="32"/>
          <w:szCs w:val="32"/>
          <w:highlight w:val="none"/>
          <w:lang w:val="en-US" w:eastAsia="zh-CN" w:bidi="ar-SA"/>
        </w:rPr>
        <w:t>项目支出绩效</w:t>
      </w:r>
      <w:r>
        <w:rPr>
          <w:rFonts w:hint="eastAsia" w:ascii="宋体" w:hAnsi="宋体" w:cs="宋体"/>
          <w:color w:val="auto"/>
          <w:kern w:val="0"/>
          <w:sz w:val="32"/>
          <w:szCs w:val="32"/>
          <w:highlight w:val="none"/>
          <w:lang w:val="en-US" w:eastAsia="zh-CN" w:bidi="ar-SA"/>
        </w:rPr>
        <w:t>自评</w:t>
      </w:r>
      <w:r>
        <w:rPr>
          <w:rFonts w:hint="eastAsia" w:ascii="宋体" w:hAnsi="宋体" w:eastAsia="宋体" w:cs="宋体"/>
          <w:color w:val="auto"/>
          <w:kern w:val="0"/>
          <w:sz w:val="32"/>
          <w:szCs w:val="32"/>
          <w:highlight w:val="none"/>
          <w:lang w:val="en-US" w:eastAsia="zh-CN" w:bidi="ar-SA"/>
        </w:rPr>
        <w:t>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p w14:paraId="2B3F08DF">
      <w:pPr>
        <w:pStyle w:val="2"/>
        <w:keepNext w:val="0"/>
        <w:keepLines w:val="0"/>
        <w:pageBreakBefore w:val="0"/>
        <w:widowControl w:val="0"/>
        <w:kinsoku/>
        <w:wordWrap/>
        <w:overflowPunct/>
        <w:topLinePunct w:val="0"/>
        <w:autoSpaceDE/>
        <w:autoSpaceDN/>
        <w:bidi w:val="0"/>
        <w:adjustRightInd/>
        <w:snapToGrid/>
        <w:spacing w:before="101" w:line="572" w:lineRule="atLeast"/>
        <w:ind w:right="162"/>
        <w:textAlignment w:val="auto"/>
        <w:rPr>
          <w:rFonts w:hint="eastAsia" w:ascii="仿宋" w:hAnsi="仿宋" w:eastAsia="仿宋" w:cs="仿宋"/>
          <w:spacing w:val="6"/>
          <w:sz w:val="32"/>
          <w:szCs w:val="32"/>
        </w:rPr>
      </w:pPr>
    </w:p>
    <w:p w14:paraId="733A5EF0">
      <w:pPr>
        <w:pStyle w:val="2"/>
        <w:keepNext w:val="0"/>
        <w:keepLines w:val="0"/>
        <w:pageBreakBefore w:val="0"/>
        <w:widowControl w:val="0"/>
        <w:kinsoku/>
        <w:wordWrap/>
        <w:overflowPunct/>
        <w:topLinePunct w:val="0"/>
        <w:autoSpaceDE/>
        <w:autoSpaceDN/>
        <w:bidi w:val="0"/>
        <w:adjustRightInd/>
        <w:snapToGrid/>
        <w:spacing w:before="101" w:line="572" w:lineRule="atLeast"/>
        <w:ind w:right="162"/>
        <w:textAlignment w:val="auto"/>
        <w:rPr>
          <w:rFonts w:hint="eastAsia" w:ascii="仿宋" w:hAnsi="仿宋" w:eastAsia="仿宋" w:cs="仿宋"/>
          <w:spacing w:val="6"/>
          <w:sz w:val="32"/>
          <w:szCs w:val="32"/>
        </w:rPr>
      </w:pPr>
    </w:p>
    <w:p w14:paraId="37B2B19C">
      <w:pPr>
        <w:pStyle w:val="2"/>
        <w:keepNext w:val="0"/>
        <w:keepLines w:val="0"/>
        <w:pageBreakBefore w:val="0"/>
        <w:widowControl w:val="0"/>
        <w:kinsoku/>
        <w:wordWrap/>
        <w:overflowPunct/>
        <w:topLinePunct w:val="0"/>
        <w:autoSpaceDE/>
        <w:autoSpaceDN/>
        <w:bidi w:val="0"/>
        <w:adjustRightInd/>
        <w:snapToGrid/>
        <w:spacing w:before="101" w:line="572" w:lineRule="atLeast"/>
        <w:ind w:right="162"/>
        <w:textAlignment w:val="auto"/>
        <w:rPr>
          <w:rFonts w:hint="eastAsia" w:ascii="仿宋" w:hAnsi="仿宋" w:eastAsia="仿宋" w:cs="仿宋"/>
          <w:spacing w:val="6"/>
          <w:sz w:val="32"/>
          <w:szCs w:val="32"/>
        </w:rPr>
      </w:pPr>
    </w:p>
    <w:p w14:paraId="19D8239C">
      <w:pPr>
        <w:pStyle w:val="2"/>
        <w:keepNext w:val="0"/>
        <w:keepLines w:val="0"/>
        <w:pageBreakBefore w:val="0"/>
        <w:widowControl w:val="0"/>
        <w:kinsoku/>
        <w:wordWrap/>
        <w:overflowPunct/>
        <w:topLinePunct w:val="0"/>
        <w:autoSpaceDE/>
        <w:autoSpaceDN/>
        <w:bidi w:val="0"/>
        <w:adjustRightInd/>
        <w:snapToGrid/>
        <w:spacing w:before="101" w:line="572" w:lineRule="atLeast"/>
        <w:ind w:right="162"/>
        <w:textAlignment w:val="auto"/>
        <w:rPr>
          <w:rFonts w:hint="eastAsia" w:ascii="仿宋" w:hAnsi="仿宋" w:eastAsia="仿宋" w:cs="仿宋"/>
          <w:spacing w:val="6"/>
          <w:sz w:val="32"/>
          <w:szCs w:val="32"/>
        </w:rPr>
      </w:pPr>
    </w:p>
    <w:p w14:paraId="123873E3">
      <w:pPr>
        <w:pStyle w:val="2"/>
        <w:keepNext w:val="0"/>
        <w:keepLines w:val="0"/>
        <w:pageBreakBefore w:val="0"/>
        <w:widowControl w:val="0"/>
        <w:kinsoku/>
        <w:wordWrap/>
        <w:overflowPunct/>
        <w:topLinePunct w:val="0"/>
        <w:autoSpaceDE/>
        <w:autoSpaceDN/>
        <w:bidi w:val="0"/>
        <w:adjustRightInd/>
        <w:snapToGrid/>
        <w:spacing w:before="101" w:line="572" w:lineRule="atLeast"/>
        <w:ind w:right="162"/>
        <w:textAlignment w:val="auto"/>
        <w:rPr>
          <w:rFonts w:hint="eastAsia" w:ascii="仿宋" w:hAnsi="仿宋" w:eastAsia="仿宋" w:cs="仿宋"/>
          <w:spacing w:val="6"/>
          <w:sz w:val="32"/>
          <w:szCs w:val="32"/>
        </w:rPr>
      </w:pPr>
    </w:p>
    <w:p w14:paraId="1E4D9408">
      <w:pPr>
        <w:pStyle w:val="2"/>
      </w:pPr>
    </w:p>
    <w:bookmarkEnd w:id="6"/>
    <w:bookmarkEnd w:id="11"/>
    <w:p w14:paraId="4CB48F4E">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p>
    <w:p w14:paraId="57E0CDE1">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p>
    <w:p w14:paraId="34744D5D">
      <w:pPr>
        <w:pStyle w:val="4"/>
        <w:rPr>
          <w:rFonts w:ascii="仿宋" w:hAnsi="仿宋" w:eastAsia="仿宋"/>
          <w:color w:val="auto"/>
          <w:highlight w:val="none"/>
        </w:rPr>
      </w:pPr>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p>
    <w:p w14:paraId="7B88B54A">
      <w:pPr>
        <w:pStyle w:val="4"/>
        <w:rPr>
          <w:rFonts w:ascii="仿宋" w:hAnsi="仿宋" w:eastAsia="仿宋"/>
          <w:color w:val="auto"/>
          <w:highlight w:val="none"/>
        </w:rPr>
      </w:pPr>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p>
    <w:p w14:paraId="79943BB8">
      <w:pPr>
        <w:pStyle w:val="4"/>
        <w:rPr>
          <w:rFonts w:ascii="仿宋" w:hAnsi="仿宋" w:eastAsia="仿宋"/>
          <w:b w:val="0"/>
          <w:color w:val="auto"/>
          <w:highlight w:val="none"/>
        </w:rPr>
      </w:pPr>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p>
    <w:p w14:paraId="1E9CEFC0">
      <w:pPr>
        <w:pStyle w:val="4"/>
        <w:rPr>
          <w:rStyle w:val="27"/>
          <w:rFonts w:ascii="仿宋" w:hAnsi="仿宋" w:eastAsia="仿宋"/>
          <w:b w:val="0"/>
          <w:bCs w:val="0"/>
          <w:color w:val="auto"/>
          <w:highlight w:val="none"/>
        </w:rPr>
      </w:pPr>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p>
    <w:p w14:paraId="5D5901D7">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p>
    <w:p w14:paraId="64B9A000">
      <w:pPr>
        <w:pStyle w:val="4"/>
        <w:rPr>
          <w:rFonts w:ascii="仿宋" w:hAnsi="仿宋" w:eastAsia="仿宋"/>
          <w:color w:val="auto"/>
          <w:highlight w:val="none"/>
        </w:rPr>
      </w:pPr>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p>
    <w:p w14:paraId="70792F2B">
      <w:pPr>
        <w:pStyle w:val="4"/>
        <w:rPr>
          <w:rFonts w:ascii="仿宋" w:hAnsi="仿宋" w:eastAsia="仿宋"/>
          <w:color w:val="auto"/>
          <w:highlight w:val="none"/>
        </w:rPr>
      </w:pPr>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p>
    <w:p w14:paraId="642DBB36">
      <w:pPr>
        <w:pStyle w:val="4"/>
        <w:rPr>
          <w:rFonts w:ascii="仿宋" w:hAnsi="仿宋" w:eastAsia="仿宋"/>
          <w:color w:val="auto"/>
          <w:highlight w:val="none"/>
        </w:rPr>
      </w:pPr>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p>
    <w:p w14:paraId="377B818C">
      <w:pPr>
        <w:pStyle w:val="4"/>
        <w:rPr>
          <w:rFonts w:ascii="仿宋" w:hAnsi="仿宋" w:eastAsia="仿宋"/>
          <w:color w:val="auto"/>
          <w:highlight w:val="none"/>
        </w:rPr>
      </w:pPr>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p>
    <w:p w14:paraId="5AD37150">
      <w:pPr>
        <w:pStyle w:val="4"/>
        <w:rPr>
          <w:rFonts w:ascii="仿宋" w:hAnsi="仿宋" w:eastAsia="仿宋"/>
          <w:color w:val="auto"/>
          <w:highlight w:val="none"/>
        </w:rPr>
      </w:pPr>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p>
    <w:p w14:paraId="71C8C134">
      <w:pPr>
        <w:pStyle w:val="4"/>
        <w:rPr>
          <w:rFonts w:ascii="仿宋" w:hAnsi="仿宋" w:eastAsia="仿宋"/>
          <w:color w:val="auto"/>
          <w:highlight w:val="none"/>
        </w:rPr>
      </w:pPr>
      <w:r>
        <w:rPr>
          <w:rStyle w:val="27"/>
          <w:rFonts w:hint="eastAsia" w:ascii="仿宋" w:hAnsi="仿宋" w:eastAsia="仿宋"/>
          <w:b w:val="0"/>
          <w:bCs w:val="0"/>
          <w:color w:val="auto"/>
          <w:highlight w:val="none"/>
        </w:rPr>
        <w:t>十二、</w:t>
      </w:r>
      <w:r>
        <w:rPr>
          <w:rStyle w:val="27"/>
          <w:rFonts w:hint="eastAsia" w:ascii="仿宋" w:hAnsi="仿宋" w:eastAsia="仿宋"/>
          <w:b w:val="0"/>
          <w:bCs w:val="0"/>
          <w:color w:val="auto"/>
          <w:highlight w:val="none"/>
          <w:lang w:eastAsia="zh-CN"/>
        </w:rPr>
        <w:t>国有资本经营预算财政拨款支出决算表</w:t>
      </w:r>
    </w:p>
    <w:p w14:paraId="21B07003">
      <w:pPr>
        <w:pStyle w:val="4"/>
        <w:rPr>
          <w:rFonts w:hint="eastAsia" w:eastAsia="仿宋"/>
          <w:color w:val="auto"/>
          <w:highlight w:val="none"/>
          <w:lang w:eastAsia="zh-CN"/>
        </w:rPr>
      </w:pPr>
      <w:r>
        <w:rPr>
          <w:rStyle w:val="27"/>
          <w:rFonts w:hint="eastAsia" w:ascii="仿宋" w:hAnsi="仿宋" w:eastAsia="仿宋"/>
          <w:b w:val="0"/>
          <w:bCs w:val="0"/>
          <w:color w:val="auto"/>
          <w:highlight w:val="none"/>
        </w:rPr>
        <w:t>十三、</w:t>
      </w:r>
      <w:r>
        <w:rPr>
          <w:rStyle w:val="27"/>
          <w:rFonts w:hint="eastAsia" w:ascii="仿宋" w:hAnsi="仿宋" w:eastAsia="仿宋"/>
          <w:b w:val="0"/>
          <w:bCs w:val="0"/>
          <w:color w:val="auto"/>
          <w:highlight w:val="none"/>
          <w:lang w:eastAsia="zh-CN"/>
        </w:rPr>
        <w:t>财政拨款“三公”经费支出决算表</w:t>
      </w:r>
    </w:p>
    <w:p w14:paraId="35955A42"/>
    <w:p w14:paraId="36FCA82A">
      <w:pPr>
        <w:pStyle w:val="4"/>
        <w:snapToGrid w:val="0"/>
        <w:spacing w:before="0" w:after="0" w:line="580" w:lineRule="exact"/>
        <w:ind w:firstLine="562" w:firstLineChars="200"/>
        <w:rPr>
          <w:rFonts w:ascii="仿宋" w:hAnsi="仿宋" w:eastAsia="仿宋"/>
          <w:sz w:val="28"/>
          <w:szCs w:val="28"/>
        </w:rPr>
      </w:pPr>
    </w:p>
    <w:sectPr>
      <w:footerReference r:id="rId5" w:type="first"/>
      <w:headerReference r:id="rId3" w:type="default"/>
      <w:footerReference r:id="rId4" w:type="default"/>
      <w:pgSz w:w="11906" w:h="16838"/>
      <w:pgMar w:top="1701" w:right="1474" w:bottom="1701" w:left="1587" w:header="851" w:footer="1304"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DE26">
    <w:pPr>
      <w:pStyle w:val="8"/>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0F722">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80F722">
                    <w:pPr>
                      <w:pStyle w:val="8"/>
                    </w:pPr>
                    <w:r>
                      <w:fldChar w:fldCharType="begin"/>
                    </w:r>
                    <w:r>
                      <w:instrText xml:space="preserve"> PAGE  \* MERGEFORMAT </w:instrText>
                    </w:r>
                    <w:r>
                      <w:fldChar w:fldCharType="separate"/>
                    </w:r>
                    <w:r>
                      <w:t>2</w:t>
                    </w:r>
                    <w:r>
                      <w:fldChar w:fldCharType="end"/>
                    </w:r>
                  </w:p>
                </w:txbxContent>
              </v:textbox>
            </v:shape>
          </w:pict>
        </mc:Fallback>
      </mc:AlternateContent>
    </w:r>
  </w:p>
  <w:p w14:paraId="62B6D55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E3952">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C546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FC546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0A1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3818A09A"/>
    <w:multiLevelType w:val="singleLevel"/>
    <w:tmpl w:val="3818A0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ZTg3MDVjNDg5YmM2MzMxOTZkNTFlZjJlMTMzOWMifQ=="/>
  </w:docVars>
  <w:rsids>
    <w:rsidRoot w:val="00F1361C"/>
    <w:rsid w:val="00002847"/>
    <w:rsid w:val="000078F9"/>
    <w:rsid w:val="000222C6"/>
    <w:rsid w:val="0002280F"/>
    <w:rsid w:val="0002549F"/>
    <w:rsid w:val="0006487A"/>
    <w:rsid w:val="00065F8F"/>
    <w:rsid w:val="000768F2"/>
    <w:rsid w:val="0009184B"/>
    <w:rsid w:val="00094044"/>
    <w:rsid w:val="0009593C"/>
    <w:rsid w:val="000A54C6"/>
    <w:rsid w:val="000B047F"/>
    <w:rsid w:val="000B30C6"/>
    <w:rsid w:val="000B48C7"/>
    <w:rsid w:val="000B5923"/>
    <w:rsid w:val="000B5A48"/>
    <w:rsid w:val="000B6FF3"/>
    <w:rsid w:val="000C3467"/>
    <w:rsid w:val="000C3CA6"/>
    <w:rsid w:val="000D1267"/>
    <w:rsid w:val="000D1D50"/>
    <w:rsid w:val="000D5782"/>
    <w:rsid w:val="000E6613"/>
    <w:rsid w:val="000E6BFA"/>
    <w:rsid w:val="000E7119"/>
    <w:rsid w:val="000F5319"/>
    <w:rsid w:val="000F5738"/>
    <w:rsid w:val="001000BD"/>
    <w:rsid w:val="00102A6C"/>
    <w:rsid w:val="00114E9B"/>
    <w:rsid w:val="00125169"/>
    <w:rsid w:val="00126D70"/>
    <w:rsid w:val="0014729F"/>
    <w:rsid w:val="00156427"/>
    <w:rsid w:val="00157BAB"/>
    <w:rsid w:val="001614F6"/>
    <w:rsid w:val="001652ED"/>
    <w:rsid w:val="001654D1"/>
    <w:rsid w:val="00171860"/>
    <w:rsid w:val="0017485A"/>
    <w:rsid w:val="0018106D"/>
    <w:rsid w:val="001813D7"/>
    <w:rsid w:val="001877A7"/>
    <w:rsid w:val="00191536"/>
    <w:rsid w:val="00193A3C"/>
    <w:rsid w:val="00196687"/>
    <w:rsid w:val="001A0433"/>
    <w:rsid w:val="001B73A2"/>
    <w:rsid w:val="001C0962"/>
    <w:rsid w:val="001D7531"/>
    <w:rsid w:val="001E737D"/>
    <w:rsid w:val="001F0592"/>
    <w:rsid w:val="001F7506"/>
    <w:rsid w:val="002006CD"/>
    <w:rsid w:val="00202B36"/>
    <w:rsid w:val="00204B7A"/>
    <w:rsid w:val="0021101A"/>
    <w:rsid w:val="0021540F"/>
    <w:rsid w:val="00220536"/>
    <w:rsid w:val="00235629"/>
    <w:rsid w:val="00237D55"/>
    <w:rsid w:val="0025749D"/>
    <w:rsid w:val="00260C38"/>
    <w:rsid w:val="002616C0"/>
    <w:rsid w:val="002662AA"/>
    <w:rsid w:val="00270B34"/>
    <w:rsid w:val="00280496"/>
    <w:rsid w:val="00295495"/>
    <w:rsid w:val="002A00A3"/>
    <w:rsid w:val="002A2978"/>
    <w:rsid w:val="002B2613"/>
    <w:rsid w:val="002C5302"/>
    <w:rsid w:val="002D790D"/>
    <w:rsid w:val="002E1C32"/>
    <w:rsid w:val="002E54D4"/>
    <w:rsid w:val="002F1818"/>
    <w:rsid w:val="002F567B"/>
    <w:rsid w:val="00303037"/>
    <w:rsid w:val="003216A9"/>
    <w:rsid w:val="00324C77"/>
    <w:rsid w:val="0037013F"/>
    <w:rsid w:val="00371E93"/>
    <w:rsid w:val="00380C92"/>
    <w:rsid w:val="003937D9"/>
    <w:rsid w:val="003A484F"/>
    <w:rsid w:val="003B0BE0"/>
    <w:rsid w:val="003B0C1B"/>
    <w:rsid w:val="003B0ED3"/>
    <w:rsid w:val="003B688C"/>
    <w:rsid w:val="003C0291"/>
    <w:rsid w:val="003C39AE"/>
    <w:rsid w:val="003C7B60"/>
    <w:rsid w:val="003D1FB2"/>
    <w:rsid w:val="003D5840"/>
    <w:rsid w:val="003D66DA"/>
    <w:rsid w:val="003E1310"/>
    <w:rsid w:val="003E6F55"/>
    <w:rsid w:val="00403C86"/>
    <w:rsid w:val="00406254"/>
    <w:rsid w:val="004223DE"/>
    <w:rsid w:val="00434489"/>
    <w:rsid w:val="00437085"/>
    <w:rsid w:val="00443880"/>
    <w:rsid w:val="004464F4"/>
    <w:rsid w:val="00450718"/>
    <w:rsid w:val="004568CD"/>
    <w:rsid w:val="00471401"/>
    <w:rsid w:val="0047387D"/>
    <w:rsid w:val="00473F31"/>
    <w:rsid w:val="0048263A"/>
    <w:rsid w:val="004831FE"/>
    <w:rsid w:val="00487E5D"/>
    <w:rsid w:val="004A55C6"/>
    <w:rsid w:val="004A711F"/>
    <w:rsid w:val="004B199D"/>
    <w:rsid w:val="004B4690"/>
    <w:rsid w:val="004C6CF0"/>
    <w:rsid w:val="004D18BB"/>
    <w:rsid w:val="004D2B6B"/>
    <w:rsid w:val="004D5782"/>
    <w:rsid w:val="004D66A9"/>
    <w:rsid w:val="004E0A2D"/>
    <w:rsid w:val="004E206B"/>
    <w:rsid w:val="004E6DF7"/>
    <w:rsid w:val="004F0FBD"/>
    <w:rsid w:val="00505A47"/>
    <w:rsid w:val="00512FDA"/>
    <w:rsid w:val="00520DA0"/>
    <w:rsid w:val="0052156B"/>
    <w:rsid w:val="00526119"/>
    <w:rsid w:val="00537A56"/>
    <w:rsid w:val="00545096"/>
    <w:rsid w:val="00552555"/>
    <w:rsid w:val="00556833"/>
    <w:rsid w:val="005649C7"/>
    <w:rsid w:val="00566334"/>
    <w:rsid w:val="005664BB"/>
    <w:rsid w:val="0057481D"/>
    <w:rsid w:val="0058486E"/>
    <w:rsid w:val="0059040F"/>
    <w:rsid w:val="005D16BA"/>
    <w:rsid w:val="005D1C8B"/>
    <w:rsid w:val="005D55F1"/>
    <w:rsid w:val="005D5CED"/>
    <w:rsid w:val="005D60A5"/>
    <w:rsid w:val="005F1A4C"/>
    <w:rsid w:val="005F4E6B"/>
    <w:rsid w:val="00605688"/>
    <w:rsid w:val="006070AF"/>
    <w:rsid w:val="00607BF7"/>
    <w:rsid w:val="00607E6C"/>
    <w:rsid w:val="006101B1"/>
    <w:rsid w:val="00614E44"/>
    <w:rsid w:val="00622830"/>
    <w:rsid w:val="00630AEF"/>
    <w:rsid w:val="006325F8"/>
    <w:rsid w:val="00634C9A"/>
    <w:rsid w:val="00637090"/>
    <w:rsid w:val="00642630"/>
    <w:rsid w:val="006440E4"/>
    <w:rsid w:val="00656EF8"/>
    <w:rsid w:val="0066343B"/>
    <w:rsid w:val="00664777"/>
    <w:rsid w:val="006748A4"/>
    <w:rsid w:val="006829A6"/>
    <w:rsid w:val="00683E73"/>
    <w:rsid w:val="0068716E"/>
    <w:rsid w:val="006A3141"/>
    <w:rsid w:val="006A5E34"/>
    <w:rsid w:val="006B2422"/>
    <w:rsid w:val="006B2B9A"/>
    <w:rsid w:val="006B3EDE"/>
    <w:rsid w:val="006C1937"/>
    <w:rsid w:val="006C2699"/>
    <w:rsid w:val="006F020C"/>
    <w:rsid w:val="006F0FBD"/>
    <w:rsid w:val="0070105D"/>
    <w:rsid w:val="0071233B"/>
    <w:rsid w:val="007127B7"/>
    <w:rsid w:val="00715109"/>
    <w:rsid w:val="007276BB"/>
    <w:rsid w:val="007416B6"/>
    <w:rsid w:val="00746F48"/>
    <w:rsid w:val="00751534"/>
    <w:rsid w:val="00753D1D"/>
    <w:rsid w:val="0075404D"/>
    <w:rsid w:val="0076182A"/>
    <w:rsid w:val="0076670D"/>
    <w:rsid w:val="0076692F"/>
    <w:rsid w:val="007669A4"/>
    <w:rsid w:val="00767B7E"/>
    <w:rsid w:val="007763DC"/>
    <w:rsid w:val="007770C3"/>
    <w:rsid w:val="00784D24"/>
    <w:rsid w:val="00785FBA"/>
    <w:rsid w:val="00786E4A"/>
    <w:rsid w:val="007875EB"/>
    <w:rsid w:val="0079426B"/>
    <w:rsid w:val="007A66D4"/>
    <w:rsid w:val="007D312A"/>
    <w:rsid w:val="007D3F19"/>
    <w:rsid w:val="007E23B0"/>
    <w:rsid w:val="007E4CFC"/>
    <w:rsid w:val="007E6385"/>
    <w:rsid w:val="007F1991"/>
    <w:rsid w:val="007F2C2F"/>
    <w:rsid w:val="007F55FC"/>
    <w:rsid w:val="007F5665"/>
    <w:rsid w:val="00800112"/>
    <w:rsid w:val="0082132E"/>
    <w:rsid w:val="008253BB"/>
    <w:rsid w:val="00826985"/>
    <w:rsid w:val="0083706E"/>
    <w:rsid w:val="008423A5"/>
    <w:rsid w:val="00850625"/>
    <w:rsid w:val="00851C87"/>
    <w:rsid w:val="00853718"/>
    <w:rsid w:val="00855221"/>
    <w:rsid w:val="00860645"/>
    <w:rsid w:val="00862674"/>
    <w:rsid w:val="00871F71"/>
    <w:rsid w:val="008770E7"/>
    <w:rsid w:val="00883FD9"/>
    <w:rsid w:val="00885AF4"/>
    <w:rsid w:val="0089274D"/>
    <w:rsid w:val="008939CD"/>
    <w:rsid w:val="008B768C"/>
    <w:rsid w:val="008C4DB1"/>
    <w:rsid w:val="008C4EAF"/>
    <w:rsid w:val="008C5176"/>
    <w:rsid w:val="008C7FD0"/>
    <w:rsid w:val="008D105F"/>
    <w:rsid w:val="008D19EB"/>
    <w:rsid w:val="008E1DE7"/>
    <w:rsid w:val="008E600B"/>
    <w:rsid w:val="008E6800"/>
    <w:rsid w:val="008E707C"/>
    <w:rsid w:val="008F4458"/>
    <w:rsid w:val="008F71D2"/>
    <w:rsid w:val="00900B08"/>
    <w:rsid w:val="00902155"/>
    <w:rsid w:val="00902FA3"/>
    <w:rsid w:val="00920912"/>
    <w:rsid w:val="00920D99"/>
    <w:rsid w:val="00923564"/>
    <w:rsid w:val="0092392E"/>
    <w:rsid w:val="009263AB"/>
    <w:rsid w:val="009315F9"/>
    <w:rsid w:val="00932E48"/>
    <w:rsid w:val="00943E15"/>
    <w:rsid w:val="00946945"/>
    <w:rsid w:val="00951248"/>
    <w:rsid w:val="0095152F"/>
    <w:rsid w:val="00954C49"/>
    <w:rsid w:val="00965E2F"/>
    <w:rsid w:val="0096652E"/>
    <w:rsid w:val="0097099F"/>
    <w:rsid w:val="00971997"/>
    <w:rsid w:val="00971FFC"/>
    <w:rsid w:val="0098660A"/>
    <w:rsid w:val="009931C3"/>
    <w:rsid w:val="009B2C43"/>
    <w:rsid w:val="009B4605"/>
    <w:rsid w:val="009B4EAE"/>
    <w:rsid w:val="009B7573"/>
    <w:rsid w:val="009C22F4"/>
    <w:rsid w:val="009C2E98"/>
    <w:rsid w:val="009D2CAD"/>
    <w:rsid w:val="009D3447"/>
    <w:rsid w:val="009D4711"/>
    <w:rsid w:val="009D55EA"/>
    <w:rsid w:val="009E0742"/>
    <w:rsid w:val="009E529C"/>
    <w:rsid w:val="009F1185"/>
    <w:rsid w:val="009F18CD"/>
    <w:rsid w:val="009F2A13"/>
    <w:rsid w:val="009F3B8C"/>
    <w:rsid w:val="00A0499B"/>
    <w:rsid w:val="00A04EB0"/>
    <w:rsid w:val="00A051D1"/>
    <w:rsid w:val="00A11484"/>
    <w:rsid w:val="00A13CC1"/>
    <w:rsid w:val="00A16847"/>
    <w:rsid w:val="00A237D8"/>
    <w:rsid w:val="00A268C4"/>
    <w:rsid w:val="00A307CD"/>
    <w:rsid w:val="00A40A00"/>
    <w:rsid w:val="00A4142F"/>
    <w:rsid w:val="00A56DF2"/>
    <w:rsid w:val="00A67AB5"/>
    <w:rsid w:val="00A7272A"/>
    <w:rsid w:val="00A81234"/>
    <w:rsid w:val="00A82672"/>
    <w:rsid w:val="00A85A7C"/>
    <w:rsid w:val="00A91760"/>
    <w:rsid w:val="00A93B00"/>
    <w:rsid w:val="00A93C21"/>
    <w:rsid w:val="00AA4B2D"/>
    <w:rsid w:val="00AB0CE4"/>
    <w:rsid w:val="00AB434E"/>
    <w:rsid w:val="00AC3C6A"/>
    <w:rsid w:val="00AC481C"/>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4F83"/>
    <w:rsid w:val="00B51745"/>
    <w:rsid w:val="00B51798"/>
    <w:rsid w:val="00B53C56"/>
    <w:rsid w:val="00B60004"/>
    <w:rsid w:val="00B74D63"/>
    <w:rsid w:val="00B77EA6"/>
    <w:rsid w:val="00B81598"/>
    <w:rsid w:val="00B841F1"/>
    <w:rsid w:val="00B86B18"/>
    <w:rsid w:val="00B944D6"/>
    <w:rsid w:val="00BB4DF0"/>
    <w:rsid w:val="00BC289F"/>
    <w:rsid w:val="00BC5361"/>
    <w:rsid w:val="00BC5460"/>
    <w:rsid w:val="00BC6B50"/>
    <w:rsid w:val="00BD0E25"/>
    <w:rsid w:val="00BE7BC6"/>
    <w:rsid w:val="00BF5BD6"/>
    <w:rsid w:val="00C03E31"/>
    <w:rsid w:val="00C33E72"/>
    <w:rsid w:val="00C3445D"/>
    <w:rsid w:val="00C34A4F"/>
    <w:rsid w:val="00C354B2"/>
    <w:rsid w:val="00C35554"/>
    <w:rsid w:val="00C42709"/>
    <w:rsid w:val="00C533CC"/>
    <w:rsid w:val="00C5751C"/>
    <w:rsid w:val="00C61BFC"/>
    <w:rsid w:val="00C62B85"/>
    <w:rsid w:val="00C640A1"/>
    <w:rsid w:val="00C65438"/>
    <w:rsid w:val="00C668C5"/>
    <w:rsid w:val="00C86F44"/>
    <w:rsid w:val="00C91CBB"/>
    <w:rsid w:val="00CB42A1"/>
    <w:rsid w:val="00CC09B6"/>
    <w:rsid w:val="00CC666F"/>
    <w:rsid w:val="00CD1E3F"/>
    <w:rsid w:val="00CE052C"/>
    <w:rsid w:val="00CE44F6"/>
    <w:rsid w:val="00CE49DA"/>
    <w:rsid w:val="00CE7B61"/>
    <w:rsid w:val="00CF6E7D"/>
    <w:rsid w:val="00D00095"/>
    <w:rsid w:val="00D15BEC"/>
    <w:rsid w:val="00D20620"/>
    <w:rsid w:val="00D26091"/>
    <w:rsid w:val="00D34E7C"/>
    <w:rsid w:val="00D35489"/>
    <w:rsid w:val="00D51276"/>
    <w:rsid w:val="00D64B70"/>
    <w:rsid w:val="00D65988"/>
    <w:rsid w:val="00D7035F"/>
    <w:rsid w:val="00D8686F"/>
    <w:rsid w:val="00D97C7A"/>
    <w:rsid w:val="00DA5916"/>
    <w:rsid w:val="00DA65AC"/>
    <w:rsid w:val="00DB1913"/>
    <w:rsid w:val="00DC2ED7"/>
    <w:rsid w:val="00DC410D"/>
    <w:rsid w:val="00DC68CA"/>
    <w:rsid w:val="00DC7CBA"/>
    <w:rsid w:val="00DD73B7"/>
    <w:rsid w:val="00DE320D"/>
    <w:rsid w:val="00DF007D"/>
    <w:rsid w:val="00DF28BC"/>
    <w:rsid w:val="00DF2E67"/>
    <w:rsid w:val="00DF34B9"/>
    <w:rsid w:val="00DF6E3F"/>
    <w:rsid w:val="00E01053"/>
    <w:rsid w:val="00E07ACF"/>
    <w:rsid w:val="00E114FD"/>
    <w:rsid w:val="00E20D1C"/>
    <w:rsid w:val="00E331A1"/>
    <w:rsid w:val="00E33202"/>
    <w:rsid w:val="00E336A9"/>
    <w:rsid w:val="00E50624"/>
    <w:rsid w:val="00E568DF"/>
    <w:rsid w:val="00E56C34"/>
    <w:rsid w:val="00E56E47"/>
    <w:rsid w:val="00E64269"/>
    <w:rsid w:val="00E82267"/>
    <w:rsid w:val="00E90486"/>
    <w:rsid w:val="00E9257C"/>
    <w:rsid w:val="00EA010F"/>
    <w:rsid w:val="00EA1DBA"/>
    <w:rsid w:val="00EB4C34"/>
    <w:rsid w:val="00ED1B63"/>
    <w:rsid w:val="00ED3C1F"/>
    <w:rsid w:val="00ED4085"/>
    <w:rsid w:val="00ED420E"/>
    <w:rsid w:val="00ED7024"/>
    <w:rsid w:val="00ED7460"/>
    <w:rsid w:val="00EE2F57"/>
    <w:rsid w:val="00EE34D4"/>
    <w:rsid w:val="00EF41F7"/>
    <w:rsid w:val="00EF4C34"/>
    <w:rsid w:val="00EF77C6"/>
    <w:rsid w:val="00EF7BB0"/>
    <w:rsid w:val="00F05438"/>
    <w:rsid w:val="00F1361C"/>
    <w:rsid w:val="00F160C7"/>
    <w:rsid w:val="00F222A1"/>
    <w:rsid w:val="00F32E9D"/>
    <w:rsid w:val="00F36D8F"/>
    <w:rsid w:val="00F37D03"/>
    <w:rsid w:val="00F417B1"/>
    <w:rsid w:val="00F42F85"/>
    <w:rsid w:val="00F602DF"/>
    <w:rsid w:val="00F81FD9"/>
    <w:rsid w:val="00F841AA"/>
    <w:rsid w:val="00FA23E8"/>
    <w:rsid w:val="00FB526A"/>
    <w:rsid w:val="00FB5DCE"/>
    <w:rsid w:val="00FC0D7B"/>
    <w:rsid w:val="00FC458D"/>
    <w:rsid w:val="00FD112C"/>
    <w:rsid w:val="00FD3CC1"/>
    <w:rsid w:val="00FD4A6A"/>
    <w:rsid w:val="00FE34BB"/>
    <w:rsid w:val="00FF1E02"/>
    <w:rsid w:val="00FF30B4"/>
    <w:rsid w:val="019D3511"/>
    <w:rsid w:val="020B07BA"/>
    <w:rsid w:val="02364766"/>
    <w:rsid w:val="02B060D0"/>
    <w:rsid w:val="069D1BFD"/>
    <w:rsid w:val="089E1182"/>
    <w:rsid w:val="09DB648F"/>
    <w:rsid w:val="0A7D3C22"/>
    <w:rsid w:val="0C0A31A3"/>
    <w:rsid w:val="0C65246D"/>
    <w:rsid w:val="0E0E6EB4"/>
    <w:rsid w:val="10C055FF"/>
    <w:rsid w:val="16BB723D"/>
    <w:rsid w:val="17CC20B8"/>
    <w:rsid w:val="181B0181"/>
    <w:rsid w:val="1B364A39"/>
    <w:rsid w:val="1B5B0B2D"/>
    <w:rsid w:val="1BF15163"/>
    <w:rsid w:val="1C507E77"/>
    <w:rsid w:val="1E147BE1"/>
    <w:rsid w:val="1FFF7211"/>
    <w:rsid w:val="2302645A"/>
    <w:rsid w:val="240371BF"/>
    <w:rsid w:val="244D0346"/>
    <w:rsid w:val="26606CE0"/>
    <w:rsid w:val="29080911"/>
    <w:rsid w:val="29FD04D3"/>
    <w:rsid w:val="2B4D63B6"/>
    <w:rsid w:val="2E3938FB"/>
    <w:rsid w:val="30830FA6"/>
    <w:rsid w:val="319F7F4E"/>
    <w:rsid w:val="33D672FE"/>
    <w:rsid w:val="33FC4A08"/>
    <w:rsid w:val="343034EE"/>
    <w:rsid w:val="35AB1674"/>
    <w:rsid w:val="36BA6810"/>
    <w:rsid w:val="39233B37"/>
    <w:rsid w:val="394F6A8D"/>
    <w:rsid w:val="3B7346FF"/>
    <w:rsid w:val="3CCF5DD6"/>
    <w:rsid w:val="3CD672B4"/>
    <w:rsid w:val="409501C5"/>
    <w:rsid w:val="40D10382"/>
    <w:rsid w:val="410C4159"/>
    <w:rsid w:val="44083C3F"/>
    <w:rsid w:val="48384D73"/>
    <w:rsid w:val="48710218"/>
    <w:rsid w:val="4A244C02"/>
    <w:rsid w:val="4C1635B0"/>
    <w:rsid w:val="4D9A5C97"/>
    <w:rsid w:val="4DC112FA"/>
    <w:rsid w:val="4EB87AE9"/>
    <w:rsid w:val="50FB36C9"/>
    <w:rsid w:val="53C52CC6"/>
    <w:rsid w:val="54095BFB"/>
    <w:rsid w:val="571C2419"/>
    <w:rsid w:val="58981EEA"/>
    <w:rsid w:val="59503AB8"/>
    <w:rsid w:val="5BB43DD4"/>
    <w:rsid w:val="5CAC07B2"/>
    <w:rsid w:val="5F574957"/>
    <w:rsid w:val="602055CE"/>
    <w:rsid w:val="60860B84"/>
    <w:rsid w:val="622C179E"/>
    <w:rsid w:val="625D4E2B"/>
    <w:rsid w:val="630A5E92"/>
    <w:rsid w:val="6488707F"/>
    <w:rsid w:val="64F40025"/>
    <w:rsid w:val="664C004A"/>
    <w:rsid w:val="66630D48"/>
    <w:rsid w:val="68812CB4"/>
    <w:rsid w:val="6C8F73EA"/>
    <w:rsid w:val="6F05257D"/>
    <w:rsid w:val="70EB2F60"/>
    <w:rsid w:val="71475E36"/>
    <w:rsid w:val="718A7AD1"/>
    <w:rsid w:val="73FF3C12"/>
    <w:rsid w:val="742C0A72"/>
    <w:rsid w:val="751C28DA"/>
    <w:rsid w:val="765D1473"/>
    <w:rsid w:val="78521B7F"/>
    <w:rsid w:val="7AF504A2"/>
    <w:rsid w:val="7DAC2705"/>
    <w:rsid w:val="7EC503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0"/>
    <w:pPr>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www.wps.cn/officeDocument/2018/webExtension" Target="webExtensions/webExtension2.xml"/><Relationship Id="rId8" Type="http://schemas.openxmlformats.org/officeDocument/2006/relationships/image" Target="media/image1.png"/><Relationship Id="rId7" Type="http://www.wps.cn/officeDocument/2018/webExtension" Target="webExtensions/webExtension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www.wps.cn/officeDocument/2018/webExtension" Target="webExtensions/webExtension5.xml"/><Relationship Id="rId15" Type="http://schemas.openxmlformats.org/officeDocument/2006/relationships/image" Target="media/image4.png"/><Relationship Id="rId14" Type="http://www.wps.cn/officeDocument/2018/webExtension" Target="webExtensions/webExtension4.xml"/><Relationship Id="rId13" Type="http://schemas.openxmlformats.org/officeDocument/2006/relationships/image" Target="media/image3.png"/><Relationship Id="rId12" Type="http://www.wps.cn/officeDocument/2018/webExtension" Target="webExtensions/webExtension3.xml"/><Relationship Id="rId11" Type="http://schemas.openxmlformats.org/officeDocument/2006/relationships/chart" Target="charts/chart1.xml"/><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289783119937288"/>
          <c:y val="0.180154355016538"/>
          <c:w val="0.444473477920042"/>
          <c:h val="0.750165380374862"/>
        </c:manualLayout>
      </c:layout>
      <c:pieChart>
        <c:varyColors val="1"/>
        <c:ser>
          <c:idx val="0"/>
          <c:order val="0"/>
          <c:tx>
            <c:strRef>
              <c:f>Sheet1!$B$1</c:f>
              <c:strCache>
                <c:ptCount val="1"/>
                <c:pt idx="0">
                  <c:v>支出决算情况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elete val="1"/>
          </c:dLbls>
          <c:cat>
            <c:strRef>
              <c:f>Sheet1!$A$2:$A$3</c:f>
              <c:strCache>
                <c:ptCount val="2"/>
                <c:pt idx="0">
                  <c:v>基本支出</c:v>
                </c:pt>
                <c:pt idx="1">
                  <c:v>项目支出</c:v>
                </c:pt>
              </c:strCache>
            </c:strRef>
          </c:cat>
          <c:val>
            <c:numRef>
              <c:f>Sheet1!$B$2:$B$3</c:f>
              <c:numCache>
                <c:formatCode>General</c:formatCode>
                <c:ptCount val="2"/>
                <c:pt idx="0">
                  <c:v>508.44</c:v>
                </c:pt>
                <c:pt idx="1">
                  <c:v>273.81</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2.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3.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4.xlsx"/></Relationships>
</file>

<file path=word/webExtensions/_rels/webExtension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5.xlsx"/></Relationships>
</file>

<file path=word/webExtensions/_rels/webExtension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package" Target="../embeddings/Workbook6.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度&quot;,&quot;收入&quot;,&quot;支出&quot;],[&quot;2022&quot;,&quot;1583.83&quot;,&quot;1583.83&quot;],[&quot;2023&quot;,&quot;782.25&quot;,&quot;782.25&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342.69662921348316,&quot;ratio&quot;:&quot;&quot;,&quot;rotate&quot;:0,&quot;width&quot;:546.0674157303371},&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flag&quot;:&quot;1003&quot;,&quot;id&quot;:&quot;&quot;}"/>
    <wpswe:property key="isUseCommonErrorPage" value="false"/>
    <wpswe:property key="loadingImage" value="res:/icons/DsWebShapeDefaultPage.svg"/>
  </wpswe:properties>
  <wpswe:watchingCache>
    <wpswe:linkPath>C:/Users/Administrator/AppData/Local/Temp/wps.nHAlqe/Workbook2.xlsx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https://clientweb.docer.wps.cn/ds/1.0.0/webShapeView?id=&amp;dschart_id=3612096174443311105-3&amp;from=taskbar_default&amp;productEntry=toolbar&amp;sceneEntry=tosobc_column&amp;flag=1003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项目&quot;,&quot;占比（%）&quot;],[&quot;一般公共预算财政拨款收入&quot;,&quot;99.96&quot;],[&quot;附属单位上缴收入&quot;,&quot;0.04&quot;]]],&quot;dataType&quot;:&quot;obejct-table&quot;,&quot;download&quot;:false,&quot;srcType&quot;:&quot;local&quot;,&quot;url&quot;:&quot;&quot;},&quot;function_type&quot;:[&quot;饼图&quot;],&quot;gif&quot;:&quot;//web.docer.wpscdn.cn/docer/ds-page/images/444746070325460997.gif?imageView2/2/w/500/quality/90&quot;,&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quot;,&quot;colors&quot;:{&quot;colorControlers&quot;:[&quot;multiple&quot;,&quot;linear&quot;],&quot;list&quot;:[0,5],&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false,&quot;positionChoice&quot;:&quot;内部水平&quot;,&quot;positionOptions&quot;:[&quot;内部周向&quot;,&quot;内部水平&quot;,&quot;外部&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66,&quot;ratio&quot;:&quot;&quot;,&quot;rotate&quot;:0,&quot;width&quot;:548.6666666666666},&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E8hjxBcbsDqAkMBMmTgoN2.D0C288B1.jpg?imageView2/2/w/500/quality/90&quot;,&quot;title&quot;:&quot;基础饼图&quot;,&quot;type&quot;:&quot;chart&quot;},&quot;dschart_id&quot;:&quot;444746070325460997&quot;,&quot;flag&quot;:&quot;1003&quot;,&quot;page&quot;:&quot;editor&quot;}"/>
    <wpswe:property key="isUseCommonErrorPage" value="false"/>
    <wpswe:property key="loadingImage" value="res:/icons/DsWebShapeDefaultPage.svg"/>
  </wpswe:properties>
  <wpswe:watchingCache>
    <wpswe:linkPath>C:/Users/Administrator/AppData/Local/Temp/wps.eqoqva/Workbook3.xlsx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https://clientweb.docer.wps.cn/ds/1.0.0/webShapeView?id=&amp;dschart_id=444746070325460997&amp;from=taskbar_default&amp;productEntry=toolbar&amp;sceneEntry=tosobc_pie&amp;flag=1003</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度&quot;,&quot;收入&quot;,&quot;支出&quot;],[&quot;2022&quot;,&quot;1429.84&quot;,&quot;1429.84&quot;],[&quot;2023&quot;,&quot;781.95&quot;,&quot;781.95&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342.69662921348316,&quot;ratio&quot;:&quot;&quot;,&quot;rotate&quot;:0,&quot;width&quot;:546.0674157303371},&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flag&quot;:&quot;1003&quot;,&quot;id&quot;:&quot;&quot;}"/>
    <wpswe:property key="isUseCommonErrorPage" value="false"/>
    <wpswe:property key="loadingImage" value="res:/icons/DsWebShapeDefaultPage.svg"/>
  </wpswe:properties>
  <wpswe:watchingCache>
    <wpswe:linkPath>C:/Users/Administrator/AppData/Local/Temp/wps.QJWnFO/Workbook4.xlsx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https://clientweb.docer.wps.cn/ds/1.0.0/webShapeView?id=&amp;dschart_id=3612096174443311105-3&amp;from=taskbar_default&amp;productEntry=toolbar&amp;sceneEntry=tosobc_column&amp;flag=1003</wpswe:url>
  <wpswe:constantSnapshot>false</wpswe:constantSnapshot>
</wpswe:webExtension>
</file>

<file path=word/webExtensions/webExtension4.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0708166709743559&quot;,&quot;chart_type&quot;:&quot;柱状图&quot;,&quot;classifty_type&quot;:[&quot;比较类&quot;],&quot;dataSrc&quot;:{&quot;data&quot;:[[[&quot;时间&quot;,&quot;金额（万元）&quot;],[&quot;2022&quot;,&quot;1429.84&quot;],[&quot;2023&quot;,&quot;781.95&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160732933154413062&quot;,&quot;props&quot;:{&quot;animation&quot;:{&quot;duration&quot;:&quot;2&quot;,&quot;easeStyle&quot;:&quot;&quot;,&quot;endPause&quot;:&quot;1&quot;,&quot;moveOptions&quot;:[&quot;纵向同步拉伸&quot;,&quot;纵向依次拉伸&quot;,&quot;横向同步展开&quot;,&quot;横向依次展开&quot;],&quot;moveStyle&quot;:&quot;纵向同步拉伸&quot;,&quot;startDelay&quot;:&quot;0&quot;,&quot;transition&quot;:true},&quot;axis&quot;:{&quot;color&quot;:&quot;#a1a1a1&quot;,&quot;grid&quot;:{&quot;color&quot;:&quot;#ccc&quot;,&quot;gridLineWidth&quot;:&quot;1&quot;,&quot;lineStyle&quot;:&quot;dashline&quot;,&quot;show&quot;:&quot;none&quot;},&quot;x&quot;:{&quot;axisColor&quot;:&quot;#bfbfbf&quot;,&quot;axisLineWidth&quot;:&quot;1&quot;,&quot;axisShow&quot;:fals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false,&quot;labelSuffix&quot;:&quot;&quot;,&quot;name&quot;:&quot;&quot;,&quot;range&quot;:[],&quot;stepOfLabel&quot;:&quot;&quot;}},&quot;backgroundColor&quot;:&quot;&quot;,&quot;colors&quot;:{&quot;colorControlers&quot;:[&quot;single&quot;,&quot;multiple&quot;,&quot;linear&quot;],&quot;list&quot;:[3,0],&quot;type&quot;:&quot;linear&quot;},&quot;display&quot;:{&quot;bar4CornerRadius&quot;:[18,18,18,18],&quot;barWidthPercent&quot;:&quot;0.5&quot;,&quot;borderColor&quot;:&quot;&quot;,&quot;borderWidth&quot;:&quot;0&quot;,&quot;fillOpacity&quot;:&quot;1&quot;},&quot;font&quot;:{&quot;color&quot;:&quot;#333333ff&quot;,&quot;fontFamily&quot;:&quot;阿里巴巴普惠体 常规&quot;,&quot;fontSize&quot;:16},&quot;label&quot;:{&quot;display&quot;:true,&quot;positionChoice&quot;:&quot;上面&quot;,&quot;positionOptions&quot;:[&quot;上面&quot;,&quot;内部居下&quot;],&quot;suffix&quot;:&quot;&quot;,&quot;textLabel&quot;:{&quot;color&quot;:&quot;#333333ff&quot;,&quot;fontFamily&quot;:&quot;阿里巴巴普惠体 常规&quot;,&quot;fontSize&quot;:16}},&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301.3333333333333,&quot;ratio&quot;:&quot;&quot;,&quot;rotate&quot;:0,&quot;width&quot;:566.6666666666667},&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charts.com/newchartWatermark.png&quot;,&quot;imgWidth&quot;:&quot;80&quot;,&quot;show&quot;:false}},&quot;templateId&quot;:&quot;444734748594536323-2&quot;,&quot;templateSwitch&quot;:&quot;key-value&quot;,&quot;theme&quot;:{&quot;_id&quot;:18,&quot;axis&quot;:{&quot;color&quot;:&quot;#a1a1a1 &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18&quot;}},&quot;thumb&quot;:&quot;//web.docer.wpscdn.cn/docer/ds-page/images/444734748594536323-2.png&quot;,&quot;title&quot;:&quot;基础柱状图&quot;,&quot;type&quot;:&quot;chart&quot;},&quot;dschart_id&quot;:&quot;444734748594536323-2&quot;,&quot;flag&quot;:&quot;1003&quot;,&quot;id&quot;:&quot;45&quot;}"/>
    <wpswe:property key="isUseCommonErrorPage" value="false"/>
    <wpswe:property key="loadingImage" value="res:/icons/DsWebShapeDefaultPage.svg"/>
  </wpswe:properties>
  <wpswe:watchingCache>
    <wpswe:linkPath>C:/Users/Administrator/AppData/Local/Temp/wps.jXbupu/Workbook5.xlsx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https://clientweb.docer.wps.cn/ds/1.0.0/webShapeView?id=45&amp;dschart_id=154772011302084304&amp;from=resource&amp;productEntry=docers&amp;sceneEntry=docrec&amp;flag=1003</wpswe:url>
  <wpswe:constantSnapshot>false</wpswe:constantSnapshot>
</wpswe:webExtension>
</file>

<file path=word/webExtensions/webExtension5.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699681860417958&quot;,&quot;chart_type&quot;:&quot;饼图&quot;,&quot;classifty_type&quot;:[&quot;占比类&quot;],&quot;dataSrc&quot;:{&quot;data&quot;:[[[&quot;项目&quot;,&quot;占比（%）&quot;],[&quot;教育支出（类）&quot;,&quot;92.30&quot;],[&quot;社会保障和就业（类）支出&quot;,&quot;28.58&quot;],[&quot;卫生健康（类）支出&quot;,&quot;1.45&quot;],[&quot;住房保障支出&quot;,&quot;2.60&quot;],[&quot;其他类支出&quot;,&quot;0&quot;]]],&quot;dataType&quot;:&quot;obejct-table&quot;,&quot;download&quot;:false,&quot;srcType&quot;:&quot;local&quot;,&quot;url&quot;:&quot;&quot;},&quot;function_type&quot;:[&quot;饼图&quot;],&quot;gif&quot;:&quot;https://image.dycharts.com/444746070325460997.gif?imageView2/2/w/500/quality/90&quot;,&quot;isFree&quot;:&quot;0&quot;,&quot;label&quot;:&quot;&lt;e-piebasic-chart&gt;&quot;,&quot;position&quot;:{&quot;left&quot;:0,&quot;top&quot;:0},&quot;price&quot;:0,&quot;projectId&quot;:&quot;164758893425733001&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quot;,&quot;colors&quot;:{&quot;colorControlers&quot;:[&quot;multiple&quot;,&quot;linear&quot;],&quot;list&quot;:[&quot;#4FC7BAff&quot;,&quot;#A1B3F8ff&quot;,&quot;#9AE5F7ff&quot;,&quot;#fee10cff&quot;,0],&quot;type&quot;:&quot;multiple&quot;},&quot;display&quot;:{&quot;borderColor&quot;:&quot;#222222ff&quot;,&quot;borderWidth&quot;:1.5,&quot;cornerRadius&quot;:0,&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OPPOSans-M&quot;,&quot;fontSize&quot;:&quot;15&quot;}},&quot;legend&quot;:{&quot;color&quot;:[&quot;#545454&quot;],&quot;fontFamily&quot;:&quot;OPPOSans-M&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88.59060402684565,&quot;ratio&quot;:&quot;&quot;,&quot;rotate&quot;:0,&quot;width&quot;:651.006711409396},&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OPPOSans-M&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false,&quot;text&quot;:&quot; &quot;,&quot;xPosition&quot;:&quot;left&quot;,&quot;yPosition&quot;:&quot;top&quot;},&quot;watermarkDisplay&quot;:{&quot;imgHeight&quot;:&quot;80&quot;,&quot;imgUrl&quot;:&quot;https://ss1.dycharts.com/newchartWatermark.png&quot;,&quot;imgWidth&quot;:&quot;80&quot;,&quot;show&quot;:false}},&quot;templateId&quot;:&quot;444746070325460997-3&quot;,&quot;templateSwitch&quot;:&quot;key-value&quot;,&quot;theme&quot;:{&quot;_id&quot;:18,&quot;axis&quot;:{&quot;color&quot;:&quot;#a1a1a1 &quot;},&quot;backgroundColor&quot;:&quot;#FFFFFF&quot;,&quot;colors&quot;:[&quot;#4FC7BAff&quot;,&quot;#A1B3F8ff&quot;,&quot;#9AE5F7ff&quot;,&quot;#fee10cff&quot;,&quot;#4FC7BAff&quot;,&quot;#A1B3F8ff&quot;,&quot;#9AE5F7ff&quot;,&quot;#fee10cff&quot;,&quot;#4FC7BAff&quot;,&quot;#A1B3F8ff&quot;,&quot;#9AE5F7ff&quot;,&quot;#fee10cff&quot;,&quot;#4FC7BAff&quot;,&quot;#A1B3F8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444746070325460997-3.png&quot;,&quot;title&quot;:&quot;基础饼图&quot;,&quot;type&quot;:&quot;chart&quot;},&quot;dschart_id&quot;:&quot;444746070325460997-3&quot;,&quot;flag&quot;:&quot;1003&quot;,&quot;id&quot;:&quot;&quot;}"/>
    <wpswe:property key="isUseCommonErrorPage" value="false"/>
    <wpswe:property key="loadingImage" value="res:/icons/DsWebShapeDefaultPage.svg"/>
  </wpswe:properties>
  <wpswe:watchingCache>
    <wpswe:linkPath>C:/Users/Administrator/AppData/Local/Temp/wps.wWCmSm/Workbook6.xlsx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https://clientweb.docer.wps.cn/ds/1.0.0/webShapeView?id=&amp;dschart_id=444746070325460997-3&amp;from=taskbar_default&amp;productEntry=toolbar&amp;sceneEntry=tosobc_pie&amp;flag=1003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02F57-F1DB-493B-B0CE-57D9409400C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5519</Words>
  <Characters>5874</Characters>
  <Lines>72</Lines>
  <Paragraphs>20</Paragraphs>
  <TotalTime>1</TotalTime>
  <ScaleCrop>false</ScaleCrop>
  <LinksUpToDate>false</LinksUpToDate>
  <CharactersWithSpaces>5922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2021-09-15T03:21:00Z</dcterms:created>
  <dc:creator>张彬茜</dc:creator>
  <cp:lastModifiedBy>微笑</cp:lastModifiedBy>
  <cp:lastPrinted>2024-10-09T06:21:00Z</cp:lastPrinted>
  <dcterms:modified xsi:type="dcterms:W3CDTF">2024-10-14T10:58:33Z</dcterms:modified>
  <dc:title>四川省***</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71B341B95ACD43759849286D2F7D9F4B</vt:lpwstr>
  </property>
</Properties>
</file>