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15377425"/>
      <w:bookmarkStart w:id="3" w:name="_Toc15396597"/>
      <w:bookmarkStart w:id="4" w:name="_Toc15377193"/>
      <w:bookmarkStart w:id="5" w:name="_Toc1539647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96476"/>
      <w:bookmarkStart w:id="7" w:name="_Toc15377194"/>
      <w:bookmarkStart w:id="8" w:name="_Toc15396598"/>
      <w:bookmarkStart w:id="9" w:name="_Toc15306268"/>
      <w:bookmarkStart w:id="10" w:name="_Toc15378442"/>
      <w:bookmarkStart w:id="11" w:name="_Toc15377426"/>
      <w:r>
        <w:rPr>
          <w:rFonts w:hint="eastAsia" w:ascii="方正小标宋简体" w:hAnsi="方正小标宋简体" w:eastAsia="方正小标宋简体" w:cs="方正小标宋简体"/>
          <w:color w:val="auto"/>
          <w:sz w:val="56"/>
          <w:szCs w:val="56"/>
          <w:highlight w:val="none"/>
          <w:lang w:eastAsia="zh-CN"/>
        </w:rPr>
        <w:t>广元市利州区石龙小学</w:t>
      </w:r>
      <w:r>
        <w:rPr>
          <w:rFonts w:hint="eastAsia" w:ascii="方正小标宋简体" w:hAnsi="方正小标宋简体" w:eastAsia="方正小标宋简体" w:cs="方正小标宋简体"/>
          <w:color w:val="auto"/>
          <w:sz w:val="56"/>
          <w:szCs w:val="56"/>
          <w:highlight w:val="none"/>
        </w:rPr>
        <w:t>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auto"/>
          <w:sz w:val="52"/>
          <w:szCs w:val="52"/>
          <w:highlight w:val="none"/>
        </w:rPr>
      </w:pPr>
    </w:p>
    <w:p>
      <w:pPr>
        <w:widowControl/>
        <w:jc w:val="center"/>
        <w:rPr>
          <w:rFonts w:hint="eastAsia" w:ascii="黑体" w:hAnsi="黑体" w:eastAsia="黑体"/>
          <w:sz w:val="48"/>
          <w:szCs w:val="48"/>
        </w:rPr>
      </w:pPr>
      <w:r>
        <w:rPr>
          <w:rFonts w:ascii="方正小标宋简体" w:hAnsi="宋体" w:eastAsia="方正小标宋简体"/>
          <w:color w:val="auto"/>
          <w:sz w:val="36"/>
          <w:szCs w:val="36"/>
          <w:highlight w:val="none"/>
        </w:rPr>
        <w:br w:type="page"/>
      </w:r>
      <w:r>
        <w:rPr>
          <w:rFonts w:hint="eastAsia" w:ascii="黑体" w:hAnsi="黑体" w:eastAsia="黑体"/>
          <w:sz w:val="48"/>
          <w:szCs w:val="48"/>
        </w:rPr>
        <w:t>目录</w:t>
      </w:r>
    </w:p>
    <w:p>
      <w:pPr>
        <w:pStyle w:val="2"/>
        <w:jc w:val="center"/>
        <w:rPr>
          <w:rFonts w:hint="eastAsia"/>
          <w:color w:val="auto"/>
          <w:highlight w:val="none"/>
        </w:rPr>
      </w:pPr>
    </w:p>
    <w:p>
      <w:pPr>
        <w:pStyle w:val="2"/>
        <w:jc w:val="cente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30</w:t>
      </w:r>
      <w:r>
        <w:rPr>
          <w:rFonts w:hint="eastAsia"/>
          <w:color w:val="auto"/>
          <w:highlight w:val="none"/>
        </w:rPr>
        <w:t>日</w:t>
      </w:r>
    </w:p>
    <w:p>
      <w:pPr>
        <w:widowControl/>
        <w:jc w:val="both"/>
        <w:rPr>
          <w:rFonts w:hint="eastAsia" w:ascii="黑体" w:hAnsi="黑体" w:eastAsia="黑体"/>
          <w:sz w:val="32"/>
          <w:szCs w:val="32"/>
        </w:rPr>
      </w:pPr>
    </w:p>
    <w:p>
      <w:pPr>
        <w:widowControl/>
        <w:jc w:val="both"/>
        <w:rPr>
          <w:rFonts w:hint="eastAsia" w:ascii="仿宋" w:hAnsi="仿宋" w:eastAsia="仿宋"/>
          <w:sz w:val="32"/>
          <w:szCs w:val="32"/>
          <w:lang w:eastAsia="zh-CN"/>
        </w:rPr>
      </w:pPr>
      <w:r>
        <w:rPr>
          <w:rFonts w:hint="eastAsia" w:ascii="黑体" w:hAnsi="黑体" w:eastAsia="黑体"/>
          <w:sz w:val="32"/>
          <w:szCs w:val="32"/>
        </w:rPr>
        <w:t xml:space="preserve">第一部分 </w:t>
      </w:r>
      <w:r>
        <w:rPr>
          <w:rFonts w:hint="eastAsia" w:ascii="黑体" w:hAnsi="黑体" w:eastAsia="黑体"/>
          <w:sz w:val="32"/>
          <w:szCs w:val="32"/>
          <w:lang w:eastAsia="zh-CN"/>
        </w:rPr>
        <w:t>单位</w:t>
      </w:r>
      <w:r>
        <w:rPr>
          <w:rFonts w:hint="eastAsia" w:ascii="黑体" w:hAnsi="黑体" w:eastAsia="黑体"/>
          <w:sz w:val="32"/>
          <w:szCs w:val="32"/>
        </w:rPr>
        <w:t>概况</w:t>
      </w:r>
    </w:p>
    <w:p>
      <w:pPr>
        <w:widowControl/>
        <w:ind w:firstLine="640" w:firstLineChars="200"/>
        <w:rPr>
          <w:rFonts w:hint="eastAsia" w:ascii="仿宋" w:hAnsi="仿宋" w:eastAsia="仿宋"/>
          <w:sz w:val="32"/>
          <w:szCs w:val="32"/>
          <w:lang w:val="en-US" w:eastAsia="zh-CN"/>
        </w:rPr>
      </w:pPr>
      <w:r>
        <w:rPr>
          <w:rFonts w:hint="eastAsia" w:ascii="仿宋" w:hAnsi="仿宋" w:eastAsia="仿宋"/>
          <w:sz w:val="32"/>
          <w:szCs w:val="32"/>
        </w:rPr>
        <w:t>一、</w:t>
      </w:r>
      <w:r>
        <w:rPr>
          <w:rFonts w:hint="eastAsia" w:ascii="仿宋" w:hAnsi="仿宋" w:eastAsia="仿宋"/>
          <w:sz w:val="32"/>
          <w:szCs w:val="32"/>
          <w:lang w:eastAsia="zh-CN"/>
        </w:rPr>
        <w:t>主要职责</w:t>
      </w:r>
    </w:p>
    <w:p>
      <w:pPr>
        <w:widowControl/>
        <w:ind w:firstLine="640" w:firstLineChars="200"/>
        <w:jc w:val="both"/>
        <w:rPr>
          <w:rFonts w:hint="eastAsia"/>
          <w:lang w:val="en-US" w:eastAsia="zh-CN"/>
        </w:rPr>
      </w:pPr>
      <w:r>
        <w:rPr>
          <w:rFonts w:hint="eastAsia" w:ascii="仿宋" w:hAnsi="仿宋" w:eastAsia="仿宋"/>
          <w:sz w:val="32"/>
          <w:szCs w:val="32"/>
        </w:rPr>
        <w:t>二、机构设置</w:t>
      </w:r>
    </w:p>
    <w:p>
      <w:pPr>
        <w:widowControl/>
        <w:jc w:val="left"/>
        <w:rPr>
          <w:rFonts w:hint="eastAsia" w:ascii="仿宋" w:hAnsi="仿宋" w:eastAsia="仿宋"/>
          <w:sz w:val="32"/>
          <w:szCs w:val="32"/>
          <w:lang w:eastAsia="zh-CN"/>
        </w:rPr>
      </w:pPr>
      <w:r>
        <w:rPr>
          <w:rFonts w:hint="eastAsia" w:ascii="黑体" w:hAnsi="黑体" w:eastAsia="黑体"/>
          <w:sz w:val="32"/>
          <w:szCs w:val="32"/>
        </w:rPr>
        <w:t>第二部分 202</w:t>
      </w:r>
      <w:r>
        <w:rPr>
          <w:rFonts w:hint="eastAsia" w:ascii="黑体" w:hAnsi="黑体" w:eastAsia="黑体"/>
          <w:sz w:val="32"/>
          <w:szCs w:val="32"/>
          <w:lang w:val="en-US" w:eastAsia="zh-CN"/>
        </w:rPr>
        <w:t>3</w:t>
      </w:r>
      <w:r>
        <w:rPr>
          <w:rFonts w:hint="eastAsia" w:ascii="黑体" w:hAnsi="黑体" w:eastAsia="黑体"/>
          <w:sz w:val="32"/>
          <w:szCs w:val="32"/>
        </w:rPr>
        <w:t>年度</w:t>
      </w:r>
      <w:r>
        <w:rPr>
          <w:rFonts w:hint="eastAsia" w:ascii="黑体" w:hAnsi="黑体" w:eastAsia="黑体"/>
          <w:sz w:val="32"/>
          <w:szCs w:val="32"/>
          <w:lang w:eastAsia="zh-CN"/>
        </w:rPr>
        <w:t>单位</w:t>
      </w:r>
      <w:r>
        <w:rPr>
          <w:rFonts w:hint="eastAsia" w:ascii="黑体" w:hAnsi="黑体" w:eastAsia="黑体"/>
          <w:sz w:val="32"/>
          <w:szCs w:val="32"/>
        </w:rPr>
        <w:t>决算情况说明</w:t>
      </w:r>
    </w:p>
    <w:p>
      <w:pPr>
        <w:widowControl/>
        <w:ind w:firstLine="640" w:firstLineChars="200"/>
        <w:jc w:val="left"/>
        <w:rPr>
          <w:rFonts w:hint="eastAsia" w:ascii="仿宋" w:hAnsi="仿宋" w:eastAsia="仿宋"/>
          <w:sz w:val="32"/>
          <w:szCs w:val="32"/>
        </w:rPr>
      </w:pPr>
      <w:r>
        <w:rPr>
          <w:rFonts w:hint="eastAsia" w:ascii="仿宋" w:hAnsi="仿宋" w:eastAsia="仿宋"/>
          <w:sz w:val="32"/>
          <w:szCs w:val="32"/>
        </w:rPr>
        <w:t>一、收入支出决算总体情况说明</w:t>
      </w:r>
    </w:p>
    <w:p>
      <w:pPr>
        <w:widowControl/>
        <w:ind w:firstLine="640" w:firstLineChars="200"/>
        <w:jc w:val="left"/>
        <w:rPr>
          <w:rFonts w:hint="eastAsia" w:ascii="仿宋" w:hAnsi="仿宋" w:eastAsia="仿宋"/>
          <w:sz w:val="32"/>
          <w:szCs w:val="32"/>
        </w:rPr>
      </w:pPr>
      <w:r>
        <w:rPr>
          <w:rFonts w:hint="eastAsia" w:ascii="仿宋" w:hAnsi="仿宋" w:eastAsia="仿宋"/>
          <w:sz w:val="32"/>
          <w:szCs w:val="32"/>
        </w:rPr>
        <w:t>二、收入决算情况说明</w:t>
      </w:r>
    </w:p>
    <w:p>
      <w:pPr>
        <w:widowControl/>
        <w:ind w:firstLine="640" w:firstLineChars="200"/>
        <w:jc w:val="left"/>
        <w:rPr>
          <w:rFonts w:hint="eastAsia" w:ascii="仿宋" w:hAnsi="仿宋" w:eastAsia="仿宋"/>
          <w:sz w:val="32"/>
          <w:szCs w:val="32"/>
        </w:rPr>
      </w:pPr>
      <w:r>
        <w:rPr>
          <w:rFonts w:hint="eastAsia" w:ascii="仿宋" w:hAnsi="仿宋" w:eastAsia="仿宋"/>
          <w:sz w:val="32"/>
          <w:szCs w:val="32"/>
        </w:rPr>
        <w:t>三、支出决算情况说明</w:t>
      </w:r>
    </w:p>
    <w:p>
      <w:pPr>
        <w:widowControl/>
        <w:ind w:firstLine="640" w:firstLineChars="200"/>
        <w:jc w:val="left"/>
        <w:rPr>
          <w:rFonts w:hint="default" w:ascii="仿宋" w:hAnsi="仿宋" w:eastAsia="仿宋"/>
          <w:sz w:val="32"/>
          <w:szCs w:val="32"/>
          <w:lang w:val="en-US"/>
        </w:rPr>
      </w:pPr>
      <w:r>
        <w:rPr>
          <w:rFonts w:hint="eastAsia" w:ascii="仿宋" w:hAnsi="仿宋" w:eastAsia="仿宋"/>
          <w:sz w:val="32"/>
          <w:szCs w:val="32"/>
        </w:rPr>
        <w:t>四、财政拨款收入支出决算总体情况说明</w:t>
      </w:r>
    </w:p>
    <w:p>
      <w:pPr>
        <w:widowControl/>
        <w:ind w:left="638" w:leftChars="304" w:firstLine="0" w:firstLineChars="0"/>
        <w:jc w:val="left"/>
        <w:rPr>
          <w:rFonts w:hint="eastAsia" w:ascii="仿宋" w:hAnsi="仿宋" w:eastAsia="仿宋"/>
          <w:sz w:val="32"/>
          <w:szCs w:val="32"/>
        </w:rPr>
      </w:pPr>
      <w:r>
        <w:rPr>
          <w:rFonts w:hint="eastAsia" w:ascii="仿宋" w:hAnsi="仿宋" w:eastAsia="仿宋"/>
          <w:sz w:val="32"/>
          <w:szCs w:val="32"/>
        </w:rPr>
        <w:t>五、一般公共预算财政拨款支出决算情况说明</w:t>
      </w:r>
    </w:p>
    <w:p>
      <w:pPr>
        <w:widowControl/>
        <w:ind w:left="638" w:leftChars="304" w:firstLine="0" w:firstLineChars="0"/>
        <w:jc w:val="left"/>
        <w:rPr>
          <w:rFonts w:hint="eastAsia" w:ascii="仿宋" w:hAnsi="仿宋" w:eastAsia="仿宋"/>
          <w:sz w:val="32"/>
          <w:szCs w:val="32"/>
          <w:lang w:val="en-US" w:eastAsia="zh-CN"/>
        </w:rPr>
      </w:pPr>
      <w:r>
        <w:rPr>
          <w:rFonts w:hint="eastAsia" w:ascii="仿宋" w:hAnsi="仿宋" w:eastAsia="仿宋"/>
          <w:sz w:val="32"/>
          <w:szCs w:val="32"/>
        </w:rPr>
        <w:t>六、一般公共预算财政拨款基本支出决算情况说明</w:t>
      </w:r>
      <w:r>
        <w:rPr>
          <w:rFonts w:hint="eastAsia" w:ascii="仿宋" w:hAnsi="仿宋" w:eastAsia="仿宋"/>
          <w:sz w:val="32"/>
          <w:szCs w:val="32"/>
          <w:lang w:val="en-US" w:eastAsia="zh-CN"/>
        </w:rPr>
        <w:t xml:space="preserve"> </w:t>
      </w:r>
    </w:p>
    <w:p>
      <w:pPr>
        <w:widowControl/>
        <w:ind w:left="638" w:leftChars="304" w:firstLine="0" w:firstLineChars="0"/>
        <w:jc w:val="left"/>
        <w:rPr>
          <w:rFonts w:hint="eastAsia" w:ascii="仿宋" w:hAnsi="仿宋" w:eastAsia="仿宋"/>
          <w:sz w:val="32"/>
          <w:szCs w:val="32"/>
        </w:rPr>
      </w:pPr>
      <w:r>
        <w:rPr>
          <w:rFonts w:hint="eastAsia" w:ascii="仿宋" w:hAnsi="仿宋" w:eastAsia="仿宋"/>
          <w:sz w:val="32"/>
          <w:szCs w:val="32"/>
        </w:rPr>
        <w:t>七、“三公”经费财政拨款支出决算情况说明</w:t>
      </w:r>
    </w:p>
    <w:p>
      <w:pPr>
        <w:widowControl/>
        <w:ind w:left="638" w:leftChars="304" w:firstLine="0" w:firstLineChars="0"/>
        <w:jc w:val="left"/>
        <w:rPr>
          <w:rFonts w:hint="eastAsia" w:ascii="仿宋" w:hAnsi="仿宋" w:eastAsia="仿宋"/>
          <w:sz w:val="32"/>
          <w:szCs w:val="32"/>
        </w:rPr>
      </w:pPr>
      <w:r>
        <w:rPr>
          <w:rFonts w:hint="eastAsia" w:ascii="仿宋" w:hAnsi="仿宋" w:eastAsia="仿宋"/>
          <w:sz w:val="32"/>
          <w:szCs w:val="32"/>
        </w:rPr>
        <w:t>八、政府性基金预算支出决算情况说明</w:t>
      </w:r>
    </w:p>
    <w:p>
      <w:pPr>
        <w:widowControl/>
        <w:ind w:left="638" w:leftChars="304" w:firstLine="0" w:firstLineChars="0"/>
        <w:jc w:val="left"/>
        <w:rPr>
          <w:rFonts w:hint="default" w:ascii="仿宋" w:hAnsi="仿宋" w:eastAsia="仿宋"/>
          <w:sz w:val="32"/>
          <w:szCs w:val="32"/>
          <w:lang w:val="en-US" w:eastAsia="zh-CN"/>
        </w:rPr>
      </w:pPr>
      <w:r>
        <w:rPr>
          <w:rFonts w:hint="eastAsia" w:ascii="仿宋" w:hAnsi="仿宋" w:eastAsia="仿宋"/>
          <w:sz w:val="32"/>
          <w:szCs w:val="32"/>
        </w:rPr>
        <w:t>九、国有资本经营预算支出决算情况说明</w:t>
      </w:r>
    </w:p>
    <w:p>
      <w:pPr>
        <w:widowControl/>
        <w:ind w:firstLine="640" w:firstLineChars="200"/>
        <w:jc w:val="left"/>
        <w:rPr>
          <w:rFonts w:hint="default" w:ascii="仿宋" w:hAnsi="仿宋" w:eastAsia="仿宋"/>
          <w:sz w:val="32"/>
          <w:szCs w:val="32"/>
          <w:lang w:val="en-US"/>
        </w:rPr>
      </w:pPr>
      <w:r>
        <w:rPr>
          <w:rFonts w:hint="eastAsia" w:ascii="仿宋" w:hAnsi="仿宋" w:eastAsia="仿宋"/>
          <w:sz w:val="32"/>
          <w:szCs w:val="32"/>
        </w:rPr>
        <w:t>十、其他重要事项的情况说明</w:t>
      </w:r>
    </w:p>
    <w:p>
      <w:pPr>
        <w:widowControl/>
        <w:jc w:val="left"/>
        <w:rPr>
          <w:rFonts w:hint="default" w:ascii="仿宋" w:hAnsi="仿宋" w:eastAsia="仿宋"/>
          <w:sz w:val="32"/>
          <w:szCs w:val="32"/>
          <w:lang w:val="en-US" w:eastAsia="zh-CN"/>
        </w:rPr>
      </w:pPr>
      <w:r>
        <w:rPr>
          <w:rFonts w:hint="eastAsia" w:ascii="黑体" w:hAnsi="黑体" w:eastAsia="黑体"/>
          <w:sz w:val="32"/>
          <w:szCs w:val="32"/>
        </w:rPr>
        <w:t>第三部分 名词解释</w:t>
      </w:r>
    </w:p>
    <w:p>
      <w:pPr>
        <w:widowControl/>
        <w:jc w:val="left"/>
        <w:rPr>
          <w:rFonts w:hint="eastAsia" w:ascii="黑体" w:hAnsi="黑体" w:eastAsia="黑体"/>
          <w:sz w:val="32"/>
          <w:szCs w:val="32"/>
        </w:rPr>
      </w:pPr>
      <w:r>
        <w:rPr>
          <w:rFonts w:hint="eastAsia" w:ascii="黑体" w:hAnsi="黑体" w:eastAsia="黑体"/>
          <w:sz w:val="32"/>
          <w:szCs w:val="32"/>
        </w:rPr>
        <w:t>第四部分 附件</w:t>
      </w:r>
    </w:p>
    <w:p>
      <w:pPr>
        <w:pStyle w:val="2"/>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详见部门预算项目支出绩效自评表（2023年度）</w:t>
      </w:r>
    </w:p>
    <w:p>
      <w:pPr>
        <w:widowControl/>
        <w:jc w:val="left"/>
        <w:rPr>
          <w:rFonts w:hint="eastAsia" w:ascii="黑体" w:hAnsi="黑体" w:eastAsia="黑体"/>
          <w:sz w:val="32"/>
          <w:szCs w:val="32"/>
          <w:lang w:eastAsia="zh-CN"/>
        </w:rPr>
      </w:pPr>
    </w:p>
    <w:p>
      <w:pPr>
        <w:widowControl/>
        <w:jc w:val="left"/>
        <w:rPr>
          <w:rFonts w:hint="eastAsia" w:ascii="仿宋" w:hAnsi="仿宋" w:eastAsia="仿宋"/>
          <w:sz w:val="32"/>
          <w:szCs w:val="32"/>
          <w:lang w:val="en-US" w:eastAsia="zh-CN"/>
        </w:rPr>
      </w:pPr>
      <w:r>
        <w:rPr>
          <w:rFonts w:hint="eastAsia" w:ascii="黑体" w:hAnsi="黑体" w:eastAsia="黑体"/>
          <w:sz w:val="32"/>
          <w:szCs w:val="32"/>
          <w:lang w:eastAsia="zh-CN"/>
        </w:rPr>
        <w:t>第五部分</w:t>
      </w:r>
      <w:r>
        <w:rPr>
          <w:rFonts w:hint="eastAsia" w:ascii="黑体" w:hAnsi="黑体" w:eastAsia="黑体"/>
          <w:sz w:val="32"/>
          <w:szCs w:val="32"/>
          <w:lang w:val="en-US" w:eastAsia="zh-CN"/>
        </w:rPr>
        <w:t xml:space="preserve">  </w:t>
      </w:r>
      <w:r>
        <w:rPr>
          <w:rFonts w:hint="eastAsia" w:ascii="黑体" w:hAnsi="黑体" w:eastAsia="黑体"/>
          <w:sz w:val="32"/>
          <w:szCs w:val="32"/>
        </w:rPr>
        <w:t>附表</w:t>
      </w:r>
      <w:r>
        <w:rPr>
          <w:rFonts w:hint="eastAsia" w:ascii="黑体" w:hAnsi="黑体" w:eastAsia="黑体"/>
          <w:sz w:val="32"/>
          <w:szCs w:val="32"/>
        </w:rPr>
        <w:tab/>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一、收入支出决算总表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二、收入总表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三、支出总表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四、财政拨款收入支出决算总表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五、财政拨款支出决算明细表（政府经济分类科目）</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六、一般公共预算财政拨款支出决算表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七、一般公共预算财政拨款支出决算明细表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八、一般公共预算财政拨款基本支出决算表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九、一般公共预算财政拨款项目支出决算表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十、一般公共预算财政拨款“三公”经费支出决算表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十一、政府性基金预算财政拨款收入支出决算表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十二、政府性基金预算财政拨款“三公”经费支出决算表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十三、国有资本经营预算支出决算表</w:t>
      </w:r>
    </w:p>
    <w:p>
      <w:pPr>
        <w:pStyle w:val="2"/>
        <w:rPr>
          <w:rFonts w:hint="eastAsia" w:ascii="黑体" w:hAnsi="黑体" w:eastAsia="黑体"/>
          <w:b w:val="0"/>
          <w:color w:val="auto"/>
          <w:highlight w:val="none"/>
        </w:rPr>
      </w:pPr>
      <w:r>
        <w:rPr>
          <w:rFonts w:hint="eastAsia" w:ascii="仿宋_GB2312" w:hAnsi="仿宋_GB2312" w:eastAsia="仿宋_GB2312" w:cs="仿宋_GB2312"/>
          <w:b w:val="0"/>
          <w:bCs w:val="0"/>
          <w:color w:val="auto"/>
          <w:kern w:val="2"/>
          <w:sz w:val="28"/>
          <w:szCs w:val="28"/>
          <w:highlight w:val="none"/>
          <w:lang w:val="en-US" w:eastAsia="zh-CN" w:bidi="ar-SA"/>
        </w:rPr>
        <w:t>（详见202</w:t>
      </w:r>
      <w:r>
        <w:rPr>
          <w:rFonts w:hint="eastAsia" w:hAnsi="仿宋_GB2312" w:cs="仿宋_GB2312"/>
          <w:b w:val="0"/>
          <w:bCs w:val="0"/>
          <w:color w:val="auto"/>
          <w:kern w:val="2"/>
          <w:sz w:val="28"/>
          <w:szCs w:val="28"/>
          <w:highlight w:val="none"/>
          <w:lang w:val="en-US" w:eastAsia="zh-CN" w:bidi="ar-SA"/>
        </w:rPr>
        <w:t>3</w:t>
      </w:r>
      <w:r>
        <w:rPr>
          <w:rFonts w:hint="eastAsia" w:ascii="仿宋_GB2312" w:hAnsi="仿宋_GB2312" w:eastAsia="仿宋_GB2312" w:cs="仿宋_GB2312"/>
          <w:b w:val="0"/>
          <w:bCs w:val="0"/>
          <w:color w:val="auto"/>
          <w:kern w:val="2"/>
          <w:sz w:val="28"/>
          <w:szCs w:val="28"/>
          <w:highlight w:val="none"/>
          <w:lang w:val="en-US" w:eastAsia="zh-CN" w:bidi="ar-SA"/>
        </w:rPr>
        <w:t>年部门决算报表）</w:t>
      </w:r>
      <w:bookmarkStart w:id="12" w:name="_Toc15377196"/>
      <w:bookmarkStart w:id="13" w:name="_Toc15396599"/>
    </w:p>
    <w:p>
      <w:pPr>
        <w:pStyle w:val="3"/>
        <w:jc w:val="center"/>
        <w:rPr>
          <w:rFonts w:hint="eastAsia" w:ascii="黑体" w:hAnsi="黑体" w:eastAsia="黑体"/>
          <w:b w:val="0"/>
          <w:color w:val="auto"/>
          <w:highlight w:val="none"/>
        </w:rPr>
      </w:pPr>
    </w:p>
    <w:p>
      <w:pPr>
        <w:pStyle w:val="3"/>
        <w:jc w:val="both"/>
        <w:rPr>
          <w:rFonts w:hint="eastAsia" w:ascii="黑体" w:hAnsi="黑体" w:eastAsia="黑体"/>
          <w:b w:val="0"/>
          <w:color w:val="auto"/>
          <w:highlight w:val="none"/>
        </w:rPr>
      </w:pPr>
    </w:p>
    <w:p>
      <w:pPr>
        <w:pStyle w:val="3"/>
        <w:jc w:val="both"/>
        <w:rPr>
          <w:rFonts w:hint="eastAsia" w:ascii="黑体" w:hAnsi="黑体" w:eastAsia="黑体"/>
          <w:b w:val="0"/>
          <w:color w:val="auto"/>
          <w:highlight w:val="none"/>
        </w:rPr>
      </w:pPr>
    </w:p>
    <w:p>
      <w:pPr>
        <w:rPr>
          <w:rFonts w:hint="eastAsia"/>
        </w:rPr>
      </w:pPr>
    </w:p>
    <w:p>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Style w:val="25"/>
          <w:rFonts w:hint="eastAsia" w:ascii="黑体" w:hAnsi="黑体" w:eastAsia="黑体"/>
          <w:b w:val="0"/>
          <w:bCs w:val="0"/>
          <w:color w:val="auto"/>
          <w:highlight w:val="none"/>
          <w:lang w:eastAsia="zh-CN"/>
        </w:rPr>
      </w:pPr>
      <w:bookmarkStart w:id="14" w:name="_Toc15377197"/>
      <w:bookmarkStart w:id="15" w:name="_Toc15396600"/>
      <w:r>
        <w:rPr>
          <w:rStyle w:val="25"/>
          <w:rFonts w:hint="eastAsia" w:ascii="黑体" w:hAnsi="黑体" w:eastAsia="黑体"/>
          <w:b w:val="0"/>
          <w:bCs w:val="0"/>
          <w:color w:val="auto"/>
          <w:highlight w:val="none"/>
          <w:lang w:eastAsia="zh-CN"/>
        </w:rPr>
        <w:t>主要职责</w:t>
      </w:r>
    </w:p>
    <w:p>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楷体" w:hAnsi="楷体" w:eastAsia="楷体" w:cs="楷体"/>
          <w:bCs/>
          <w:color w:val="000000"/>
          <w:sz w:val="28"/>
          <w:szCs w:val="28"/>
        </w:rPr>
      </w:pPr>
      <w:bookmarkStart w:id="16" w:name="_Toc15377198"/>
      <w:bookmarkStart w:id="17" w:name="_Toc15378445"/>
      <w:r>
        <w:rPr>
          <w:rFonts w:hint="eastAsia" w:ascii="楷体" w:hAnsi="楷体" w:eastAsia="楷体" w:cs="楷体"/>
          <w:bCs/>
          <w:color w:val="000000"/>
          <w:sz w:val="28"/>
          <w:szCs w:val="28"/>
        </w:rPr>
        <w:t>（一）主要职能。</w:t>
      </w:r>
    </w:p>
    <w:p>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1．贯彻执行党和国家关于教育改革和发展的各项方针、政策，拟订全校教育事业发展规划和有关教育的规范性文件并组织实施；指导协调学校各部门的教育、教学体制改革。</w:t>
      </w:r>
    </w:p>
    <w:p>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3．负责推进义务教育均衡发展和促进教育公平，负责义务教育的宏</w:t>
      </w:r>
      <w:r>
        <w:rPr>
          <w:rFonts w:hint="eastAsia" w:ascii="仿宋" w:hAnsi="仿宋" w:eastAsia="仿宋" w:cs="仿宋"/>
          <w:color w:val="000000" w:themeColor="text1"/>
          <w:sz w:val="28"/>
          <w:szCs w:val="28"/>
          <w14:textFill>
            <w14:solidFill>
              <w14:schemeClr w14:val="tx1"/>
            </w14:solidFill>
          </w14:textFill>
        </w:rPr>
        <w:t>观指导与协调；指导学校全面实施素质教育；督促检查学校各类学校的办学标准、教学基本要求、教学基本条件的落实情况。</w:t>
      </w:r>
    </w:p>
    <w:p>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4.促进基础教育发展，教育学生成长为德学兼备、思想端正的学生，让学生获得基本的基础知识，尽可能培养其自学能力。</w:t>
      </w:r>
    </w:p>
    <w:bookmarkEnd w:id="16"/>
    <w:bookmarkEnd w:id="17"/>
    <w:p>
      <w:pPr>
        <w:pageBreakBefore w:val="0"/>
        <w:widowControl w:val="0"/>
        <w:kinsoku/>
        <w:overflowPunct/>
        <w:topLinePunct w:val="0"/>
        <w:autoSpaceDE/>
        <w:autoSpaceDN/>
        <w:bidi w:val="0"/>
        <w:snapToGrid w:val="0"/>
        <w:spacing w:line="520" w:lineRule="exact"/>
        <w:ind w:left="0" w:firstLine="560" w:firstLineChars="200"/>
        <w:textAlignment w:val="auto"/>
        <w:rPr>
          <w:rFonts w:hint="eastAsia" w:ascii="楷体" w:hAnsi="楷体" w:eastAsia="楷体" w:cs="楷体"/>
          <w:bCs/>
          <w:color w:val="000000" w:themeColor="text1"/>
          <w:sz w:val="28"/>
          <w:szCs w:val="28"/>
          <w:lang w:eastAsia="zh-CN"/>
          <w14:textFill>
            <w14:solidFill>
              <w14:schemeClr w14:val="tx1"/>
            </w14:solidFill>
          </w14:textFill>
        </w:rPr>
      </w:pPr>
      <w:bookmarkStart w:id="18" w:name="_Toc15378446"/>
      <w:bookmarkStart w:id="19" w:name="_Toc15377199"/>
      <w:r>
        <w:rPr>
          <w:rFonts w:hint="eastAsia" w:ascii="楷体" w:hAnsi="楷体" w:eastAsia="楷体" w:cs="楷体"/>
          <w:bCs/>
          <w:color w:val="000000" w:themeColor="text1"/>
          <w:sz w:val="28"/>
          <w:szCs w:val="28"/>
          <w14:textFill>
            <w14:solidFill>
              <w14:schemeClr w14:val="tx1"/>
            </w14:solidFill>
          </w14:textFill>
        </w:rPr>
        <w:t>（二）202</w:t>
      </w:r>
      <w:r>
        <w:rPr>
          <w:rFonts w:hint="eastAsia" w:ascii="楷体" w:hAnsi="楷体" w:eastAsia="楷体" w:cs="楷体"/>
          <w:bCs/>
          <w:color w:val="000000" w:themeColor="text1"/>
          <w:sz w:val="28"/>
          <w:szCs w:val="28"/>
          <w:lang w:val="en-US" w:eastAsia="zh-CN"/>
          <w14:textFill>
            <w14:solidFill>
              <w14:schemeClr w14:val="tx1"/>
            </w14:solidFill>
          </w14:textFill>
        </w:rPr>
        <w:t>3</w:t>
      </w:r>
      <w:r>
        <w:rPr>
          <w:rFonts w:hint="eastAsia" w:ascii="楷体" w:hAnsi="楷体" w:eastAsia="楷体" w:cs="楷体"/>
          <w:bCs/>
          <w:color w:val="000000" w:themeColor="text1"/>
          <w:sz w:val="28"/>
          <w:szCs w:val="28"/>
          <w14:textFill>
            <w14:solidFill>
              <w14:schemeClr w14:val="tx1"/>
            </w14:solidFill>
          </w14:textFill>
        </w:rPr>
        <w:t>年重点工作完成情况。</w:t>
      </w:r>
      <w:bookmarkEnd w:id="18"/>
      <w:bookmarkEnd w:id="19"/>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1、加强党的建设，做好主题教育，认真落实党组织领导的校长负责制。</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eastAsia="zh-CN"/>
        </w:rPr>
        <w:t>一是</w:t>
      </w:r>
      <w:r>
        <w:rPr>
          <w:rFonts w:hint="eastAsia" w:ascii="仿宋" w:hAnsi="仿宋" w:eastAsia="仿宋" w:cs="仿宋"/>
          <w:sz w:val="28"/>
          <w:szCs w:val="28"/>
          <w:lang w:val="en-US" w:eastAsia="zh-CN"/>
        </w:rPr>
        <w:t>按照党组织领导的校长负责制精神，强化意识形态工作，</w:t>
      </w:r>
      <w:r>
        <w:rPr>
          <w:rFonts w:hint="eastAsia" w:ascii="仿宋" w:hAnsi="仿宋" w:eastAsia="仿宋" w:cs="仿宋"/>
          <w:sz w:val="28"/>
          <w:szCs w:val="28"/>
          <w:lang w:eastAsia="zh-CN"/>
        </w:rPr>
        <w:t>建立健全工作责任制，党支部书记、</w:t>
      </w:r>
      <w:r>
        <w:rPr>
          <w:rFonts w:hint="eastAsia" w:ascii="仿宋" w:hAnsi="仿宋" w:eastAsia="仿宋" w:cs="仿宋"/>
          <w:sz w:val="28"/>
          <w:szCs w:val="28"/>
          <w:lang w:val="en-US" w:eastAsia="zh-CN"/>
        </w:rPr>
        <w:t>校长</w:t>
      </w:r>
      <w:r>
        <w:rPr>
          <w:rFonts w:hint="eastAsia" w:ascii="仿宋" w:hAnsi="仿宋" w:eastAsia="仿宋" w:cs="仿宋"/>
          <w:sz w:val="28"/>
          <w:szCs w:val="28"/>
          <w:lang w:eastAsia="zh-CN"/>
        </w:rPr>
        <w:t>为第一责任人，班子成员按照分工负责和谁主管谁负责原则，实行“一岗双责”，确保意识形态工作教育教学工作</w:t>
      </w:r>
      <w:r>
        <w:rPr>
          <w:rFonts w:hint="eastAsia" w:ascii="仿宋" w:hAnsi="仿宋" w:eastAsia="仿宋" w:cs="仿宋"/>
          <w:sz w:val="28"/>
          <w:szCs w:val="28"/>
          <w:lang w:val="en-US" w:eastAsia="zh-CN"/>
        </w:rPr>
        <w:t>有效融合。二是利用主题教育活动、“三会一课”、教职工例会、主题党日、党员民主评议、民主生活会等形式加强党员的日常教育管理，坚持“三重一大”制度落实，抓好队伍建设。三是抓实政治理论学习，抓好教职工队伍建设，为教职工创设宽松和谐的工作环境，为师生进步提供广阔的活动舞台。四是充分发挥学校宣传优势，整合现有宣传手段，充分利用学校微信公众号、微信工作群、QQ群、LED电子宣传屏、校园广播站等途径，加强党的理论和政策的宣传工作，加大学校教育教学工作业绩的宣传，扩大社会影响力。</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二、坚持依法治校，做好民主管理，规范学校办学行为。</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是加强干部队伍建设，提高行政能力。班子成员自觉加强理论学习，努力提高政治理论水平和行政管理能力，重视对中层干部管理及后备干部培养，打造一支政治过硬、业务精良的干部队伍。二是依法治校，成立校务公开领导小组，坚持校务公开，实行“阳光管理”，坚持重大事项集体研究制度，实行痕迹化管理。凡涉及学校发展、教职工利益、教育惠民、群众关心的热点问题、财务开支等，学校都要以不同的形式进行公示。三是深化民主管理，坚持教代会制度，凡事关学校发展和教职工切身利益的重大决策、决定、制度，均由教代会审议通过后执行，坚持校长办公会和党总支委员会审议制度，坚持“三重一大”制度落实，形成党政合力。四是以廉治教，通过规范学校招生、办学行为，扎实做好“廉洁学校”各项工作。</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三、按照四有好老师的标准，加强师德师风建设，构建一支素质高业务精的教师队伍。</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准确把握新时代“四有好老师”和“四个引路人”的内涵和要求，进一步增强教师的教育事业心、责任感，促进教师热爱学生、爱岗敬业、严谨治学、团结协作、廉洁从教、为人师表的职业行为。</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是成立以书记、校长任组长的师德师风、作风纪律工作领导小组，组织干部和教职工签订《领导干部党风廉政建设承诺书》《意识形态工作责任制承诺书》《廉洁从政责任书》《石龙小学教师工作纪律作风责任书》《师德承诺书》。二是定期组织学校班子成员召开专题会议，通过开展批评与自我批评，进一步交流思想、统一认识。三是积极开展教学大比武，通过校内竞课、片区初赛、区级复赛、市级决赛，不断锤炼老师们的新课标把握能力、教学组织能力，以赛练兵。四是实施名师工程、青蓝工程、一师一绝技工程，加强教师基本技能提升培训。五是通过与市级语文、数学、英语名师开展交流互动，促进我校教师找准教学中存在的不足，与名师探讨解决办法，促进教师成长。</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本年度，我校3位教师被评为年度优秀，1位教师被评为区级表现突出的教师，近5名教师在国家级、省市级教育教学活动中获得荣誉。全年无师德师风违纪处理事件发生，整体形成了担当奉献、清正廉洁的干事创业氛围。</w:t>
      </w:r>
    </w:p>
    <w:p>
      <w:pPr>
        <w:keepNext w:val="0"/>
        <w:keepLines w:val="0"/>
        <w:pageBreakBefore w:val="0"/>
        <w:numPr>
          <w:ilvl w:val="0"/>
          <w:numId w:val="2"/>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执行国家课程计划,细化教育教学管理，促进学校内涵发展。</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积极探索“五育并举，融合育人”的育人途径，继续深化“七好一改”教育。一是选好配强班主任队伍，努力提升育人水平。二是紧紧围绕重大事件对师生进行爱党、爱国、爱人民、社会主义和革命英雄主义教育，开展“学党史、颂党恩、跟党走”及“七个一”系列主题活动，切实贯彻《新时代爱国主义教育实施纲要》,在师生心中筑牢社会主义核心价值观根基。三是以课题引领为抓手，引入品格教育课程，紧紧抓住围绕学生良好行为习惯养成教育这一根本,把德育溶于学校工作的全过程。四是整合各种社会教育资源，净化育人氛围，把德智体美劳教育方针落到实处。五是是实行党员干部与学生结对，把扶贫与扶智相结合，做实做细贫困、留守及特殊儿童关心关爱工作。</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（二）落实“双减”政策，在“实”字上做文章，在“细”字上下功夫，细化教学常规管理，确保减负不减质，减负更增效。</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是严格执行国家规定的《课程计划》开齐开足开好各科课程。二是实行校级领导年级挂联制度，充分发挥干部年级组和教研组多层面协作积极性，有效发挥年级组在日常教育教学管理中的自主积极性。三是落实“双减”政策，减轻学生过重作业负担。四是优化细化教学六认真的检查，提高校内教学质量和课后服务水平。五是加强师徒结对青蓝工程管理，充分发挥党员干部及骨干教师的示范引领作用。六是经常开展推门听课评课等活动。七是大力提升教师信息技术应用能力，积极组织教师参加学科教学竞教、论文评比教学大比武活动，激励老师制作优质课堂实录或微课参赛。八是加强互动交流，开阔眼界和视野，以培促学、不断提升学科教师专业素养。</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不断优化“三段五环节”教学模式，不断探索以生为本、提质高效的课堂教学改革，不断深化特色课程实践，坚守教育初心，追求卓越发展。</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五、打造绿色校园，强化保障服务，提升师生幸福指数。</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一是加大环境建设经费的投入，校园环境不断改善，学校图书室配有图书5000余册，完成所有班级班班通设备的硬盘升级，绿化、美化、文化融合，校园书香氛围浓厚。</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二是做好传染病防控工作，为师生健康安全保驾护航。全体教职工通力配合、细致工作，及时精准摸排信息，常态化做好了传染病防控工作，有效控制了流感、麻疹、水痘、腮腺炎、支原体肺炎等疾病发生。</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是建立学校安全管理清单，每天坚持做好晨午检，强化全系统安全管理，防溺水、防踩踏、防暴恐、防火灾等常规工作常抓不懈，安防设施不断加强，经常开展各种应急疏散演练，师生安全意识和能力不断提升，配合做好国家文明城市创建、国家食品安全城市和国家安全示范社区创建工作，全年未发生任何安全责任事故。</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是构建幸福家园，让学校成为一个有温度的地方，一个人人有归属感的地方。关爱学生方面，主要是落实扶贫政策，确保了各类教育扶贫资金及时足额发放，为建档立客户、为残疾儿童家庭讲政策，送温暖，通过“帮扶困难学生”和“关爱落后学生”等多种形式的志愿服务活动，做好了乡村振兴“两考核一评估”工作；关心职工方面，严格执行省总工会文件精神，做好送温暖活动，力所能及地帮助职工解决生活上的困难和后顾之忧。</w:t>
      </w:r>
    </w:p>
    <w:p>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是增强服务意识，优化后勤供给保障。一是学校财务精心管理，及时足额核算上报事关教职工的工资养老医疗税费岗位晋级工资晋升等信息，解决教职工后顾之忧；二是建立健全营养改善计划管理制度，抓好营养改善计划政策的落实，规范账目管理，强化资金管理与使用，落实食堂食品安全“日管控、周排查、月调度”工作制度，做好学校食堂食品安全智能化管理系统的建设，做好营养改善计划信息管理系统数据填报，努力改善食堂条件，狠抓工作人员健康管理及食品卫生安全操作培训，不断提升加工服务水平；三是提前谋划办公教学饮水早午餐供给，确保物质配给充足实用，及时维修处置建筑及设施设备破损，消除隐患。</w:t>
      </w:r>
    </w:p>
    <w:p>
      <w:pPr>
        <w:keepNext w:val="0"/>
        <w:keepLines w:val="0"/>
        <w:pageBreakBefore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六、发挥龙头带动作用，打破校际壁垒，实现教育资源集约节</w:t>
      </w:r>
    </w:p>
    <w:p>
      <w:pPr>
        <w:keepNext w:val="0"/>
        <w:keepLines w:val="0"/>
        <w:pageBreakBefore w:val="0"/>
        <w:numPr>
          <w:ilvl w:val="0"/>
          <w:numId w:val="0"/>
        </w:numPr>
        <w:kinsoku/>
        <w:wordWrap/>
        <w:overflowPunct/>
        <w:topLinePunct w:val="0"/>
        <w:autoSpaceDE/>
        <w:autoSpaceDN/>
        <w:bidi w:val="0"/>
        <w:adjustRightInd/>
        <w:snapToGrid/>
        <w:spacing w:line="420" w:lineRule="exact"/>
        <w:ind w:leftChars="200" w:firstLine="560" w:firstLineChars="200"/>
        <w:textAlignment w:val="auto"/>
        <w:rPr>
          <w:rFonts w:hint="eastAsia"/>
          <w:lang w:eastAsia="zh-CN"/>
        </w:rPr>
      </w:pPr>
      <w:r>
        <w:rPr>
          <w:rFonts w:hint="eastAsia" w:ascii="仿宋" w:hAnsi="仿宋" w:eastAsia="仿宋" w:cs="仿宋"/>
          <w:color w:val="000000" w:themeColor="text1"/>
          <w:sz w:val="28"/>
          <w:szCs w:val="28"/>
          <w:lang w:val="en-US" w:eastAsia="zh-CN"/>
          <w14:textFill>
            <w14:solidFill>
              <w14:schemeClr w14:val="tx1"/>
            </w14:solidFill>
          </w14:textFill>
        </w:rPr>
        <w:t>一是进一步优化教育资源配置，加快构建学有优教的高质量基础教育体系，搭建平台大力推进资源共享，加快布局“三通两平台”建设。二是与周边学校优势互补，积极化解大班额难题，构建较为完善的学校教育扶贫制度等。三是坚持统筹协调，坚持合作共生，坚持因地制宜的原则，为集团化办学工作开好头，带好队。</w:t>
      </w:r>
    </w:p>
    <w:p>
      <w:pPr>
        <w:pStyle w:val="4"/>
        <w:numPr>
          <w:ilvl w:val="0"/>
          <w:numId w:val="1"/>
        </w:numPr>
        <w:ind w:left="0" w:leftChars="0" w:firstLine="0" w:firstLineChars="0"/>
        <w:rPr>
          <w:rFonts w:hint="eastAsia"/>
          <w:lang w:val="en-US" w:eastAsia="zh-CN"/>
        </w:rPr>
      </w:pPr>
      <w:r>
        <w:rPr>
          <w:rFonts w:hint="eastAsia" w:ascii="黑体" w:hAnsi="黑体" w:eastAsia="黑体"/>
          <w:b w:val="0"/>
          <w:color w:val="auto"/>
          <w:highlight w:val="none"/>
          <w:lang w:val="en-US" w:eastAsia="zh-CN"/>
        </w:rPr>
        <w:t>机构设置</w:t>
      </w:r>
    </w:p>
    <w:bookmarkEnd w:id="14"/>
    <w:bookmarkEnd w:id="15"/>
    <w:p>
      <w:pPr>
        <w:widowControl/>
        <w:ind w:firstLine="560" w:firstLineChars="200"/>
        <w:jc w:val="left"/>
        <w:rPr>
          <w:rFonts w:ascii="仿宋" w:hAnsi="仿宋" w:eastAsia="仿宋"/>
          <w:color w:val="auto"/>
          <w:kern w:val="0"/>
          <w:sz w:val="32"/>
          <w:szCs w:val="32"/>
          <w:highlight w:val="none"/>
        </w:rPr>
      </w:pPr>
      <w:r>
        <w:rPr>
          <w:rFonts w:hint="eastAsia" w:ascii="宋体" w:hAnsi="宋体" w:cs="宋体"/>
          <w:color w:val="333333"/>
          <w:kern w:val="0"/>
          <w:sz w:val="28"/>
          <w:szCs w:val="28"/>
          <w:shd w:val="clear" w:color="auto" w:fill="FFFFFF"/>
          <w:lang w:eastAsia="zh-CN" w:bidi="ar"/>
        </w:rPr>
        <w:t>广元市利州区石龙小学</w:t>
      </w:r>
      <w:r>
        <w:rPr>
          <w:rFonts w:hint="eastAsia" w:ascii="仿宋" w:hAnsi="仿宋" w:eastAsia="仿宋" w:cs="仿宋"/>
          <w:color w:val="000000"/>
          <w:sz w:val="32"/>
          <w:szCs w:val="32"/>
        </w:rPr>
        <w:t>隶属广元市利州区教育局下属二级预算单位，学校编制1</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名，其中事业编制1</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名。其中行政单位</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个，参照公务员法管理的事业单位</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个，其他事业单位</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个。</w:t>
      </w:r>
      <w:r>
        <w:rPr>
          <w:rFonts w:ascii="仿宋" w:hAnsi="仿宋" w:eastAsia="仿宋"/>
          <w:color w:val="auto"/>
          <w:sz w:val="32"/>
          <w:szCs w:val="32"/>
          <w:highlight w:val="none"/>
        </w:rPr>
        <w:br w:type="page"/>
      </w:r>
    </w:p>
    <w:p>
      <w:pPr>
        <w:pStyle w:val="3"/>
        <w:ind w:right="440"/>
        <w:jc w:val="center"/>
        <w:rPr>
          <w:rStyle w:val="24"/>
          <w:rFonts w:ascii="黑体" w:hAnsi="黑体" w:eastAsia="黑体"/>
          <w:b w:val="0"/>
          <w:bCs/>
          <w:color w:val="auto"/>
          <w:highlight w:val="none"/>
        </w:rPr>
      </w:pPr>
      <w:bookmarkStart w:id="20" w:name="_Toc15396602"/>
      <w:bookmarkStart w:id="21"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20"/>
      <w:bookmarkEnd w:id="21"/>
    </w:p>
    <w:p>
      <w:pPr>
        <w:rPr>
          <w:color w:val="auto"/>
          <w:highlight w:val="none"/>
        </w:rPr>
      </w:pPr>
    </w:p>
    <w:p>
      <w:pPr>
        <w:pStyle w:val="23"/>
        <w:numPr>
          <w:ilvl w:val="0"/>
          <w:numId w:val="3"/>
        </w:numPr>
        <w:spacing w:line="600" w:lineRule="exact"/>
        <w:ind w:firstLineChars="0"/>
        <w:outlineLvl w:val="1"/>
        <w:rPr>
          <w:rStyle w:val="25"/>
          <w:rFonts w:ascii="黑体" w:hAnsi="黑体" w:eastAsia="黑体"/>
          <w:b w:val="0"/>
          <w:color w:val="auto"/>
          <w:highlight w:val="none"/>
        </w:rPr>
      </w:pPr>
      <w:bookmarkStart w:id="22" w:name="_Toc15377205"/>
      <w:bookmarkStart w:id="23" w:name="_Toc1539660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22"/>
      <w:bookmarkEnd w:id="23"/>
    </w:p>
    <w:p>
      <w:pPr>
        <w:spacing w:line="600" w:lineRule="exact"/>
        <w:ind w:firstLine="640" w:firstLineChars="200"/>
        <w:rPr>
          <w:rFonts w:hint="eastAsia" w:ascii="仿宋" w:hAnsi="仿宋" w:eastAsia="仿宋"/>
          <w:color w:val="auto"/>
          <w:sz w:val="28"/>
          <w:szCs w:val="28"/>
          <w:highlight w:val="none"/>
          <w:lang w:eastAsia="zh-CN"/>
        </w:rPr>
      </w:pPr>
      <w:r>
        <w:rPr>
          <w:rFonts w:ascii="仿宋_GB2312" w:eastAsia="仿宋_GB2312"/>
          <w:sz w:val="32"/>
          <w:szCs w:val="32"/>
        </w:rPr>
        <w:drawing>
          <wp:anchor distT="0" distB="0" distL="114300" distR="114300" simplePos="0" relativeHeight="251662336" behindDoc="1" locked="0" layoutInCell="1" allowOverlap="1">
            <wp:simplePos x="0" y="0"/>
            <wp:positionH relativeFrom="column">
              <wp:posOffset>-281305</wp:posOffset>
            </wp:positionH>
            <wp:positionV relativeFrom="paragraph">
              <wp:posOffset>1577340</wp:posOffset>
            </wp:positionV>
            <wp:extent cx="5047615" cy="2369185"/>
            <wp:effectExtent l="4445" t="4445" r="15240" b="7620"/>
            <wp:wrapTight wrapText="bothSides">
              <wp:wrapPolygon>
                <wp:start x="-19" y="-41"/>
                <wp:lineTo x="-19" y="21496"/>
                <wp:lineTo x="21502" y="21496"/>
                <wp:lineTo x="21502" y="-41"/>
                <wp:lineTo x="-19" y="-41"/>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auto"/>
          <w:sz w:val="28"/>
          <w:szCs w:val="28"/>
          <w:highlight w:val="none"/>
        </w:rPr>
        <w:t>2023年度收、支总计649.07万元。与2022年收、支总计730.62万元相比，收、支减少81.55万元，下降11.16%。主要变动原因是学生减少，教职工人员减少，和维修项目减少，节省了开支。</w:t>
      </w:r>
    </w:p>
    <w:p>
      <w:pPr>
        <w:pStyle w:val="2"/>
        <w:rPr>
          <w:rFonts w:hint="eastAsia" w:ascii="仿宋" w:hAnsi="仿宋" w:eastAsia="仿宋"/>
          <w:color w:val="000000" w:themeColor="text1"/>
          <w:sz w:val="28"/>
          <w:szCs w:val="28"/>
          <w14:textFill>
            <w14:solidFill>
              <w14:schemeClr w14:val="tx1"/>
            </w14:solidFill>
          </w14:textFill>
        </w:rPr>
      </w:pPr>
    </w:p>
    <w:p>
      <w:pPr>
        <w:pStyle w:val="2"/>
        <w:rPr>
          <w:rFonts w:hint="eastAsia" w:ascii="仿宋" w:hAnsi="仿宋" w:eastAsia="仿宋"/>
          <w:color w:val="000000" w:themeColor="text1"/>
          <w:sz w:val="28"/>
          <w:szCs w:val="28"/>
          <w14:textFill>
            <w14:solidFill>
              <w14:schemeClr w14:val="tx1"/>
            </w14:solidFill>
          </w14:textFill>
        </w:rPr>
      </w:pPr>
    </w:p>
    <w:p>
      <w:pPr>
        <w:pStyle w:val="2"/>
        <w:rPr>
          <w:rFonts w:hint="eastAsia" w:ascii="仿宋" w:hAnsi="仿宋" w:eastAsia="仿宋"/>
          <w:color w:val="000000" w:themeColor="text1"/>
          <w:sz w:val="28"/>
          <w:szCs w:val="28"/>
          <w14:textFill>
            <w14:solidFill>
              <w14:schemeClr w14:val="tx1"/>
            </w14:solidFill>
          </w14:textFill>
        </w:rPr>
      </w:pPr>
    </w:p>
    <w:p>
      <w:pPr>
        <w:pStyle w:val="2"/>
        <w:rPr>
          <w:rFonts w:hint="eastAsia" w:ascii="仿宋" w:hAnsi="仿宋" w:eastAsia="仿宋"/>
          <w:color w:val="000000" w:themeColor="text1"/>
          <w:sz w:val="28"/>
          <w:szCs w:val="28"/>
          <w14:textFill>
            <w14:solidFill>
              <w14:schemeClr w14:val="tx1"/>
            </w14:solidFill>
          </w14:textFill>
        </w:rPr>
      </w:pPr>
    </w:p>
    <w:p>
      <w:pPr>
        <w:pStyle w:val="2"/>
        <w:rPr>
          <w:rFonts w:hint="eastAsia" w:ascii="仿宋" w:hAnsi="仿宋" w:eastAsia="仿宋"/>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（图</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：收、支决算总计变动情况图）（柱状图）</w:t>
      </w:r>
    </w:p>
    <w:p>
      <w:pPr>
        <w:pStyle w:val="2"/>
        <w:rPr>
          <w:rFonts w:hint="eastAsia" w:ascii="仿宋" w:hAnsi="仿宋" w:eastAsia="仿宋"/>
          <w:color w:val="000000" w:themeColor="text1"/>
          <w:sz w:val="28"/>
          <w:szCs w:val="28"/>
          <w14:textFill>
            <w14:solidFill>
              <w14:schemeClr w14:val="tx1"/>
            </w14:solidFill>
          </w14:textFill>
        </w:rPr>
      </w:pPr>
    </w:p>
    <w:p>
      <w:pPr>
        <w:pStyle w:val="23"/>
        <w:numPr>
          <w:ilvl w:val="0"/>
          <w:numId w:val="3"/>
        </w:numPr>
        <w:spacing w:line="600" w:lineRule="exact"/>
        <w:ind w:firstLineChars="0"/>
        <w:outlineLvl w:val="1"/>
        <w:rPr>
          <w:rStyle w:val="25"/>
          <w:rFonts w:ascii="黑体" w:hAnsi="黑体" w:eastAsia="黑体"/>
          <w:b w:val="0"/>
          <w:color w:val="auto"/>
          <w:highlight w:val="none"/>
        </w:rPr>
      </w:pPr>
      <w:bookmarkStart w:id="24" w:name="_Toc15396604"/>
      <w:bookmarkStart w:id="25"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4"/>
      <w:bookmarkEnd w:id="25"/>
    </w:p>
    <w:p>
      <w:pPr>
        <w:spacing w:line="600" w:lineRule="exact"/>
        <w:ind w:firstLine="560" w:firstLineChars="200"/>
        <w:outlineLvl w:val="1"/>
        <w:rPr>
          <w:rFonts w:hint="eastAsia" w:ascii="仿宋" w:hAnsi="仿宋" w:eastAsia="仿宋"/>
          <w:color w:val="auto"/>
          <w:sz w:val="32"/>
          <w:szCs w:val="32"/>
          <w:highlight w:val="none"/>
        </w:rPr>
      </w:pPr>
      <w:bookmarkStart w:id="26" w:name="_Toc19089866"/>
      <w:r>
        <w:rPr>
          <w:rFonts w:ascii="仿宋" w:hAnsi="仿宋" w:eastAsia="仿宋"/>
          <w:sz w:val="28"/>
          <w:szCs w:val="28"/>
        </w:rPr>
        <w:t>2</w:t>
      </w:r>
      <w:r>
        <w:rPr>
          <w:rFonts w:hint="eastAsia" w:ascii="仿宋" w:hAnsi="仿宋" w:eastAsia="仿宋"/>
          <w:color w:val="auto"/>
          <w:sz w:val="32"/>
          <w:szCs w:val="32"/>
          <w:highlight w:val="none"/>
        </w:rPr>
        <w:t>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年收入合计</w:t>
      </w:r>
      <w:r>
        <w:rPr>
          <w:rFonts w:hint="eastAsia" w:ascii="仿宋" w:hAnsi="仿宋" w:eastAsia="仿宋" w:cs="仿宋"/>
          <w:color w:val="000000" w:themeColor="text1"/>
          <w:kern w:val="2"/>
          <w:sz w:val="28"/>
          <w:szCs w:val="28"/>
          <w:lang w:val="en-US" w:eastAsia="zh-CN" w:bidi="ar"/>
          <w14:textFill>
            <w14:solidFill>
              <w14:schemeClr w14:val="tx1"/>
            </w14:solidFill>
          </w14:textFill>
        </w:rPr>
        <w:t>649.07</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637.72</w:t>
      </w:r>
      <w:r>
        <w:rPr>
          <w:rFonts w:hint="eastAsia" w:ascii="仿宋" w:hAnsi="仿宋" w:eastAsia="仿宋"/>
          <w:color w:val="auto"/>
          <w:sz w:val="32"/>
          <w:szCs w:val="32"/>
          <w:highlight w:val="none"/>
        </w:rPr>
        <w:t>万元，占比</w:t>
      </w:r>
      <w:r>
        <w:rPr>
          <w:rFonts w:hint="eastAsia" w:ascii="仿宋" w:hAnsi="仿宋" w:eastAsia="仿宋"/>
          <w:color w:val="auto"/>
          <w:sz w:val="32"/>
          <w:szCs w:val="32"/>
          <w:highlight w:val="none"/>
          <w:lang w:val="en-US" w:eastAsia="zh-CN"/>
        </w:rPr>
        <w:t>98.25</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11.36</w:t>
      </w:r>
      <w:r>
        <w:rPr>
          <w:rFonts w:hint="eastAsia" w:ascii="仿宋" w:hAnsi="仿宋" w:eastAsia="仿宋"/>
          <w:color w:val="auto"/>
          <w:sz w:val="32"/>
          <w:szCs w:val="32"/>
          <w:highlight w:val="none"/>
        </w:rPr>
        <w:t>万元，占比</w:t>
      </w:r>
      <w:r>
        <w:rPr>
          <w:rFonts w:hint="eastAsia" w:ascii="仿宋" w:hAnsi="仿宋" w:eastAsia="仿宋"/>
          <w:color w:val="auto"/>
          <w:sz w:val="32"/>
          <w:szCs w:val="32"/>
          <w:highlight w:val="none"/>
          <w:lang w:val="en-US" w:eastAsia="zh-CN"/>
        </w:rPr>
        <w:t>1.75</w:t>
      </w:r>
      <w:r>
        <w:rPr>
          <w:rFonts w:hint="eastAsia" w:ascii="仿宋" w:hAnsi="仿宋" w:eastAsia="仿宋"/>
          <w:color w:val="auto"/>
          <w:sz w:val="32"/>
          <w:szCs w:val="32"/>
          <w:highlight w:val="none"/>
        </w:rPr>
        <w:t>%。</w:t>
      </w:r>
      <w:bookmarkEnd w:id="26"/>
    </w:p>
    <w:p>
      <w:pPr>
        <w:spacing w:line="600" w:lineRule="exact"/>
        <w:ind w:firstLine="560" w:firstLineChars="200"/>
        <w:outlineLvl w:val="1"/>
        <w:rPr>
          <w:rFonts w:hint="eastAsia" w:ascii="仿宋" w:hAnsi="仿宋" w:eastAsia="仿宋"/>
          <w:color w:val="auto"/>
          <w:sz w:val="28"/>
          <w:szCs w:val="28"/>
        </w:rPr>
      </w:pPr>
      <w:r>
        <w:rPr>
          <w:rFonts w:hint="eastAsia" w:ascii="仿宋" w:hAnsi="仿宋" w:eastAsia="仿宋"/>
          <w:color w:val="auto"/>
          <w:sz w:val="28"/>
          <w:szCs w:val="28"/>
        </w:rPr>
        <w:t>（图2：收入决算结构图）（饼状图）</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1"/>
        <w:rPr>
          <w:rStyle w:val="25"/>
          <w:rFonts w:ascii="黑体" w:hAnsi="黑体" w:eastAsia="黑体"/>
          <w:b w:val="0"/>
          <w:color w:val="auto"/>
          <w:sz w:val="28"/>
          <w:szCs w:val="28"/>
        </w:rPr>
      </w:pPr>
      <w:bookmarkStart w:id="27" w:name="_Toc15377207"/>
      <w:bookmarkStart w:id="28" w:name="_Toc19089867"/>
      <w:r>
        <w:rPr>
          <w:rFonts w:hint="eastAsia" w:ascii="黑体" w:hAnsi="黑体" w:eastAsia="黑体"/>
          <w:color w:val="auto"/>
          <w:sz w:val="28"/>
          <w:szCs w:val="28"/>
        </w:rPr>
        <w:t>三、支</w:t>
      </w:r>
      <w:r>
        <w:rPr>
          <w:rStyle w:val="25"/>
          <w:rFonts w:hint="eastAsia" w:ascii="黑体" w:hAnsi="黑体" w:eastAsia="黑体"/>
          <w:b w:val="0"/>
          <w:color w:val="auto"/>
          <w:sz w:val="28"/>
          <w:szCs w:val="28"/>
        </w:rPr>
        <w:t>出决算情况说明</w:t>
      </w:r>
      <w:bookmarkEnd w:id="27"/>
      <w:bookmarkEnd w:id="28"/>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sz w:val="28"/>
          <w:szCs w:val="28"/>
        </w:rPr>
      </w:pPr>
      <w:r>
        <w:rPr>
          <w:rFonts w:ascii="仿宋" w:hAnsi="仿宋" w:eastAsia="仿宋"/>
          <w:color w:val="auto"/>
          <w:sz w:val="28"/>
          <w:szCs w:val="28"/>
        </w:rPr>
        <w:t>20</w:t>
      </w:r>
      <w:r>
        <w:rPr>
          <w:rFonts w:hint="eastAsia" w:ascii="仿宋" w:hAnsi="仿宋" w:eastAsia="仿宋"/>
          <w:color w:val="auto"/>
          <w:sz w:val="28"/>
          <w:szCs w:val="28"/>
          <w:lang w:val="en-US" w:eastAsia="zh-CN"/>
        </w:rPr>
        <w:t>23</w:t>
      </w:r>
      <w:r>
        <w:rPr>
          <w:rFonts w:hint="eastAsia" w:ascii="仿宋" w:hAnsi="仿宋" w:eastAsia="仿宋"/>
          <w:color w:val="auto"/>
          <w:sz w:val="28"/>
          <w:szCs w:val="28"/>
        </w:rPr>
        <w:t>年支出合计</w:t>
      </w:r>
      <w:r>
        <w:rPr>
          <w:rFonts w:hint="eastAsia" w:ascii="仿宋_GB2312" w:hAnsi="Microsoft YaHei UI" w:eastAsia="仿宋_GB2312"/>
          <w:color w:val="auto"/>
          <w:spacing w:val="6"/>
          <w:sz w:val="32"/>
          <w:szCs w:val="32"/>
          <w:lang w:val="en-US" w:eastAsia="zh-CN"/>
        </w:rPr>
        <w:t>649.07</w:t>
      </w:r>
      <w:r>
        <w:rPr>
          <w:rFonts w:hint="eastAsia" w:ascii="仿宋" w:hAnsi="仿宋" w:eastAsia="仿宋"/>
          <w:color w:val="auto"/>
          <w:sz w:val="28"/>
          <w:szCs w:val="28"/>
        </w:rPr>
        <w:t>万元，其中：基本支出</w:t>
      </w:r>
      <w:r>
        <w:rPr>
          <w:rFonts w:hint="eastAsia" w:ascii="仿宋" w:hAnsi="仿宋" w:eastAsia="仿宋"/>
          <w:color w:val="auto"/>
          <w:sz w:val="28"/>
          <w:szCs w:val="28"/>
          <w:lang w:val="en-US" w:eastAsia="zh-CN"/>
        </w:rPr>
        <w:t>612.35</w:t>
      </w:r>
      <w:r>
        <w:rPr>
          <w:rFonts w:hint="eastAsia" w:ascii="仿宋" w:hAnsi="仿宋" w:eastAsia="仿宋"/>
          <w:color w:val="auto"/>
          <w:sz w:val="28"/>
          <w:szCs w:val="28"/>
        </w:rPr>
        <w:t>万元，占</w:t>
      </w:r>
      <w:r>
        <w:rPr>
          <w:rFonts w:hint="eastAsia" w:ascii="仿宋" w:hAnsi="仿宋" w:eastAsia="仿宋"/>
          <w:color w:val="auto"/>
          <w:sz w:val="28"/>
          <w:szCs w:val="28"/>
          <w:lang w:val="en-US" w:eastAsia="zh-CN"/>
        </w:rPr>
        <w:t>94.34</w:t>
      </w:r>
      <w:r>
        <w:rPr>
          <w:rFonts w:hint="eastAsia" w:ascii="仿宋" w:hAnsi="仿宋" w:eastAsia="仿宋"/>
          <w:color w:val="auto"/>
          <w:sz w:val="28"/>
          <w:szCs w:val="28"/>
        </w:rPr>
        <w:t>%；项目支出</w:t>
      </w:r>
      <w:r>
        <w:rPr>
          <w:rFonts w:hint="eastAsia" w:ascii="仿宋" w:hAnsi="仿宋" w:eastAsia="仿宋"/>
          <w:color w:val="auto"/>
          <w:sz w:val="28"/>
          <w:szCs w:val="28"/>
          <w:lang w:val="en-US" w:eastAsia="zh-CN"/>
        </w:rPr>
        <w:t>36.72</w:t>
      </w:r>
      <w:r>
        <w:rPr>
          <w:rFonts w:hint="eastAsia" w:ascii="仿宋" w:hAnsi="仿宋" w:eastAsia="仿宋"/>
          <w:color w:val="auto"/>
          <w:sz w:val="28"/>
          <w:szCs w:val="28"/>
        </w:rPr>
        <w:t>万元，占</w:t>
      </w:r>
      <w:r>
        <w:rPr>
          <w:rFonts w:hint="eastAsia" w:ascii="仿宋" w:hAnsi="仿宋" w:eastAsia="仿宋"/>
          <w:color w:val="auto"/>
          <w:sz w:val="28"/>
          <w:szCs w:val="28"/>
          <w:lang w:val="en-US" w:eastAsia="zh-CN"/>
        </w:rPr>
        <w:t>5.66</w:t>
      </w:r>
      <w:r>
        <w:rPr>
          <w:rFonts w:hint="eastAsia" w:ascii="仿宋" w:hAnsi="仿宋" w:eastAsia="仿宋"/>
          <w:color w:val="auto"/>
          <w:sz w:val="28"/>
          <w:szCs w:val="28"/>
        </w:rPr>
        <w:t>%；</w:t>
      </w:r>
    </w:p>
    <w:p>
      <w:pPr>
        <w:spacing w:line="600" w:lineRule="exact"/>
        <w:ind w:firstLine="560" w:firstLineChars="200"/>
        <w:rPr>
          <w:rFonts w:hint="eastAsia" w:ascii="仿宋" w:hAnsi="仿宋" w:eastAsia="仿宋"/>
          <w:color w:val="auto"/>
          <w:sz w:val="28"/>
          <w:szCs w:val="28"/>
        </w:rPr>
      </w:pPr>
      <w:r>
        <w:rPr>
          <w:rFonts w:ascii="仿宋_GB2312" w:eastAsia="仿宋_GB2312"/>
          <w:color w:val="auto"/>
          <w:sz w:val="28"/>
          <w:szCs w:val="28"/>
        </w:rPr>
        <w:drawing>
          <wp:anchor distT="0" distB="0" distL="114300" distR="114300" simplePos="0" relativeHeight="251660288" behindDoc="0" locked="0" layoutInCell="1" allowOverlap="1">
            <wp:simplePos x="0" y="0"/>
            <wp:positionH relativeFrom="column">
              <wp:posOffset>377825</wp:posOffset>
            </wp:positionH>
            <wp:positionV relativeFrom="paragraph">
              <wp:posOffset>400685</wp:posOffset>
            </wp:positionV>
            <wp:extent cx="5274310" cy="2905760"/>
            <wp:effectExtent l="4445" t="4445" r="17145" b="2349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28"/>
          <w:szCs w:val="28"/>
        </w:rPr>
        <w:t>（图3：支出决算结构图）（饼状图）</w:t>
      </w:r>
    </w:p>
    <w:p>
      <w:pPr>
        <w:spacing w:line="600" w:lineRule="exact"/>
        <w:rPr>
          <w:rFonts w:ascii="仿宋_GB2312" w:eastAsia="仿宋_GB2312"/>
          <w:color w:val="auto"/>
          <w:sz w:val="32"/>
          <w:szCs w:val="32"/>
        </w:rPr>
      </w:pPr>
    </w:p>
    <w:p>
      <w:pPr>
        <w:spacing w:line="600" w:lineRule="exact"/>
        <w:rPr>
          <w:rFonts w:ascii="仿宋_GB2312" w:eastAsia="仿宋_GB2312"/>
          <w:color w:val="auto"/>
          <w:sz w:val="32"/>
          <w:szCs w:val="32"/>
        </w:rPr>
      </w:pPr>
    </w:p>
    <w:p>
      <w:pPr>
        <w:spacing w:line="600" w:lineRule="exact"/>
        <w:rPr>
          <w:rFonts w:ascii="仿宋_GB2312" w:eastAsia="仿宋_GB2312"/>
          <w:color w:val="auto"/>
          <w:sz w:val="32"/>
          <w:szCs w:val="32"/>
        </w:rPr>
      </w:pPr>
    </w:p>
    <w:p>
      <w:pPr>
        <w:spacing w:line="600" w:lineRule="exact"/>
        <w:rPr>
          <w:rFonts w:ascii="仿宋_GB2312" w:eastAsia="仿宋_GB2312"/>
          <w:color w:val="auto"/>
          <w:sz w:val="32"/>
          <w:szCs w:val="32"/>
        </w:rPr>
      </w:pPr>
    </w:p>
    <w:p>
      <w:pPr>
        <w:spacing w:line="600" w:lineRule="exact"/>
        <w:rPr>
          <w:rFonts w:ascii="仿宋_GB2312" w:eastAsia="仿宋_GB2312"/>
          <w:color w:val="auto"/>
          <w:sz w:val="32"/>
          <w:szCs w:val="32"/>
        </w:rPr>
      </w:pPr>
    </w:p>
    <w:p>
      <w:pPr>
        <w:spacing w:line="600" w:lineRule="exact"/>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outlineLvl w:val="1"/>
        <w:rPr>
          <w:rFonts w:hint="eastAsia" w:ascii="黑体" w:hAnsi="黑体" w:eastAsia="黑体"/>
          <w:color w:val="000000" w:themeColor="text1"/>
          <w:sz w:val="28"/>
          <w:szCs w:val="28"/>
          <w14:textFill>
            <w14:solidFill>
              <w14:schemeClr w14:val="tx1"/>
            </w14:solidFill>
          </w14:textFill>
        </w:rPr>
      </w:pPr>
      <w:bookmarkStart w:id="29" w:name="_Toc19089868"/>
      <w:bookmarkStart w:id="30" w:name="_Toc15377208"/>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outlineLvl w:val="1"/>
        <w:rPr>
          <w:rFonts w:hint="eastAsia" w:ascii="黑体" w:hAnsi="黑体"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outlineLvl w:val="1"/>
        <w:rPr>
          <w:rStyle w:val="25"/>
          <w:rFonts w:ascii="黑体" w:hAnsi="黑体" w:eastAsia="黑体"/>
          <w:b w:val="0"/>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四、财</w:t>
      </w:r>
      <w:r>
        <w:rPr>
          <w:rStyle w:val="25"/>
          <w:rFonts w:hint="eastAsia" w:ascii="黑体" w:hAnsi="黑体" w:eastAsia="黑体"/>
          <w:b w:val="0"/>
          <w:color w:val="000000" w:themeColor="text1"/>
          <w:sz w:val="28"/>
          <w:szCs w:val="28"/>
          <w14:textFill>
            <w14:solidFill>
              <w14:schemeClr w14:val="tx1"/>
            </w14:solidFill>
          </w14:textFill>
        </w:rPr>
        <w:t>政拨款收入支出决算总体情况说明</w:t>
      </w:r>
      <w:bookmarkEnd w:id="29"/>
      <w:bookmarkEnd w:id="30"/>
    </w:p>
    <w:p>
      <w:pPr>
        <w:spacing w:line="600" w:lineRule="exact"/>
        <w:ind w:firstLine="960" w:firstLineChars="3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2023年财政拨款收、支总计均为637.72万元。与2022年相比（727万元），财政拨款收、支总计各减少89.28万元，减少12.28%。主要变动原因：</w:t>
      </w:r>
      <w:r>
        <w:rPr>
          <w:rFonts w:hint="eastAsia" w:ascii="仿宋" w:hAnsi="仿宋" w:eastAsia="仿宋" w:cs="仿宋"/>
          <w:color w:val="000000" w:themeColor="text1"/>
          <w:kern w:val="2"/>
          <w:sz w:val="28"/>
          <w:szCs w:val="28"/>
          <w:lang w:val="en-US" w:eastAsia="zh-CN" w:bidi="ar"/>
          <w14:textFill>
            <w14:solidFill>
              <w14:schemeClr w14:val="tx1"/>
            </w14:solidFill>
          </w14:textFill>
        </w:rPr>
        <w:t>教职工和学生均减少</w:t>
      </w:r>
      <w:r>
        <w:rPr>
          <w:rFonts w:hint="eastAsia" w:ascii="仿宋" w:hAnsi="仿宋" w:eastAsia="仿宋"/>
          <w:color w:val="000000" w:themeColor="text1"/>
          <w:sz w:val="32"/>
          <w:szCs w:val="32"/>
          <w:highlight w:val="none"/>
          <w:lang w:val="en-US" w:eastAsia="zh-CN"/>
          <w14:textFill>
            <w14:solidFill>
              <w14:schemeClr w14:val="tx1"/>
            </w14:solidFill>
          </w14:textFill>
        </w:rPr>
        <w:t>。</w:t>
      </w:r>
    </w:p>
    <w:p>
      <w:pPr>
        <w:pStyle w:val="2"/>
        <w:rPr>
          <w:rFonts w:ascii="仿宋" w:hAnsi="仿宋" w:eastAsia="仿宋"/>
          <w:b/>
          <w:color w:val="auto"/>
          <w:sz w:val="32"/>
          <w:szCs w:val="32"/>
          <w:highlight w:val="none"/>
        </w:rPr>
      </w:pPr>
      <w:r>
        <w:rPr>
          <w:rFonts w:ascii="仿宋_GB2312" w:eastAsia="仿宋_GB2312"/>
          <w:sz w:val="32"/>
          <w:szCs w:val="32"/>
        </w:rPr>
        <w:drawing>
          <wp:anchor distT="0" distB="0" distL="114300" distR="114300" simplePos="0" relativeHeight="251663360" behindDoc="1" locked="0" layoutInCell="1" allowOverlap="1">
            <wp:simplePos x="0" y="0"/>
            <wp:positionH relativeFrom="column">
              <wp:posOffset>-205105</wp:posOffset>
            </wp:positionH>
            <wp:positionV relativeFrom="paragraph">
              <wp:posOffset>109220</wp:posOffset>
            </wp:positionV>
            <wp:extent cx="5327650" cy="2571750"/>
            <wp:effectExtent l="4445" t="4445" r="20955" b="14605"/>
            <wp:wrapTight wrapText="bothSides">
              <wp:wrapPolygon>
                <wp:start x="-18" y="-37"/>
                <wp:lineTo x="-18" y="21563"/>
                <wp:lineTo x="21530" y="21563"/>
                <wp:lineTo x="21530" y="-37"/>
                <wp:lineTo x="-18" y="-37"/>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sz w:val="32"/>
          <w:szCs w:val="32"/>
          <w:lang w:val="en-US" w:eastAsia="zh-CN"/>
        </w:rPr>
        <w:t xml:space="preserve"> </w:t>
      </w:r>
      <w:r>
        <w:rPr>
          <w:rFonts w:hint="eastAsia" w:ascii="仿宋" w:hAnsi="仿宋" w:eastAsia="仿宋"/>
          <w:color w:val="000000" w:themeColor="text1"/>
          <w:sz w:val="28"/>
          <w:szCs w:val="28"/>
          <w14:textFill>
            <w14:solidFill>
              <w14:schemeClr w14:val="tx1"/>
            </w14:solidFill>
          </w14:textFill>
        </w:rPr>
        <w:t>（图4：财政拨款收、支决算总计变动情况）（柱状图）</w:t>
      </w:r>
    </w:p>
    <w:p>
      <w:pPr>
        <w:spacing w:line="600" w:lineRule="exact"/>
        <w:ind w:firstLine="640" w:firstLineChars="200"/>
        <w:outlineLvl w:val="1"/>
        <w:rPr>
          <w:rFonts w:hint="eastAsia" w:ascii="黑体" w:hAnsi="黑体" w:eastAsia="黑体"/>
          <w:color w:val="auto"/>
          <w:sz w:val="32"/>
          <w:szCs w:val="32"/>
          <w:highlight w:val="none"/>
        </w:rPr>
      </w:pPr>
      <w:bookmarkStart w:id="31" w:name="_Toc15377209"/>
      <w:bookmarkStart w:id="32" w:name="_Toc15396607"/>
    </w:p>
    <w:p>
      <w:pPr>
        <w:spacing w:line="600" w:lineRule="exact"/>
        <w:ind w:firstLine="640" w:firstLineChars="200"/>
        <w:outlineLvl w:val="1"/>
        <w:rPr>
          <w:rStyle w:val="25"/>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31"/>
      <w:bookmarkEnd w:id="32"/>
    </w:p>
    <w:p>
      <w:pPr>
        <w:spacing w:line="600" w:lineRule="exact"/>
        <w:ind w:firstLine="642" w:firstLineChars="200"/>
        <w:outlineLvl w:val="2"/>
        <w:rPr>
          <w:rFonts w:ascii="仿宋" w:hAnsi="仿宋" w:eastAsia="仿宋"/>
          <w:b/>
          <w:color w:val="auto"/>
          <w:sz w:val="32"/>
          <w:szCs w:val="32"/>
          <w:highlight w:val="none"/>
        </w:rPr>
      </w:pPr>
      <w:bookmarkStart w:id="33" w:name="_Toc15377210"/>
      <w:r>
        <w:rPr>
          <w:rFonts w:hint="eastAsia" w:ascii="仿宋" w:hAnsi="仿宋" w:eastAsia="仿宋"/>
          <w:b/>
          <w:color w:val="auto"/>
          <w:sz w:val="32"/>
          <w:szCs w:val="32"/>
          <w:highlight w:val="none"/>
        </w:rPr>
        <w:t>（一）一般公共预算财政拨款支出决算总体情况</w:t>
      </w:r>
      <w:bookmarkEnd w:id="33"/>
    </w:p>
    <w:p>
      <w:pPr>
        <w:spacing w:line="600" w:lineRule="exact"/>
        <w:ind w:firstLine="840" w:firstLineChars="3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lang w:val="en-US" w:eastAsia="zh-CN"/>
          <w14:textFill>
            <w14:solidFill>
              <w14:schemeClr w14:val="tx1"/>
            </w14:solidFill>
          </w14:textFill>
        </w:rPr>
        <w:t>23</w:t>
      </w:r>
      <w:r>
        <w:rPr>
          <w:rFonts w:hint="eastAsia" w:ascii="仿宋" w:hAnsi="仿宋" w:eastAsia="仿宋"/>
          <w:color w:val="000000" w:themeColor="text1"/>
          <w:sz w:val="28"/>
          <w:szCs w:val="28"/>
          <w14:textFill>
            <w14:solidFill>
              <w14:schemeClr w14:val="tx1"/>
            </w14:solidFill>
          </w14:textFill>
        </w:rPr>
        <w:t>年一般公共预算财政拨款支出</w:t>
      </w:r>
      <w:r>
        <w:rPr>
          <w:rFonts w:hint="eastAsia" w:ascii="仿宋" w:hAnsi="仿宋" w:eastAsia="仿宋"/>
          <w:sz w:val="28"/>
          <w:szCs w:val="28"/>
        </w:rPr>
        <w:t>合计</w:t>
      </w:r>
      <w:r>
        <w:rPr>
          <w:rFonts w:hint="eastAsia" w:ascii="仿宋" w:hAnsi="仿宋" w:eastAsia="仿宋"/>
          <w:color w:val="000000" w:themeColor="text1"/>
          <w:sz w:val="32"/>
          <w:szCs w:val="32"/>
          <w:highlight w:val="none"/>
          <w:lang w:val="en-US" w:eastAsia="zh-CN"/>
          <w14:textFill>
            <w14:solidFill>
              <w14:schemeClr w14:val="tx1"/>
            </w14:solidFill>
          </w14:textFill>
        </w:rPr>
        <w:t>637.72</w:t>
      </w:r>
      <w:r>
        <w:rPr>
          <w:rFonts w:hint="eastAsia" w:ascii="仿宋" w:hAnsi="仿宋" w:eastAsia="仿宋"/>
          <w:color w:val="auto"/>
          <w:sz w:val="28"/>
          <w:szCs w:val="28"/>
        </w:rPr>
        <w:t>万元</w:t>
      </w:r>
      <w:r>
        <w:rPr>
          <w:rFonts w:hint="eastAsia" w:ascii="仿宋" w:hAnsi="仿宋" w:eastAsia="仿宋"/>
          <w:sz w:val="28"/>
          <w:szCs w:val="28"/>
        </w:rPr>
        <w:t>，</w:t>
      </w:r>
      <w:r>
        <w:rPr>
          <w:rFonts w:hint="eastAsia" w:ascii="仿宋" w:hAnsi="仿宋" w:eastAsia="仿宋"/>
          <w:color w:val="000000" w:themeColor="text1"/>
          <w:sz w:val="28"/>
          <w:szCs w:val="28"/>
          <w14:textFill>
            <w14:solidFill>
              <w14:schemeClr w14:val="tx1"/>
            </w14:solidFill>
          </w14:textFill>
        </w:rPr>
        <w:t>占本年支出合计</w:t>
      </w:r>
      <w:r>
        <w:rPr>
          <w:rFonts w:hint="eastAsia" w:ascii="仿宋" w:hAnsi="仿宋" w:eastAsia="仿宋"/>
          <w:b w:val="0"/>
          <w:bCs w:val="0"/>
          <w:color w:val="000000" w:themeColor="text1"/>
          <w:sz w:val="28"/>
          <w:szCs w:val="28"/>
          <w14:textFill>
            <w14:solidFill>
              <w14:schemeClr w14:val="tx1"/>
            </w14:solidFill>
          </w14:textFill>
        </w:rPr>
        <w:t>的</w:t>
      </w:r>
      <w:r>
        <w:rPr>
          <w:rFonts w:hint="eastAsia" w:ascii="仿宋" w:hAnsi="仿宋" w:eastAsia="仿宋"/>
          <w:b w:val="0"/>
          <w:bCs w:val="0"/>
          <w:color w:val="000000" w:themeColor="text1"/>
          <w:sz w:val="28"/>
          <w:szCs w:val="28"/>
          <w:lang w:val="en-US" w:eastAsia="zh-CN"/>
          <w14:textFill>
            <w14:solidFill>
              <w14:schemeClr w14:val="tx1"/>
            </w14:solidFill>
          </w14:textFill>
        </w:rPr>
        <w:t>98.25</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。与</w:t>
      </w:r>
      <w:r>
        <w:rPr>
          <w:rFonts w:ascii="仿宋" w:hAnsi="仿宋" w:eastAsia="仿宋"/>
          <w:b w:val="0"/>
          <w:bCs w:val="0"/>
          <w:color w:val="000000" w:themeColor="text1"/>
          <w:sz w:val="28"/>
          <w:szCs w:val="28"/>
          <w14:textFill>
            <w14:solidFill>
              <w14:schemeClr w14:val="tx1"/>
            </w14:solidFill>
          </w14:textFill>
        </w:rPr>
        <w:t>20</w:t>
      </w:r>
      <w:r>
        <w:rPr>
          <w:rFonts w:hint="eastAsia" w:ascii="仿宋" w:hAnsi="仿宋" w:eastAsia="仿宋"/>
          <w:b w:val="0"/>
          <w:bCs w:val="0"/>
          <w:color w:val="000000" w:themeColor="text1"/>
          <w:sz w:val="28"/>
          <w:szCs w:val="28"/>
          <w:lang w:val="en-US" w:eastAsia="zh-CN"/>
          <w14:textFill>
            <w14:solidFill>
              <w14:schemeClr w14:val="tx1"/>
            </w14:solidFill>
          </w14:textFill>
        </w:rPr>
        <w:t>22</w:t>
      </w:r>
      <w:r>
        <w:rPr>
          <w:rFonts w:hint="eastAsia" w:ascii="仿宋" w:hAnsi="仿宋" w:eastAsia="仿宋"/>
          <w:b w:val="0"/>
          <w:bCs w:val="0"/>
          <w:color w:val="000000" w:themeColor="text1"/>
          <w:sz w:val="28"/>
          <w:szCs w:val="28"/>
          <w14:textFill>
            <w14:solidFill>
              <w14:schemeClr w14:val="tx1"/>
            </w14:solidFill>
          </w14:textFill>
        </w:rPr>
        <w:t>年相比（</w:t>
      </w:r>
      <w:r>
        <w:rPr>
          <w:rFonts w:hint="eastAsia" w:ascii="仿宋_GB2312" w:hAnsi="Microsoft YaHei UI" w:eastAsia="仿宋_GB2312"/>
          <w:color w:val="333333"/>
          <w:spacing w:val="6"/>
          <w:sz w:val="32"/>
          <w:szCs w:val="32"/>
          <w:lang w:val="en-US" w:eastAsia="zh-CN"/>
        </w:rPr>
        <w:t>727</w:t>
      </w:r>
      <w:r>
        <w:rPr>
          <w:rFonts w:hint="eastAsia" w:ascii="仿宋" w:hAnsi="仿宋" w:eastAsia="仿宋"/>
          <w:b w:val="0"/>
          <w:bCs w:val="0"/>
          <w:color w:val="000000" w:themeColor="text1"/>
          <w:sz w:val="28"/>
          <w:szCs w:val="28"/>
          <w14:textFill>
            <w14:solidFill>
              <w14:schemeClr w14:val="tx1"/>
            </w14:solidFill>
          </w14:textFill>
        </w:rPr>
        <w:t>万元）</w:t>
      </w:r>
      <w:r>
        <w:rPr>
          <w:rFonts w:hint="eastAsia" w:ascii="仿宋" w:hAnsi="仿宋" w:eastAsia="仿宋"/>
          <w:b w:val="0"/>
          <w:bCs w:val="0"/>
          <w:color w:val="000000" w:themeColor="text1"/>
          <w:sz w:val="28"/>
          <w:szCs w:val="28"/>
          <w:lang w:eastAsia="zh-CN"/>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一般公共预算财政拨款支出</w:t>
      </w:r>
      <w:r>
        <w:rPr>
          <w:rFonts w:hint="eastAsia" w:ascii="仿宋" w:hAnsi="仿宋" w:eastAsia="仿宋"/>
          <w:color w:val="000000" w:themeColor="text1"/>
          <w:sz w:val="28"/>
          <w:szCs w:val="28"/>
          <w14:textFill>
            <w14:solidFill>
              <w14:schemeClr w14:val="tx1"/>
            </w14:solidFill>
          </w14:textFill>
        </w:rPr>
        <w:t>总计</w:t>
      </w:r>
      <w:r>
        <w:rPr>
          <w:rFonts w:hint="eastAsia" w:ascii="仿宋" w:hAnsi="仿宋" w:eastAsia="仿宋"/>
          <w:color w:val="000000" w:themeColor="text1"/>
          <w:sz w:val="28"/>
          <w:szCs w:val="28"/>
          <w:lang w:eastAsia="zh-CN"/>
          <w14:textFill>
            <w14:solidFill>
              <w14:schemeClr w14:val="tx1"/>
            </w14:solidFill>
          </w14:textFill>
        </w:rPr>
        <w:t>减少</w:t>
      </w:r>
      <w:r>
        <w:rPr>
          <w:rFonts w:hint="eastAsia" w:ascii="仿宋" w:hAnsi="仿宋" w:eastAsia="仿宋"/>
          <w:color w:val="000000" w:themeColor="text1"/>
          <w:sz w:val="32"/>
          <w:szCs w:val="32"/>
          <w:highlight w:val="none"/>
          <w:lang w:val="en-US" w:eastAsia="zh-CN"/>
          <w14:textFill>
            <w14:solidFill>
              <w14:schemeClr w14:val="tx1"/>
            </w14:solidFill>
          </w14:textFill>
        </w:rPr>
        <w:t>89.28万元，减少12.28%。主要变动原因：</w:t>
      </w:r>
      <w:r>
        <w:rPr>
          <w:rFonts w:hint="eastAsia" w:ascii="仿宋" w:hAnsi="仿宋" w:eastAsia="仿宋" w:cs="仿宋"/>
          <w:color w:val="000000" w:themeColor="text1"/>
          <w:kern w:val="2"/>
          <w:sz w:val="28"/>
          <w:szCs w:val="28"/>
          <w:lang w:val="en-US" w:eastAsia="zh-CN" w:bidi="ar"/>
          <w14:textFill>
            <w14:solidFill>
              <w14:schemeClr w14:val="tx1"/>
            </w14:solidFill>
          </w14:textFill>
        </w:rPr>
        <w:t>教职工和学生均减少</w:t>
      </w:r>
      <w:r>
        <w:rPr>
          <w:rFonts w:hint="eastAsia" w:ascii="仿宋" w:hAnsi="仿宋" w:eastAsia="仿宋"/>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sz w:val="28"/>
          <w:szCs w:val="28"/>
        </w:rPr>
      </w:pPr>
    </w:p>
    <w:p>
      <w:pPr>
        <w:pStyle w:val="2"/>
        <w:rPr>
          <w:rFonts w:hint="eastAsia" w:ascii="仿宋" w:hAnsi="仿宋" w:eastAsia="仿宋"/>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b w:val="0"/>
          <w:bCs w:val="0"/>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drawing>
          <wp:anchor distT="0" distB="0" distL="114300" distR="114300" simplePos="0" relativeHeight="251664384" behindDoc="0" locked="0" layoutInCell="1" allowOverlap="1">
            <wp:simplePos x="0" y="0"/>
            <wp:positionH relativeFrom="column">
              <wp:posOffset>99695</wp:posOffset>
            </wp:positionH>
            <wp:positionV relativeFrom="paragraph">
              <wp:posOffset>68580</wp:posOffset>
            </wp:positionV>
            <wp:extent cx="5202555" cy="2414905"/>
            <wp:effectExtent l="4445" t="4445" r="12700" b="1905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b w:val="0"/>
          <w:bCs w:val="0"/>
          <w:color w:val="000000" w:themeColor="text1"/>
          <w:sz w:val="28"/>
          <w:szCs w:val="28"/>
          <w14:textFill>
            <w14:solidFill>
              <w14:schemeClr w14:val="tx1"/>
            </w14:solidFill>
          </w14:textFill>
        </w:rPr>
        <w:t>（图5：一般公共预算财政拨款支出决算变动情况）（柱状图）</w:t>
      </w:r>
    </w:p>
    <w:p>
      <w:pPr>
        <w:pStyle w:val="2"/>
        <w:rPr>
          <w:rFonts w:hint="eastAsia" w:ascii="楷体" w:hAnsi="楷体" w:eastAsia="楷体" w:cs="楷体"/>
          <w:b w:val="0"/>
          <w:bCs/>
          <w:color w:val="000000" w:themeColor="text1"/>
          <w:sz w:val="28"/>
          <w:szCs w:val="28"/>
          <w14:textFill>
            <w14:solidFill>
              <w14:schemeClr w14:val="tx1"/>
            </w14:solidFill>
          </w14:textFill>
        </w:rPr>
      </w:pPr>
      <w:bookmarkStart w:id="34" w:name="_Toc15377211"/>
      <w:r>
        <w:rPr>
          <w:rFonts w:hint="eastAsia" w:ascii="楷体" w:hAnsi="楷体" w:eastAsia="楷体" w:cs="楷体"/>
          <w:b w:val="0"/>
          <w:bCs/>
          <w:color w:val="000000" w:themeColor="text1"/>
          <w:sz w:val="28"/>
          <w:szCs w:val="28"/>
          <w14:textFill>
            <w14:solidFill>
              <w14:schemeClr w14:val="tx1"/>
            </w14:solidFill>
          </w14:textFill>
        </w:rPr>
        <w:t>（二）一般公共预算财政拨款支出决算结构情况</w:t>
      </w:r>
      <w:bookmarkEnd w:id="34"/>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drawing>
          <wp:anchor distT="0" distB="0" distL="114300" distR="114300" simplePos="0" relativeHeight="251661312" behindDoc="0" locked="0" layoutInCell="1" allowOverlap="1">
            <wp:simplePos x="0" y="0"/>
            <wp:positionH relativeFrom="column">
              <wp:posOffset>-130175</wp:posOffset>
            </wp:positionH>
            <wp:positionV relativeFrom="paragraph">
              <wp:posOffset>1812925</wp:posOffset>
            </wp:positionV>
            <wp:extent cx="5505450" cy="2910840"/>
            <wp:effectExtent l="4445" t="4445" r="14605" b="1841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b w:val="0"/>
          <w:bCs/>
          <w:color w:val="000000" w:themeColor="text1"/>
          <w:sz w:val="28"/>
          <w:szCs w:val="28"/>
          <w14:textFill>
            <w14:solidFill>
              <w14:schemeClr w14:val="tx1"/>
            </w14:solidFill>
          </w14:textFill>
        </w:rPr>
        <w:t>20</w:t>
      </w:r>
      <w:r>
        <w:rPr>
          <w:rFonts w:hint="eastAsia" w:ascii="仿宋" w:hAnsi="仿宋" w:eastAsia="仿宋"/>
          <w:b w:val="0"/>
          <w:bCs/>
          <w:color w:val="000000" w:themeColor="text1"/>
          <w:sz w:val="28"/>
          <w:szCs w:val="28"/>
          <w:lang w:val="en-US" w:eastAsia="zh-CN"/>
          <w14:textFill>
            <w14:solidFill>
              <w14:schemeClr w14:val="tx1"/>
            </w14:solidFill>
          </w14:textFill>
        </w:rPr>
        <w:t>23</w:t>
      </w:r>
      <w:r>
        <w:rPr>
          <w:rFonts w:hint="eastAsia" w:ascii="仿宋" w:hAnsi="仿宋" w:eastAsia="仿宋"/>
          <w:b w:val="0"/>
          <w:bCs/>
          <w:color w:val="000000" w:themeColor="text1"/>
          <w:sz w:val="28"/>
          <w:szCs w:val="28"/>
          <w14:textFill>
            <w14:solidFill>
              <w14:schemeClr w14:val="tx1"/>
            </w14:solidFill>
          </w14:textFill>
        </w:rPr>
        <w:t>年一般公共预算财政拨款支出</w:t>
      </w:r>
      <w:r>
        <w:rPr>
          <w:rFonts w:hint="eastAsia" w:ascii="仿宋" w:hAnsi="仿宋" w:eastAsia="仿宋"/>
          <w:b w:val="0"/>
          <w:bCs/>
          <w:color w:val="000000" w:themeColor="text1"/>
          <w:sz w:val="28"/>
          <w:szCs w:val="28"/>
          <w:lang w:val="en-US" w:eastAsia="zh-CN"/>
          <w14:textFill>
            <w14:solidFill>
              <w14:schemeClr w14:val="tx1"/>
            </w14:solidFill>
          </w14:textFill>
        </w:rPr>
        <w:t>637.72</w:t>
      </w:r>
      <w:r>
        <w:rPr>
          <w:rFonts w:hint="eastAsia" w:ascii="仿宋" w:hAnsi="仿宋" w:eastAsia="仿宋"/>
          <w:b w:val="0"/>
          <w:bCs/>
          <w:color w:val="000000" w:themeColor="text1"/>
          <w:sz w:val="28"/>
          <w:szCs w:val="28"/>
          <w14:textFill>
            <w14:solidFill>
              <w14:schemeClr w14:val="tx1"/>
            </w14:solidFill>
          </w14:textFill>
        </w:rPr>
        <w:t>万元，教育支出（类）</w:t>
      </w:r>
      <w:r>
        <w:rPr>
          <w:rFonts w:hint="eastAsia" w:ascii="仿宋" w:hAnsi="仿宋" w:eastAsia="仿宋"/>
          <w:b w:val="0"/>
          <w:bCs/>
          <w:color w:val="000000" w:themeColor="text1"/>
          <w:sz w:val="28"/>
          <w:szCs w:val="28"/>
          <w:lang w:val="en-US" w:eastAsia="zh-CN"/>
          <w14:textFill>
            <w14:solidFill>
              <w14:schemeClr w14:val="tx1"/>
            </w14:solidFill>
          </w14:textFill>
        </w:rPr>
        <w:t>527.41</w:t>
      </w:r>
      <w:r>
        <w:rPr>
          <w:rFonts w:hint="eastAsia" w:ascii="仿宋" w:hAnsi="仿宋" w:eastAsia="仿宋"/>
          <w:b w:val="0"/>
          <w:bCs/>
          <w:color w:val="000000" w:themeColor="text1"/>
          <w:sz w:val="28"/>
          <w:szCs w:val="28"/>
          <w14:textFill>
            <w14:solidFill>
              <w14:schemeClr w14:val="tx1"/>
            </w14:solidFill>
          </w14:textFill>
        </w:rPr>
        <w:t>万元，占</w:t>
      </w:r>
      <w:r>
        <w:rPr>
          <w:rFonts w:hint="eastAsia" w:ascii="仿宋" w:hAnsi="仿宋" w:eastAsia="仿宋"/>
          <w:b w:val="0"/>
          <w:bCs/>
          <w:color w:val="000000" w:themeColor="text1"/>
          <w:sz w:val="28"/>
          <w:szCs w:val="28"/>
          <w:lang w:val="en-US" w:eastAsia="zh-CN"/>
          <w14:textFill>
            <w14:solidFill>
              <w14:schemeClr w14:val="tx1"/>
            </w14:solidFill>
          </w14:textFill>
        </w:rPr>
        <w:t>82.70</w:t>
      </w:r>
      <w:r>
        <w:rPr>
          <w:rFonts w:hint="eastAsia" w:ascii="仿宋" w:hAnsi="仿宋" w:eastAsia="仿宋"/>
          <w:b w:val="0"/>
          <w:bCs/>
          <w:color w:val="000000" w:themeColor="text1"/>
          <w:sz w:val="28"/>
          <w:szCs w:val="28"/>
          <w14:textFill>
            <w14:solidFill>
              <w14:schemeClr w14:val="tx1"/>
            </w14:solidFill>
          </w14:textFill>
        </w:rPr>
        <w:t>%；社会保障和就业（类）支出</w:t>
      </w:r>
      <w:r>
        <w:rPr>
          <w:rFonts w:hint="eastAsia" w:ascii="仿宋" w:hAnsi="仿宋" w:eastAsia="仿宋"/>
          <w:b w:val="0"/>
          <w:bCs/>
          <w:color w:val="000000" w:themeColor="text1"/>
          <w:sz w:val="28"/>
          <w:szCs w:val="28"/>
          <w:lang w:val="en-US" w:eastAsia="zh-CN"/>
          <w14:textFill>
            <w14:solidFill>
              <w14:schemeClr w14:val="tx1"/>
            </w14:solidFill>
          </w14:textFill>
        </w:rPr>
        <w:t>56.66</w:t>
      </w:r>
      <w:r>
        <w:rPr>
          <w:rFonts w:hint="eastAsia" w:ascii="仿宋" w:hAnsi="仿宋" w:eastAsia="仿宋"/>
          <w:b w:val="0"/>
          <w:bCs/>
          <w:color w:val="000000" w:themeColor="text1"/>
          <w:sz w:val="28"/>
          <w:szCs w:val="28"/>
          <w14:textFill>
            <w14:solidFill>
              <w14:schemeClr w14:val="tx1"/>
            </w14:solidFill>
          </w14:textFill>
        </w:rPr>
        <w:t>万元，占</w:t>
      </w:r>
      <w:r>
        <w:rPr>
          <w:rFonts w:hint="eastAsia" w:ascii="仿宋" w:hAnsi="仿宋" w:eastAsia="仿宋"/>
          <w:b w:val="0"/>
          <w:bCs/>
          <w:color w:val="000000" w:themeColor="text1"/>
          <w:sz w:val="28"/>
          <w:szCs w:val="28"/>
          <w:lang w:val="en-US" w:eastAsia="zh-CN"/>
          <w14:textFill>
            <w14:solidFill>
              <w14:schemeClr w14:val="tx1"/>
            </w14:solidFill>
          </w14:textFill>
        </w:rPr>
        <w:t>8.88</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；卫生健康（类）支出</w:t>
      </w:r>
      <w:r>
        <w:rPr>
          <w:rFonts w:hint="eastAsia" w:ascii="仿宋" w:hAnsi="仿宋" w:eastAsia="仿宋"/>
          <w:b w:val="0"/>
          <w:bCs/>
          <w:color w:val="000000" w:themeColor="text1"/>
          <w:sz w:val="28"/>
          <w:szCs w:val="28"/>
          <w:lang w:val="en-US" w:eastAsia="zh-CN"/>
          <w14:textFill>
            <w14:solidFill>
              <w14:schemeClr w14:val="tx1"/>
            </w14:solidFill>
          </w14:textFill>
        </w:rPr>
        <w:t>24.42</w:t>
      </w:r>
      <w:r>
        <w:rPr>
          <w:rFonts w:hint="eastAsia" w:ascii="仿宋" w:hAnsi="仿宋" w:eastAsia="仿宋"/>
          <w:b w:val="0"/>
          <w:bCs/>
          <w:color w:val="000000" w:themeColor="text1"/>
          <w:sz w:val="28"/>
          <w:szCs w:val="28"/>
          <w14:textFill>
            <w14:solidFill>
              <w14:schemeClr w14:val="tx1"/>
            </w14:solidFill>
          </w14:textFill>
        </w:rPr>
        <w:t>万元，占</w:t>
      </w:r>
      <w:r>
        <w:rPr>
          <w:rFonts w:hint="eastAsia" w:ascii="仿宋" w:hAnsi="仿宋" w:eastAsia="仿宋"/>
          <w:b w:val="0"/>
          <w:bCs/>
          <w:color w:val="000000" w:themeColor="text1"/>
          <w:sz w:val="28"/>
          <w:szCs w:val="28"/>
          <w:lang w:val="en-US" w:eastAsia="zh-CN"/>
          <w14:textFill>
            <w14:solidFill>
              <w14:schemeClr w14:val="tx1"/>
            </w14:solidFill>
          </w14:textFill>
        </w:rPr>
        <w:t>3.83</w:t>
      </w:r>
      <w:r>
        <w:rPr>
          <w:rFonts w:hint="eastAsia" w:ascii="仿宋" w:hAnsi="仿宋" w:eastAsia="仿宋"/>
          <w:b w:val="0"/>
          <w:bCs/>
          <w:color w:val="000000" w:themeColor="text1"/>
          <w:sz w:val="28"/>
          <w:szCs w:val="28"/>
          <w14:textFill>
            <w14:solidFill>
              <w14:schemeClr w14:val="tx1"/>
            </w14:solidFill>
          </w14:textFill>
        </w:rPr>
        <w:t>%；住房保障(类)支出</w:t>
      </w:r>
      <w:r>
        <w:rPr>
          <w:rFonts w:hint="eastAsia" w:ascii="仿宋" w:hAnsi="仿宋" w:eastAsia="仿宋"/>
          <w:b w:val="0"/>
          <w:bCs/>
          <w:color w:val="000000" w:themeColor="text1"/>
          <w:sz w:val="28"/>
          <w:szCs w:val="28"/>
          <w:lang w:val="en-US" w:eastAsia="zh-CN"/>
          <w14:textFill>
            <w14:solidFill>
              <w14:schemeClr w14:val="tx1"/>
            </w14:solidFill>
          </w14:textFill>
        </w:rPr>
        <w:t>29.23</w:t>
      </w:r>
      <w:r>
        <w:rPr>
          <w:rFonts w:hint="eastAsia" w:ascii="仿宋" w:hAnsi="仿宋" w:eastAsia="仿宋"/>
          <w:b w:val="0"/>
          <w:bCs/>
          <w:color w:val="000000" w:themeColor="text1"/>
          <w:sz w:val="28"/>
          <w:szCs w:val="28"/>
          <w14:textFill>
            <w14:solidFill>
              <w14:schemeClr w14:val="tx1"/>
            </w14:solidFill>
          </w14:textFill>
        </w:rPr>
        <w:t>万元，占</w:t>
      </w:r>
      <w:r>
        <w:rPr>
          <w:rFonts w:hint="eastAsia" w:ascii="仿宋" w:hAnsi="仿宋" w:eastAsia="仿宋"/>
          <w:b w:val="0"/>
          <w:bCs/>
          <w:color w:val="000000" w:themeColor="text1"/>
          <w:sz w:val="28"/>
          <w:szCs w:val="28"/>
          <w:lang w:val="en-US" w:eastAsia="zh-CN"/>
          <w14:textFill>
            <w14:solidFill>
              <w14:schemeClr w14:val="tx1"/>
            </w14:solidFill>
          </w14:textFill>
        </w:rPr>
        <w:t>4.58</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outlineLvl w:val="2"/>
        <w:rPr>
          <w:rFonts w:hint="eastAsia" w:ascii="楷体" w:hAnsi="楷体" w:eastAsia="楷体" w:cs="楷体"/>
          <w:b w:val="0"/>
          <w:bCs/>
          <w:color w:val="auto"/>
          <w:sz w:val="28"/>
          <w:szCs w:val="28"/>
        </w:rPr>
      </w:pPr>
      <w:bookmarkStart w:id="35" w:name="_Toc15377212"/>
      <w:r>
        <w:rPr>
          <w:rFonts w:hint="eastAsia" w:ascii="楷体" w:hAnsi="楷体" w:eastAsia="楷体" w:cs="楷体"/>
          <w:b w:val="0"/>
          <w:bCs/>
          <w:color w:val="auto"/>
          <w:sz w:val="28"/>
          <w:szCs w:val="28"/>
        </w:rPr>
        <w:t>（三）一般公共预算财政拨款支出决算具体情况</w:t>
      </w:r>
      <w:bookmarkEnd w:id="35"/>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outlineLvl w:val="2"/>
        <w:rPr>
          <w:rFonts w:ascii="仿宋" w:hAnsi="仿宋" w:eastAsia="仿宋"/>
          <w:b w:val="0"/>
          <w:bCs/>
          <w:color w:val="auto"/>
          <w:sz w:val="28"/>
          <w:szCs w:val="28"/>
        </w:rPr>
      </w:pPr>
      <w:bookmarkStart w:id="36" w:name="_Toc15378460"/>
      <w:bookmarkStart w:id="37" w:name="_Toc15377213"/>
      <w:bookmarkStart w:id="38" w:name="_Toc15377444"/>
      <w:r>
        <w:rPr>
          <w:rFonts w:hint="eastAsia" w:ascii="仿宋" w:hAnsi="仿宋" w:eastAsia="仿宋"/>
          <w:b w:val="0"/>
          <w:bCs/>
          <w:color w:val="auto"/>
          <w:sz w:val="28"/>
          <w:szCs w:val="28"/>
        </w:rPr>
        <w:t>20</w:t>
      </w:r>
      <w:r>
        <w:rPr>
          <w:rFonts w:hint="eastAsia" w:ascii="仿宋" w:hAnsi="仿宋" w:eastAsia="仿宋"/>
          <w:b w:val="0"/>
          <w:bCs/>
          <w:color w:val="auto"/>
          <w:sz w:val="28"/>
          <w:szCs w:val="28"/>
          <w:lang w:val="en-US" w:eastAsia="zh-CN"/>
        </w:rPr>
        <w:t>23</w:t>
      </w:r>
      <w:r>
        <w:rPr>
          <w:rFonts w:hint="eastAsia" w:ascii="仿宋" w:hAnsi="仿宋" w:eastAsia="仿宋"/>
          <w:b w:val="0"/>
          <w:bCs/>
          <w:color w:val="auto"/>
          <w:sz w:val="28"/>
          <w:szCs w:val="28"/>
        </w:rPr>
        <w:t>年一般公共预算支出决算数为</w:t>
      </w:r>
      <w:r>
        <w:rPr>
          <w:rFonts w:hint="eastAsia" w:ascii="仿宋" w:hAnsi="仿宋" w:eastAsia="仿宋"/>
          <w:b w:val="0"/>
          <w:bCs/>
          <w:color w:val="000000" w:themeColor="text1"/>
          <w:sz w:val="28"/>
          <w:szCs w:val="28"/>
          <w:lang w:val="en-US" w:eastAsia="zh-CN"/>
          <w14:textFill>
            <w14:solidFill>
              <w14:schemeClr w14:val="tx1"/>
            </w14:solidFill>
          </w14:textFill>
        </w:rPr>
        <w:t>637.72</w:t>
      </w:r>
      <w:r>
        <w:rPr>
          <w:rFonts w:hint="eastAsia" w:ascii="仿宋" w:hAnsi="仿宋" w:eastAsia="仿宋"/>
          <w:b w:val="0"/>
          <w:bCs/>
          <w:color w:val="auto"/>
          <w:sz w:val="28"/>
          <w:szCs w:val="28"/>
        </w:rPr>
        <w:t>万元，</w:t>
      </w:r>
      <w:r>
        <w:rPr>
          <w:rStyle w:val="14"/>
          <w:rFonts w:hint="eastAsia" w:ascii="仿宋" w:hAnsi="仿宋" w:eastAsia="仿宋"/>
          <w:b w:val="0"/>
          <w:bCs/>
          <w:color w:val="auto"/>
          <w:sz w:val="28"/>
          <w:szCs w:val="28"/>
        </w:rPr>
        <w:t>完成预算</w:t>
      </w:r>
      <w:r>
        <w:rPr>
          <w:rStyle w:val="14"/>
          <w:rFonts w:hint="eastAsia" w:ascii="仿宋" w:hAnsi="仿宋" w:eastAsia="仿宋"/>
          <w:b w:val="0"/>
          <w:bCs/>
          <w:color w:val="auto"/>
          <w:sz w:val="28"/>
          <w:szCs w:val="28"/>
          <w:lang w:val="en-US" w:eastAsia="zh-CN"/>
        </w:rPr>
        <w:t>100</w:t>
      </w:r>
      <w:r>
        <w:rPr>
          <w:rStyle w:val="14"/>
          <w:rFonts w:ascii="仿宋" w:hAnsi="仿宋" w:eastAsia="仿宋"/>
          <w:b w:val="0"/>
          <w:bCs/>
          <w:color w:val="auto"/>
          <w:sz w:val="28"/>
          <w:szCs w:val="28"/>
        </w:rPr>
        <w:t>%</w:t>
      </w:r>
      <w:r>
        <w:rPr>
          <w:rStyle w:val="14"/>
          <w:rFonts w:hint="eastAsia" w:ascii="仿宋" w:hAnsi="仿宋" w:eastAsia="仿宋"/>
          <w:b w:val="0"/>
          <w:bCs/>
          <w:color w:val="auto"/>
          <w:sz w:val="28"/>
          <w:szCs w:val="28"/>
        </w:rPr>
        <w:t>。其中：</w:t>
      </w:r>
      <w:bookmarkEnd w:id="36"/>
      <w:bookmarkEnd w:id="37"/>
      <w:bookmarkEnd w:id="38"/>
    </w:p>
    <w:p>
      <w:pPr>
        <w:keepNext w:val="0"/>
        <w:keepLines w:val="0"/>
        <w:pageBreakBefore w:val="0"/>
        <w:widowControl w:val="0"/>
        <w:numPr>
          <w:ilvl w:val="0"/>
          <w:numId w:val="4"/>
        </w:numPr>
        <w:kinsoku/>
        <w:wordWrap/>
        <w:overflowPunct/>
        <w:topLinePunct w:val="0"/>
        <w:autoSpaceDE/>
        <w:autoSpaceDN/>
        <w:bidi w:val="0"/>
        <w:adjustRightInd/>
        <w:snapToGrid w:val="0"/>
        <w:spacing w:line="540" w:lineRule="exact"/>
        <w:ind w:left="0" w:leftChars="0" w:firstLine="560" w:firstLineChars="200"/>
        <w:textAlignment w:val="auto"/>
        <w:rPr>
          <w:rStyle w:val="14"/>
          <w:rFonts w:hint="eastAsia" w:ascii="仿宋" w:hAnsi="仿宋" w:eastAsia="仿宋"/>
          <w:b w:val="0"/>
          <w:bCs/>
          <w:color w:val="auto"/>
          <w:sz w:val="28"/>
          <w:szCs w:val="28"/>
          <w:lang w:eastAsia="zh-CN"/>
        </w:rPr>
      </w:pPr>
      <w:r>
        <w:rPr>
          <w:rFonts w:ascii="仿宋" w:hAnsi="仿宋" w:eastAsia="仿宋"/>
          <w:b w:val="0"/>
          <w:bCs/>
          <w:color w:val="auto"/>
          <w:sz w:val="28"/>
          <w:szCs w:val="28"/>
        </w:rPr>
        <w:t xml:space="preserve"> </w:t>
      </w:r>
      <w:r>
        <w:rPr>
          <w:rStyle w:val="14"/>
          <w:rFonts w:ascii="仿宋" w:hAnsi="仿宋" w:eastAsia="仿宋"/>
          <w:b w:val="0"/>
          <w:bCs/>
          <w:color w:val="auto"/>
          <w:sz w:val="28"/>
          <w:szCs w:val="28"/>
        </w:rPr>
        <w:t>教育支出</w:t>
      </w:r>
      <w:r>
        <w:rPr>
          <w:rStyle w:val="14"/>
          <w:rFonts w:hint="eastAsia" w:ascii="仿宋" w:hAnsi="仿宋" w:eastAsia="仿宋"/>
          <w:b w:val="0"/>
          <w:bCs/>
          <w:color w:val="auto"/>
          <w:sz w:val="28"/>
          <w:szCs w:val="28"/>
        </w:rPr>
        <w:t>（类）普通教育（款）学前教育（项）</w:t>
      </w:r>
      <w:r>
        <w:rPr>
          <w:rStyle w:val="14"/>
          <w:rFonts w:ascii="仿宋" w:hAnsi="仿宋" w:eastAsia="仿宋"/>
          <w:b w:val="0"/>
          <w:bCs/>
          <w:color w:val="auto"/>
          <w:sz w:val="28"/>
          <w:szCs w:val="28"/>
        </w:rPr>
        <w:t xml:space="preserve">: </w:t>
      </w:r>
      <w:r>
        <w:rPr>
          <w:rStyle w:val="14"/>
          <w:rFonts w:hint="eastAsia" w:ascii="仿宋" w:hAnsi="仿宋" w:eastAsia="仿宋"/>
          <w:b w:val="0"/>
          <w:bCs/>
          <w:color w:val="auto"/>
          <w:sz w:val="28"/>
          <w:szCs w:val="28"/>
        </w:rPr>
        <w:t>支出决算数为</w:t>
      </w:r>
      <w:r>
        <w:rPr>
          <w:rStyle w:val="14"/>
          <w:rFonts w:hint="eastAsia" w:ascii="仿宋" w:hAnsi="仿宋" w:eastAsia="仿宋"/>
          <w:b w:val="0"/>
          <w:bCs/>
          <w:color w:val="auto"/>
          <w:sz w:val="28"/>
          <w:szCs w:val="28"/>
          <w:lang w:val="en-US" w:eastAsia="zh-CN"/>
        </w:rPr>
        <w:t>15.41</w:t>
      </w:r>
      <w:r>
        <w:rPr>
          <w:rStyle w:val="14"/>
          <w:rFonts w:hint="eastAsia" w:ascii="仿宋" w:hAnsi="仿宋" w:eastAsia="仿宋"/>
          <w:b w:val="0"/>
          <w:bCs/>
          <w:color w:val="auto"/>
          <w:sz w:val="28"/>
          <w:szCs w:val="28"/>
        </w:rPr>
        <w:t>万元</w:t>
      </w:r>
      <w:r>
        <w:rPr>
          <w:rStyle w:val="14"/>
          <w:rFonts w:hint="eastAsia" w:ascii="仿宋" w:hAnsi="仿宋" w:eastAsia="仿宋"/>
          <w:b w:val="0"/>
          <w:bCs/>
          <w:color w:val="auto"/>
          <w:sz w:val="28"/>
          <w:szCs w:val="28"/>
          <w:lang w:eastAsia="zh-CN"/>
        </w:rPr>
        <w:t>。</w:t>
      </w:r>
      <w:r>
        <w:rPr>
          <w:rStyle w:val="14"/>
          <w:rFonts w:hint="eastAsia" w:ascii="仿宋" w:hAnsi="仿宋" w:eastAsia="仿宋"/>
          <w:b w:val="0"/>
          <w:bCs/>
          <w:color w:val="auto"/>
          <w:sz w:val="28"/>
          <w:szCs w:val="28"/>
        </w:rPr>
        <w:t>完成预算</w:t>
      </w:r>
      <w:r>
        <w:rPr>
          <w:rStyle w:val="14"/>
          <w:rFonts w:hint="eastAsia" w:ascii="仿宋" w:hAnsi="仿宋" w:eastAsia="仿宋"/>
          <w:b w:val="0"/>
          <w:bCs/>
          <w:color w:val="auto"/>
          <w:sz w:val="28"/>
          <w:szCs w:val="28"/>
          <w:lang w:val="en-US" w:eastAsia="zh-CN"/>
        </w:rPr>
        <w:t>100</w:t>
      </w:r>
      <w:r>
        <w:rPr>
          <w:rStyle w:val="14"/>
          <w:rFonts w:ascii="仿宋" w:hAnsi="仿宋" w:eastAsia="仿宋"/>
          <w:b w:val="0"/>
          <w:bCs/>
          <w:color w:val="auto"/>
          <w:sz w:val="28"/>
          <w:szCs w:val="28"/>
        </w:rPr>
        <w:t>%</w:t>
      </w:r>
      <w:r>
        <w:rPr>
          <w:rStyle w:val="14"/>
          <w:rFonts w:hint="eastAsia" w:ascii="仿宋" w:hAnsi="仿宋" w:eastAsia="仿宋"/>
          <w:b w:val="0"/>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Style w:val="14"/>
          <w:rFonts w:hint="eastAsia" w:ascii="仿宋" w:hAnsi="仿宋" w:eastAsia="仿宋"/>
          <w:b w:val="0"/>
          <w:bCs/>
          <w:color w:val="auto"/>
          <w:sz w:val="28"/>
          <w:szCs w:val="28"/>
        </w:rPr>
      </w:pPr>
      <w:r>
        <w:rPr>
          <w:rStyle w:val="14"/>
          <w:rFonts w:hint="eastAsia" w:ascii="仿宋" w:hAnsi="仿宋" w:eastAsia="仿宋"/>
          <w:b w:val="0"/>
          <w:bCs/>
          <w:color w:val="auto"/>
          <w:sz w:val="28"/>
          <w:szCs w:val="28"/>
          <w:lang w:val="en-US" w:eastAsia="zh-CN"/>
        </w:rPr>
        <w:t>2</w:t>
      </w:r>
      <w:r>
        <w:rPr>
          <w:rStyle w:val="14"/>
          <w:rFonts w:ascii="仿宋" w:hAnsi="仿宋" w:eastAsia="仿宋"/>
          <w:b w:val="0"/>
          <w:bCs/>
          <w:color w:val="auto"/>
          <w:sz w:val="28"/>
          <w:szCs w:val="28"/>
        </w:rPr>
        <w:t>.</w:t>
      </w:r>
      <w:r>
        <w:rPr>
          <w:rFonts w:ascii="仿宋" w:hAnsi="仿宋" w:eastAsia="仿宋"/>
          <w:b w:val="0"/>
          <w:bCs/>
          <w:color w:val="auto"/>
          <w:sz w:val="28"/>
          <w:szCs w:val="28"/>
        </w:rPr>
        <w:t xml:space="preserve"> </w:t>
      </w:r>
      <w:r>
        <w:rPr>
          <w:rStyle w:val="14"/>
          <w:rFonts w:ascii="仿宋" w:hAnsi="仿宋" w:eastAsia="仿宋"/>
          <w:b w:val="0"/>
          <w:bCs/>
          <w:color w:val="auto"/>
          <w:sz w:val="28"/>
          <w:szCs w:val="28"/>
        </w:rPr>
        <w:t>教育支出</w:t>
      </w:r>
      <w:r>
        <w:rPr>
          <w:rStyle w:val="14"/>
          <w:rFonts w:hint="eastAsia" w:ascii="仿宋" w:hAnsi="仿宋" w:eastAsia="仿宋"/>
          <w:b w:val="0"/>
          <w:bCs/>
          <w:color w:val="auto"/>
          <w:sz w:val="28"/>
          <w:szCs w:val="28"/>
        </w:rPr>
        <w:t>（类）普通教育（款）小学教育（项）</w:t>
      </w:r>
      <w:r>
        <w:rPr>
          <w:rStyle w:val="14"/>
          <w:rFonts w:ascii="仿宋" w:hAnsi="仿宋" w:eastAsia="仿宋"/>
          <w:b w:val="0"/>
          <w:bCs/>
          <w:color w:val="auto"/>
          <w:sz w:val="28"/>
          <w:szCs w:val="28"/>
        </w:rPr>
        <w:t xml:space="preserve">: </w:t>
      </w:r>
      <w:r>
        <w:rPr>
          <w:rStyle w:val="14"/>
          <w:rFonts w:hint="eastAsia" w:ascii="仿宋" w:hAnsi="仿宋" w:eastAsia="仿宋"/>
          <w:b w:val="0"/>
          <w:bCs/>
          <w:color w:val="auto"/>
          <w:sz w:val="28"/>
          <w:szCs w:val="28"/>
        </w:rPr>
        <w:t>支出决算数为</w:t>
      </w:r>
      <w:r>
        <w:rPr>
          <w:rFonts w:hint="eastAsia" w:ascii="仿宋" w:hAnsi="仿宋" w:eastAsia="仿宋"/>
          <w:b w:val="0"/>
          <w:bCs/>
          <w:color w:val="000000" w:themeColor="text1"/>
          <w:sz w:val="28"/>
          <w:szCs w:val="28"/>
          <w:lang w:val="en-US" w:eastAsia="zh-CN"/>
          <w14:textFill>
            <w14:solidFill>
              <w14:schemeClr w14:val="tx1"/>
            </w14:solidFill>
          </w14:textFill>
        </w:rPr>
        <w:t>523.35</w:t>
      </w:r>
      <w:r>
        <w:rPr>
          <w:rStyle w:val="14"/>
          <w:rFonts w:hint="eastAsia" w:ascii="仿宋" w:hAnsi="仿宋" w:eastAsia="仿宋"/>
          <w:b w:val="0"/>
          <w:bCs/>
          <w:color w:val="auto"/>
          <w:sz w:val="28"/>
          <w:szCs w:val="28"/>
        </w:rPr>
        <w:t>万元，完成预算</w:t>
      </w:r>
      <w:r>
        <w:rPr>
          <w:rStyle w:val="14"/>
          <w:rFonts w:hint="eastAsia" w:ascii="仿宋" w:hAnsi="仿宋" w:eastAsia="仿宋"/>
          <w:b w:val="0"/>
          <w:bCs/>
          <w:color w:val="auto"/>
          <w:sz w:val="28"/>
          <w:szCs w:val="28"/>
          <w:lang w:val="en-US" w:eastAsia="zh-CN"/>
        </w:rPr>
        <w:t>100</w:t>
      </w:r>
      <w:r>
        <w:rPr>
          <w:rStyle w:val="14"/>
          <w:rFonts w:ascii="仿宋" w:hAnsi="仿宋" w:eastAsia="仿宋"/>
          <w:b w:val="0"/>
          <w:bCs/>
          <w:color w:val="auto"/>
          <w:sz w:val="28"/>
          <w:szCs w:val="28"/>
        </w:rPr>
        <w:t>%</w:t>
      </w:r>
      <w:r>
        <w:rPr>
          <w:rStyle w:val="14"/>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Style w:val="14"/>
          <w:rFonts w:hint="eastAsia" w:ascii="仿宋" w:hAnsi="仿宋" w:eastAsia="仿宋"/>
          <w:b w:val="0"/>
          <w:bCs/>
          <w:color w:val="auto"/>
          <w:sz w:val="28"/>
          <w:szCs w:val="28"/>
        </w:rPr>
      </w:pPr>
      <w:r>
        <w:rPr>
          <w:rStyle w:val="14"/>
          <w:rFonts w:hint="eastAsia" w:ascii="仿宋" w:hAnsi="仿宋" w:eastAsia="仿宋"/>
          <w:b w:val="0"/>
          <w:bCs/>
          <w:color w:val="auto"/>
          <w:sz w:val="28"/>
          <w:szCs w:val="28"/>
          <w:lang w:val="en-US" w:eastAsia="zh-CN"/>
        </w:rPr>
        <w:t>3.</w:t>
      </w:r>
      <w:r>
        <w:rPr>
          <w:rFonts w:ascii="仿宋" w:hAnsi="仿宋" w:eastAsia="仿宋"/>
          <w:b w:val="0"/>
          <w:bCs/>
          <w:color w:val="auto"/>
          <w:sz w:val="28"/>
          <w:szCs w:val="28"/>
        </w:rPr>
        <w:t>社会保障和就业支出</w:t>
      </w:r>
      <w:r>
        <w:rPr>
          <w:rStyle w:val="14"/>
          <w:rFonts w:hint="eastAsia" w:ascii="仿宋" w:hAnsi="仿宋" w:eastAsia="仿宋"/>
          <w:b w:val="0"/>
          <w:bCs/>
          <w:color w:val="auto"/>
          <w:sz w:val="28"/>
          <w:szCs w:val="28"/>
        </w:rPr>
        <w:t>（类）行政事业单位离退休（款）机关事业单位基本养老保险缴费支出（项）</w:t>
      </w:r>
      <w:r>
        <w:rPr>
          <w:rStyle w:val="14"/>
          <w:rFonts w:ascii="仿宋" w:hAnsi="仿宋" w:eastAsia="仿宋"/>
          <w:b w:val="0"/>
          <w:bCs/>
          <w:color w:val="auto"/>
          <w:sz w:val="28"/>
          <w:szCs w:val="28"/>
        </w:rPr>
        <w:t xml:space="preserve">: </w:t>
      </w:r>
      <w:r>
        <w:rPr>
          <w:rStyle w:val="14"/>
          <w:rFonts w:hint="eastAsia" w:ascii="仿宋" w:hAnsi="仿宋" w:eastAsia="仿宋"/>
          <w:b w:val="0"/>
          <w:bCs/>
          <w:color w:val="auto"/>
          <w:sz w:val="28"/>
          <w:szCs w:val="28"/>
        </w:rPr>
        <w:t>支出决算为</w:t>
      </w:r>
      <w:r>
        <w:rPr>
          <w:rFonts w:hint="eastAsia" w:ascii="仿宋" w:hAnsi="仿宋" w:eastAsia="仿宋"/>
          <w:b w:val="0"/>
          <w:bCs/>
          <w:color w:val="000000" w:themeColor="text1"/>
          <w:sz w:val="28"/>
          <w:szCs w:val="28"/>
          <w:lang w:val="en-US" w:eastAsia="zh-CN"/>
          <w14:textFill>
            <w14:solidFill>
              <w14:schemeClr w14:val="tx1"/>
            </w14:solidFill>
          </w14:textFill>
        </w:rPr>
        <w:t>38.97</w:t>
      </w:r>
      <w:r>
        <w:rPr>
          <w:rStyle w:val="14"/>
          <w:rFonts w:hint="eastAsia" w:ascii="仿宋" w:hAnsi="仿宋" w:eastAsia="仿宋"/>
          <w:b w:val="0"/>
          <w:bCs/>
          <w:color w:val="auto"/>
          <w:sz w:val="28"/>
          <w:szCs w:val="28"/>
        </w:rPr>
        <w:t>万元，完成预算</w:t>
      </w:r>
      <w:r>
        <w:rPr>
          <w:rStyle w:val="14"/>
          <w:rFonts w:hint="eastAsia" w:ascii="仿宋" w:hAnsi="仿宋" w:eastAsia="仿宋"/>
          <w:b w:val="0"/>
          <w:bCs/>
          <w:color w:val="auto"/>
          <w:sz w:val="28"/>
          <w:szCs w:val="28"/>
          <w:lang w:val="en-US" w:eastAsia="zh-CN"/>
        </w:rPr>
        <w:t>100</w:t>
      </w:r>
      <w:r>
        <w:rPr>
          <w:rStyle w:val="14"/>
          <w:rFonts w:ascii="仿宋" w:hAnsi="仿宋" w:eastAsia="仿宋"/>
          <w:b w:val="0"/>
          <w:bCs/>
          <w:color w:val="auto"/>
          <w:sz w:val="28"/>
          <w:szCs w:val="28"/>
        </w:rPr>
        <w:t>%</w:t>
      </w:r>
      <w:r>
        <w:rPr>
          <w:rStyle w:val="14"/>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Style w:val="14"/>
          <w:rFonts w:hint="eastAsia" w:ascii="仿宋" w:hAnsi="仿宋" w:eastAsia="仿宋"/>
          <w:b w:val="0"/>
          <w:bCs/>
          <w:color w:val="auto"/>
          <w:sz w:val="28"/>
          <w:szCs w:val="28"/>
          <w:lang w:val="en-US" w:eastAsia="zh-CN"/>
        </w:rPr>
      </w:pPr>
      <w:r>
        <w:rPr>
          <w:rStyle w:val="14"/>
          <w:rFonts w:hint="eastAsia" w:ascii="仿宋" w:hAnsi="仿宋" w:eastAsia="仿宋"/>
          <w:b w:val="0"/>
          <w:bCs/>
          <w:color w:val="auto"/>
          <w:sz w:val="28"/>
          <w:szCs w:val="28"/>
          <w:lang w:val="en-US" w:eastAsia="zh-CN"/>
        </w:rPr>
        <w:t>4</w:t>
      </w:r>
      <w:r>
        <w:rPr>
          <w:rStyle w:val="14"/>
          <w:rFonts w:ascii="仿宋" w:hAnsi="仿宋" w:eastAsia="仿宋"/>
          <w:b w:val="0"/>
          <w:bCs/>
          <w:color w:val="auto"/>
          <w:sz w:val="28"/>
          <w:szCs w:val="28"/>
        </w:rPr>
        <w:t>.</w:t>
      </w:r>
      <w:r>
        <w:rPr>
          <w:rFonts w:ascii="仿宋" w:hAnsi="仿宋" w:eastAsia="仿宋"/>
          <w:b w:val="0"/>
          <w:bCs/>
          <w:color w:val="auto"/>
          <w:sz w:val="28"/>
          <w:szCs w:val="28"/>
        </w:rPr>
        <w:t xml:space="preserve"> 社会保障和就业支出</w:t>
      </w:r>
      <w:r>
        <w:rPr>
          <w:rStyle w:val="14"/>
          <w:rFonts w:hint="eastAsia" w:ascii="仿宋" w:hAnsi="仿宋" w:eastAsia="仿宋"/>
          <w:b w:val="0"/>
          <w:bCs/>
          <w:color w:val="auto"/>
          <w:sz w:val="28"/>
          <w:szCs w:val="28"/>
        </w:rPr>
        <w:t>（类）行政事业单位离退休（款）</w:t>
      </w:r>
      <w:r>
        <w:rPr>
          <w:rStyle w:val="14"/>
          <w:rFonts w:hint="eastAsia" w:ascii="仿宋" w:hAnsi="仿宋" w:eastAsia="仿宋"/>
          <w:b w:val="0"/>
          <w:bCs/>
          <w:color w:val="auto"/>
          <w:sz w:val="28"/>
          <w:szCs w:val="28"/>
          <w:lang w:eastAsia="zh-CN"/>
        </w:rPr>
        <w:t>死亡抚恤</w:t>
      </w:r>
      <w:r>
        <w:rPr>
          <w:rStyle w:val="14"/>
          <w:rFonts w:hint="eastAsia" w:ascii="仿宋" w:hAnsi="仿宋" w:eastAsia="仿宋"/>
          <w:b w:val="0"/>
          <w:bCs/>
          <w:color w:val="auto"/>
          <w:sz w:val="28"/>
          <w:szCs w:val="28"/>
        </w:rPr>
        <w:t>（项）</w:t>
      </w:r>
      <w:r>
        <w:rPr>
          <w:rStyle w:val="14"/>
          <w:rFonts w:ascii="仿宋" w:hAnsi="仿宋" w:eastAsia="仿宋"/>
          <w:b w:val="0"/>
          <w:bCs/>
          <w:color w:val="auto"/>
          <w:sz w:val="28"/>
          <w:szCs w:val="28"/>
        </w:rPr>
        <w:t xml:space="preserve">: </w:t>
      </w:r>
      <w:r>
        <w:rPr>
          <w:rStyle w:val="14"/>
          <w:rFonts w:hint="eastAsia" w:ascii="仿宋" w:hAnsi="仿宋" w:eastAsia="仿宋"/>
          <w:b w:val="0"/>
          <w:bCs/>
          <w:color w:val="auto"/>
          <w:sz w:val="28"/>
          <w:szCs w:val="28"/>
        </w:rPr>
        <w:t>支出决算为</w:t>
      </w:r>
      <w:r>
        <w:rPr>
          <w:rStyle w:val="14"/>
          <w:rFonts w:hint="eastAsia" w:ascii="仿宋" w:hAnsi="仿宋" w:eastAsia="仿宋"/>
          <w:b w:val="0"/>
          <w:bCs/>
          <w:color w:val="auto"/>
          <w:sz w:val="28"/>
          <w:szCs w:val="28"/>
          <w:lang w:val="en-US" w:eastAsia="zh-CN"/>
        </w:rPr>
        <w:t>15.53万元</w:t>
      </w:r>
      <w:r>
        <w:rPr>
          <w:rStyle w:val="14"/>
          <w:rFonts w:hint="eastAsia" w:ascii="仿宋" w:hAnsi="仿宋" w:eastAsia="仿宋"/>
          <w:b w:val="0"/>
          <w:bCs/>
          <w:color w:val="auto"/>
          <w:sz w:val="28"/>
          <w:szCs w:val="28"/>
        </w:rPr>
        <w:t>。完成预算</w:t>
      </w:r>
      <w:r>
        <w:rPr>
          <w:rStyle w:val="14"/>
          <w:rFonts w:hint="eastAsia" w:ascii="仿宋" w:hAnsi="仿宋" w:eastAsia="仿宋"/>
          <w:b w:val="0"/>
          <w:bCs/>
          <w:color w:val="auto"/>
          <w:sz w:val="28"/>
          <w:szCs w:val="28"/>
          <w:lang w:val="en-US" w:eastAsia="zh-CN"/>
        </w:rPr>
        <w:t>100</w:t>
      </w:r>
      <w:r>
        <w:rPr>
          <w:rStyle w:val="14"/>
          <w:rFonts w:ascii="仿宋" w:hAnsi="仿宋" w:eastAsia="仿宋"/>
          <w:b w:val="0"/>
          <w:bCs/>
          <w:color w:val="auto"/>
          <w:sz w:val="28"/>
          <w:szCs w:val="28"/>
        </w:rPr>
        <w:t>%</w:t>
      </w:r>
      <w:r>
        <w:rPr>
          <w:rStyle w:val="14"/>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Style w:val="14"/>
          <w:rFonts w:ascii="仿宋" w:hAnsi="仿宋" w:eastAsia="仿宋"/>
          <w:b w:val="0"/>
          <w:bCs/>
          <w:color w:val="auto"/>
          <w:sz w:val="28"/>
          <w:szCs w:val="28"/>
        </w:rPr>
      </w:pPr>
      <w:r>
        <w:rPr>
          <w:rStyle w:val="14"/>
          <w:rFonts w:hint="eastAsia" w:ascii="仿宋" w:hAnsi="仿宋" w:eastAsia="仿宋"/>
          <w:b w:val="0"/>
          <w:bCs/>
          <w:color w:val="auto"/>
          <w:sz w:val="28"/>
          <w:szCs w:val="28"/>
          <w:lang w:val="en-US" w:eastAsia="zh-CN"/>
        </w:rPr>
        <w:t>5</w:t>
      </w:r>
      <w:r>
        <w:rPr>
          <w:rStyle w:val="14"/>
          <w:rFonts w:ascii="仿宋" w:hAnsi="仿宋" w:eastAsia="仿宋"/>
          <w:b w:val="0"/>
          <w:bCs/>
          <w:color w:val="auto"/>
          <w:sz w:val="28"/>
          <w:szCs w:val="28"/>
        </w:rPr>
        <w:t>.</w:t>
      </w:r>
      <w:r>
        <w:rPr>
          <w:rFonts w:ascii="仿宋" w:hAnsi="仿宋" w:eastAsia="仿宋"/>
          <w:b w:val="0"/>
          <w:bCs/>
          <w:color w:val="auto"/>
          <w:sz w:val="28"/>
          <w:szCs w:val="28"/>
        </w:rPr>
        <w:t xml:space="preserve"> 社会保障和就业支出</w:t>
      </w:r>
      <w:r>
        <w:rPr>
          <w:rStyle w:val="14"/>
          <w:rFonts w:hint="eastAsia" w:ascii="仿宋" w:hAnsi="仿宋" w:eastAsia="仿宋"/>
          <w:b w:val="0"/>
          <w:bCs/>
          <w:color w:val="auto"/>
          <w:sz w:val="28"/>
          <w:szCs w:val="28"/>
        </w:rPr>
        <w:t>（类）其它社会保障和就业支出（款）其它社会保障和就业支出（项）</w:t>
      </w:r>
      <w:r>
        <w:rPr>
          <w:rStyle w:val="14"/>
          <w:rFonts w:ascii="仿宋" w:hAnsi="仿宋" w:eastAsia="仿宋"/>
          <w:b w:val="0"/>
          <w:bCs/>
          <w:color w:val="auto"/>
          <w:sz w:val="28"/>
          <w:szCs w:val="28"/>
        </w:rPr>
        <w:t>:</w:t>
      </w:r>
      <w:r>
        <w:rPr>
          <w:rStyle w:val="14"/>
          <w:rFonts w:hint="eastAsia" w:ascii="仿宋" w:hAnsi="仿宋" w:eastAsia="仿宋"/>
          <w:b w:val="0"/>
          <w:bCs/>
          <w:color w:val="auto"/>
          <w:sz w:val="28"/>
          <w:szCs w:val="28"/>
        </w:rPr>
        <w:t>支出决算为</w:t>
      </w:r>
      <w:r>
        <w:rPr>
          <w:rStyle w:val="14"/>
          <w:rFonts w:hint="eastAsia" w:ascii="仿宋" w:hAnsi="仿宋" w:eastAsia="仿宋"/>
          <w:b w:val="0"/>
          <w:bCs/>
          <w:color w:val="auto"/>
          <w:sz w:val="28"/>
          <w:szCs w:val="28"/>
          <w:lang w:val="en-US" w:eastAsia="zh-CN"/>
        </w:rPr>
        <w:t>2.15</w:t>
      </w:r>
      <w:r>
        <w:rPr>
          <w:rStyle w:val="14"/>
          <w:rFonts w:hint="eastAsia" w:ascii="仿宋" w:hAnsi="仿宋" w:eastAsia="仿宋"/>
          <w:b w:val="0"/>
          <w:bCs/>
          <w:color w:val="auto"/>
          <w:sz w:val="28"/>
          <w:szCs w:val="28"/>
        </w:rPr>
        <w:t>万元。完成预算</w:t>
      </w:r>
      <w:r>
        <w:rPr>
          <w:rStyle w:val="14"/>
          <w:rFonts w:hint="eastAsia" w:ascii="仿宋" w:hAnsi="仿宋" w:eastAsia="仿宋"/>
          <w:b w:val="0"/>
          <w:bCs/>
          <w:color w:val="auto"/>
          <w:sz w:val="28"/>
          <w:szCs w:val="28"/>
          <w:lang w:val="en-US" w:eastAsia="zh-CN"/>
        </w:rPr>
        <w:t>100</w:t>
      </w:r>
      <w:r>
        <w:rPr>
          <w:rStyle w:val="14"/>
          <w:rFonts w:ascii="仿宋" w:hAnsi="仿宋" w:eastAsia="仿宋"/>
          <w:b w:val="0"/>
          <w:bCs/>
          <w:color w:val="auto"/>
          <w:sz w:val="28"/>
          <w:szCs w:val="28"/>
        </w:rPr>
        <w:t>%</w:t>
      </w:r>
      <w:r>
        <w:rPr>
          <w:rStyle w:val="14"/>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Style w:val="14"/>
          <w:rFonts w:ascii="仿宋" w:hAnsi="仿宋" w:eastAsia="仿宋"/>
          <w:b w:val="0"/>
          <w:bCs/>
          <w:color w:val="auto"/>
          <w:sz w:val="28"/>
          <w:szCs w:val="28"/>
        </w:rPr>
      </w:pPr>
      <w:r>
        <w:rPr>
          <w:rStyle w:val="14"/>
          <w:rFonts w:hint="eastAsia" w:ascii="仿宋" w:hAnsi="仿宋" w:eastAsia="仿宋"/>
          <w:b w:val="0"/>
          <w:bCs/>
          <w:color w:val="auto"/>
          <w:sz w:val="28"/>
          <w:szCs w:val="28"/>
          <w:lang w:val="en-US" w:eastAsia="zh-CN"/>
        </w:rPr>
        <w:t>6</w:t>
      </w:r>
      <w:r>
        <w:rPr>
          <w:rStyle w:val="14"/>
          <w:rFonts w:ascii="仿宋" w:hAnsi="仿宋" w:eastAsia="仿宋"/>
          <w:b w:val="0"/>
          <w:bCs/>
          <w:color w:val="auto"/>
          <w:sz w:val="28"/>
          <w:szCs w:val="28"/>
        </w:rPr>
        <w:t>.</w:t>
      </w:r>
      <w:r>
        <w:rPr>
          <w:rFonts w:ascii="仿宋" w:hAnsi="仿宋" w:eastAsia="仿宋"/>
          <w:b w:val="0"/>
          <w:bCs/>
          <w:color w:val="auto"/>
          <w:sz w:val="28"/>
          <w:szCs w:val="28"/>
        </w:rPr>
        <w:t xml:space="preserve">  医疗卫生与计划生育</w:t>
      </w:r>
      <w:r>
        <w:rPr>
          <w:rStyle w:val="14"/>
          <w:rFonts w:hint="eastAsia" w:ascii="仿宋" w:hAnsi="仿宋" w:eastAsia="仿宋"/>
          <w:b w:val="0"/>
          <w:bCs/>
          <w:color w:val="auto"/>
          <w:sz w:val="28"/>
          <w:szCs w:val="28"/>
        </w:rPr>
        <w:t>（类）行政事业单位医疗（款）事业单位医疗（项）</w:t>
      </w:r>
      <w:r>
        <w:rPr>
          <w:rStyle w:val="14"/>
          <w:rFonts w:ascii="仿宋" w:hAnsi="仿宋" w:eastAsia="仿宋"/>
          <w:b w:val="0"/>
          <w:bCs/>
          <w:color w:val="auto"/>
          <w:sz w:val="28"/>
          <w:szCs w:val="28"/>
        </w:rPr>
        <w:t xml:space="preserve">:  </w:t>
      </w:r>
      <w:r>
        <w:rPr>
          <w:rStyle w:val="14"/>
          <w:rFonts w:hint="eastAsia" w:ascii="仿宋" w:hAnsi="仿宋" w:eastAsia="仿宋"/>
          <w:b w:val="0"/>
          <w:bCs/>
          <w:color w:val="auto"/>
          <w:sz w:val="28"/>
          <w:szCs w:val="28"/>
        </w:rPr>
        <w:t>支出决算为</w:t>
      </w:r>
      <w:r>
        <w:rPr>
          <w:rStyle w:val="14"/>
          <w:rFonts w:hint="eastAsia" w:ascii="仿宋" w:hAnsi="仿宋" w:eastAsia="仿宋"/>
          <w:b w:val="0"/>
          <w:bCs/>
          <w:color w:val="auto"/>
          <w:sz w:val="28"/>
          <w:szCs w:val="28"/>
          <w:lang w:val="en-US" w:eastAsia="zh-CN"/>
        </w:rPr>
        <w:t>24.42</w:t>
      </w:r>
      <w:r>
        <w:rPr>
          <w:rStyle w:val="14"/>
          <w:rFonts w:hint="eastAsia" w:ascii="仿宋" w:hAnsi="仿宋" w:eastAsia="仿宋"/>
          <w:b w:val="0"/>
          <w:bCs/>
          <w:color w:val="auto"/>
          <w:sz w:val="28"/>
          <w:szCs w:val="28"/>
        </w:rPr>
        <w:t>万元，完成预算100</w:t>
      </w:r>
      <w:r>
        <w:rPr>
          <w:rStyle w:val="14"/>
          <w:rFonts w:ascii="仿宋" w:hAnsi="仿宋" w:eastAsia="仿宋"/>
          <w:b w:val="0"/>
          <w:bCs/>
          <w:color w:val="auto"/>
          <w:sz w:val="28"/>
          <w:szCs w:val="28"/>
        </w:rPr>
        <w:t>%</w:t>
      </w:r>
      <w:r>
        <w:rPr>
          <w:rStyle w:val="14"/>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hint="eastAsia" w:ascii="仿宋" w:hAnsi="仿宋" w:eastAsia="仿宋"/>
          <w:b w:val="0"/>
          <w:bCs/>
          <w:color w:val="auto"/>
          <w:sz w:val="28"/>
          <w:szCs w:val="28"/>
        </w:rPr>
      </w:pPr>
      <w:r>
        <w:rPr>
          <w:rStyle w:val="14"/>
          <w:rFonts w:hint="eastAsia" w:ascii="仿宋" w:hAnsi="仿宋" w:eastAsia="仿宋"/>
          <w:b w:val="0"/>
          <w:bCs/>
          <w:color w:val="auto"/>
          <w:sz w:val="28"/>
          <w:szCs w:val="28"/>
          <w:lang w:val="en-US" w:eastAsia="zh-CN"/>
        </w:rPr>
        <w:t>7</w:t>
      </w:r>
      <w:r>
        <w:rPr>
          <w:rStyle w:val="14"/>
          <w:rFonts w:ascii="仿宋" w:hAnsi="仿宋" w:eastAsia="仿宋"/>
          <w:b w:val="0"/>
          <w:bCs/>
          <w:color w:val="auto"/>
          <w:sz w:val="28"/>
          <w:szCs w:val="28"/>
        </w:rPr>
        <w:t>.</w:t>
      </w:r>
      <w:r>
        <w:rPr>
          <w:rFonts w:ascii="仿宋" w:hAnsi="仿宋" w:eastAsia="仿宋"/>
          <w:b w:val="0"/>
          <w:bCs/>
          <w:color w:val="auto"/>
          <w:sz w:val="28"/>
          <w:szCs w:val="28"/>
        </w:rPr>
        <w:t xml:space="preserve"> 住房保障支出</w:t>
      </w:r>
      <w:r>
        <w:rPr>
          <w:rStyle w:val="14"/>
          <w:rFonts w:hint="eastAsia" w:ascii="仿宋" w:hAnsi="仿宋" w:eastAsia="仿宋"/>
          <w:b w:val="0"/>
          <w:bCs/>
          <w:color w:val="auto"/>
          <w:sz w:val="28"/>
          <w:szCs w:val="28"/>
        </w:rPr>
        <w:t>（类）住房改革支出（款）住房公积金（项）</w:t>
      </w:r>
      <w:r>
        <w:rPr>
          <w:rStyle w:val="14"/>
          <w:rFonts w:ascii="仿宋" w:hAnsi="仿宋" w:eastAsia="仿宋"/>
          <w:b w:val="0"/>
          <w:bCs/>
          <w:color w:val="auto"/>
          <w:sz w:val="28"/>
          <w:szCs w:val="28"/>
        </w:rPr>
        <w:t xml:space="preserve">: </w:t>
      </w:r>
      <w:r>
        <w:rPr>
          <w:rStyle w:val="14"/>
          <w:rFonts w:hint="eastAsia" w:ascii="仿宋" w:hAnsi="仿宋" w:eastAsia="仿宋"/>
          <w:b w:val="0"/>
          <w:bCs/>
          <w:color w:val="auto"/>
          <w:sz w:val="28"/>
          <w:szCs w:val="28"/>
        </w:rPr>
        <w:t>支出决算为</w:t>
      </w:r>
      <w:r>
        <w:rPr>
          <w:rStyle w:val="14"/>
          <w:rFonts w:hint="eastAsia" w:ascii="仿宋" w:hAnsi="仿宋" w:eastAsia="仿宋"/>
          <w:b w:val="0"/>
          <w:bCs/>
          <w:color w:val="auto"/>
          <w:sz w:val="28"/>
          <w:szCs w:val="28"/>
          <w:lang w:val="en-US" w:eastAsia="zh-CN"/>
        </w:rPr>
        <w:t>29.23</w:t>
      </w:r>
      <w:r>
        <w:rPr>
          <w:rStyle w:val="14"/>
          <w:rFonts w:hint="eastAsia" w:ascii="仿宋" w:hAnsi="仿宋" w:eastAsia="仿宋"/>
          <w:b w:val="0"/>
          <w:bCs/>
          <w:color w:val="auto"/>
          <w:sz w:val="28"/>
          <w:szCs w:val="28"/>
        </w:rPr>
        <w:t>万</w:t>
      </w:r>
      <w:r>
        <w:rPr>
          <w:rFonts w:hint="eastAsia" w:ascii="仿宋" w:hAnsi="仿宋" w:eastAsia="仿宋"/>
          <w:b w:val="0"/>
          <w:bCs/>
          <w:color w:val="auto"/>
          <w:sz w:val="28"/>
          <w:szCs w:val="28"/>
        </w:rPr>
        <w:t>元</w:t>
      </w:r>
      <w:r>
        <w:rPr>
          <w:rStyle w:val="14"/>
          <w:rFonts w:hint="eastAsia" w:ascii="仿宋" w:hAnsi="仿宋" w:eastAsia="仿宋"/>
          <w:b w:val="0"/>
          <w:bCs/>
          <w:color w:val="auto"/>
          <w:sz w:val="28"/>
          <w:szCs w:val="28"/>
        </w:rPr>
        <w:t>，完成预算100</w:t>
      </w:r>
      <w:r>
        <w:rPr>
          <w:rStyle w:val="14"/>
          <w:rFonts w:ascii="仿宋" w:hAnsi="仿宋" w:eastAsia="仿宋"/>
          <w:b w:val="0"/>
          <w:bCs/>
          <w:color w:val="auto"/>
          <w:sz w:val="28"/>
          <w:szCs w:val="28"/>
        </w:rPr>
        <w:t>%</w:t>
      </w:r>
      <w:r>
        <w:rPr>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hint="eastAsia" w:ascii="黑体" w:hAnsi="黑体" w:eastAsia="黑体" w:cs="黑体"/>
          <w:b w:val="0"/>
          <w:bCs/>
          <w:color w:val="auto"/>
          <w:sz w:val="28"/>
          <w:szCs w:val="28"/>
          <w:highlight w:val="none"/>
          <w:lang w:val="en-US" w:eastAsia="zh-CN"/>
        </w:rPr>
      </w:pPr>
      <w:bookmarkStart w:id="39" w:name="_Toc15377214"/>
      <w:r>
        <w:rPr>
          <w:rFonts w:hint="eastAsia" w:ascii="黑体" w:hAnsi="黑体" w:eastAsia="黑体" w:cs="黑体"/>
          <w:b w:val="0"/>
          <w:bCs/>
          <w:color w:val="auto"/>
          <w:sz w:val="28"/>
          <w:szCs w:val="28"/>
          <w:highlight w:val="none"/>
          <w:lang w:val="en-US" w:eastAsia="zh-CN"/>
        </w:rPr>
        <w:t>六、一般公共预算财政拨款基本支出决算情况说明</w:t>
      </w:r>
      <w:bookmarkEnd w:id="39"/>
      <w:r>
        <w:rPr>
          <w:rFonts w:hint="eastAsia" w:ascii="黑体" w:hAnsi="黑体" w:eastAsia="黑体" w:cs="黑体"/>
          <w:b w:val="0"/>
          <w:bCs/>
          <w:color w:val="auto"/>
          <w:sz w:val="28"/>
          <w:szCs w:val="28"/>
          <w:highlight w:val="none"/>
          <w:lang w:val="en-US" w:eastAsia="zh-CN"/>
        </w:rPr>
        <w:tab/>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ascii="仿宋" w:hAnsi="仿宋" w:eastAsia="仿宋"/>
          <w:b w:val="0"/>
          <w:bCs/>
          <w:color w:val="auto"/>
          <w:sz w:val="28"/>
          <w:szCs w:val="28"/>
        </w:rPr>
      </w:pPr>
      <w:r>
        <w:rPr>
          <w:rFonts w:ascii="仿宋" w:hAnsi="仿宋" w:eastAsia="仿宋"/>
          <w:b w:val="0"/>
          <w:bCs/>
          <w:color w:val="auto"/>
          <w:sz w:val="28"/>
          <w:szCs w:val="28"/>
          <w:highlight w:val="none"/>
        </w:rPr>
        <w:t>20</w:t>
      </w:r>
      <w:r>
        <w:rPr>
          <w:rFonts w:hint="eastAsia" w:ascii="仿宋" w:hAnsi="仿宋" w:eastAsia="仿宋"/>
          <w:b w:val="0"/>
          <w:bCs/>
          <w:color w:val="auto"/>
          <w:sz w:val="28"/>
          <w:szCs w:val="28"/>
          <w:highlight w:val="none"/>
          <w:lang w:val="en-US" w:eastAsia="zh-CN"/>
        </w:rPr>
        <w:t>23</w:t>
      </w:r>
      <w:r>
        <w:rPr>
          <w:rFonts w:hint="eastAsia" w:ascii="仿宋" w:hAnsi="仿宋" w:eastAsia="仿宋"/>
          <w:b w:val="0"/>
          <w:bCs/>
          <w:color w:val="auto"/>
          <w:sz w:val="28"/>
          <w:szCs w:val="28"/>
        </w:rPr>
        <w:t>年一般公共预算财政拨款基本支出</w:t>
      </w:r>
      <w:r>
        <w:rPr>
          <w:rFonts w:hint="eastAsia" w:ascii="仿宋" w:hAnsi="仿宋" w:eastAsia="仿宋"/>
          <w:b w:val="0"/>
          <w:bCs/>
          <w:color w:val="0000FF"/>
          <w:sz w:val="28"/>
          <w:szCs w:val="28"/>
          <w:lang w:val="en-US" w:eastAsia="zh-CN"/>
        </w:rPr>
        <w:t>649.07</w:t>
      </w:r>
      <w:r>
        <w:rPr>
          <w:rFonts w:hint="eastAsia" w:ascii="仿宋" w:hAnsi="仿宋" w:eastAsia="仿宋"/>
          <w:b w:val="0"/>
          <w:bCs/>
          <w:color w:val="auto"/>
          <w:sz w:val="28"/>
          <w:szCs w:val="28"/>
        </w:rPr>
        <w:t>万元，其中：</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hint="eastAsia" w:ascii="仿宋" w:hAnsi="仿宋" w:eastAsia="仿宋"/>
          <w:b w:val="0"/>
          <w:bCs/>
          <w:color w:val="auto"/>
          <w:sz w:val="28"/>
          <w:szCs w:val="28"/>
          <w:lang w:eastAsia="zh-CN"/>
        </w:rPr>
      </w:pPr>
      <w:r>
        <w:rPr>
          <w:rFonts w:hint="eastAsia" w:ascii="仿宋" w:hAnsi="仿宋" w:eastAsia="仿宋"/>
          <w:b w:val="0"/>
          <w:bCs/>
          <w:color w:val="auto"/>
          <w:sz w:val="28"/>
          <w:szCs w:val="28"/>
        </w:rPr>
        <w:t>人员经费</w:t>
      </w:r>
      <w:r>
        <w:rPr>
          <w:rFonts w:hint="eastAsia" w:ascii="仿宋" w:hAnsi="仿宋" w:eastAsia="仿宋"/>
          <w:b w:val="0"/>
          <w:bCs/>
          <w:color w:val="auto"/>
          <w:sz w:val="28"/>
          <w:szCs w:val="28"/>
          <w:lang w:val="en-US" w:eastAsia="zh-CN"/>
        </w:rPr>
        <w:t>356.84</w:t>
      </w:r>
      <w:r>
        <w:rPr>
          <w:rFonts w:hint="eastAsia" w:ascii="仿宋" w:hAnsi="仿宋" w:eastAsia="仿宋"/>
          <w:b w:val="0"/>
          <w:bCs/>
          <w:color w:val="auto"/>
          <w:sz w:val="28"/>
          <w:szCs w:val="28"/>
        </w:rPr>
        <w:t>万元，主要包括：基本工资、津贴补贴、绩效工资、机关事业单位基本养老保险缴费、职业年金缴费、职工基本医疗保险缴费、其他社会保障缴费、住房公积金、其他工资福利支出、</w:t>
      </w:r>
      <w:r>
        <w:rPr>
          <w:rFonts w:hint="eastAsia" w:ascii="仿宋" w:hAnsi="仿宋" w:eastAsia="仿宋"/>
          <w:b w:val="0"/>
          <w:bCs/>
          <w:color w:val="auto"/>
          <w:sz w:val="28"/>
          <w:szCs w:val="28"/>
          <w:lang w:eastAsia="zh-CN"/>
        </w:rPr>
        <w:t>抚恤金、</w:t>
      </w:r>
      <w:r>
        <w:rPr>
          <w:rFonts w:hint="eastAsia" w:ascii="仿宋" w:hAnsi="仿宋" w:eastAsia="仿宋"/>
          <w:b w:val="0"/>
          <w:bCs/>
          <w:color w:val="auto"/>
          <w:sz w:val="28"/>
          <w:szCs w:val="28"/>
        </w:rPr>
        <w:t>生活补助、奖励金等。</w:t>
      </w:r>
    </w:p>
    <w:p>
      <w:pPr>
        <w:keepNext w:val="0"/>
        <w:keepLines w:val="0"/>
        <w:pageBreakBefore w:val="0"/>
        <w:widowControl w:val="0"/>
        <w:kinsoku/>
        <w:wordWrap/>
        <w:overflowPunct/>
        <w:topLinePunct w:val="0"/>
        <w:autoSpaceDE/>
        <w:autoSpaceDN/>
        <w:bidi w:val="0"/>
        <w:adjustRightInd/>
        <w:snapToGrid w:val="0"/>
        <w:spacing w:line="560" w:lineRule="exact"/>
        <w:ind w:firstLine="645"/>
        <w:textAlignment w:val="auto"/>
        <w:rPr>
          <w:rFonts w:ascii="仿宋" w:hAnsi="仿宋" w:eastAsia="仿宋"/>
          <w:color w:val="auto"/>
          <w:sz w:val="32"/>
          <w:szCs w:val="32"/>
          <w:highlight w:val="none"/>
        </w:rPr>
      </w:pPr>
      <w:r>
        <w:rPr>
          <w:rFonts w:hint="eastAsia" w:ascii="仿宋" w:hAnsi="仿宋" w:eastAsia="仿宋"/>
          <w:b w:val="0"/>
          <w:bCs/>
          <w:color w:val="auto"/>
          <w:sz w:val="28"/>
          <w:szCs w:val="28"/>
        </w:rPr>
        <w:t>公用经费</w:t>
      </w:r>
      <w:r>
        <w:rPr>
          <w:rFonts w:hint="eastAsia" w:ascii="仿宋" w:hAnsi="仿宋" w:eastAsia="仿宋"/>
          <w:b w:val="0"/>
          <w:bCs/>
          <w:color w:val="auto"/>
          <w:sz w:val="28"/>
          <w:szCs w:val="28"/>
          <w:lang w:val="en-US" w:eastAsia="zh-CN"/>
        </w:rPr>
        <w:t>92.61</w:t>
      </w:r>
      <w:r>
        <w:rPr>
          <w:rFonts w:hint="eastAsia" w:ascii="仿宋" w:hAnsi="仿宋" w:eastAsia="仿宋"/>
          <w:b w:val="0"/>
          <w:bCs/>
          <w:color w:val="auto"/>
          <w:sz w:val="28"/>
          <w:szCs w:val="28"/>
        </w:rPr>
        <w:t>万元，</w:t>
      </w:r>
      <w:r>
        <w:rPr>
          <w:rFonts w:hint="eastAsia" w:ascii="仿宋" w:hAnsi="仿宋" w:eastAsia="仿宋"/>
          <w:color w:val="auto"/>
          <w:sz w:val="32"/>
          <w:szCs w:val="32"/>
          <w:highlight w:val="none"/>
        </w:rPr>
        <w:t>主要包括：办公费、印刷费、咨询费、手续费、水费、电费、邮电费、物业管理费、差旅费、维修（护）费、培训费、</w:t>
      </w:r>
      <w:r>
        <w:rPr>
          <w:rFonts w:hint="eastAsia" w:ascii="仿宋" w:hAnsi="仿宋" w:eastAsia="仿宋"/>
          <w:color w:val="auto"/>
          <w:sz w:val="32"/>
          <w:szCs w:val="32"/>
          <w:highlight w:val="none"/>
          <w:lang w:eastAsia="zh-CN"/>
        </w:rPr>
        <w:t>专用材料费</w:t>
      </w:r>
      <w:r>
        <w:rPr>
          <w:rFonts w:hint="eastAsia" w:ascii="仿宋" w:hAnsi="仿宋" w:eastAsia="仿宋"/>
          <w:color w:val="auto"/>
          <w:sz w:val="32"/>
          <w:szCs w:val="32"/>
          <w:highlight w:val="none"/>
        </w:rPr>
        <w:t>、劳务费、工会经费、福利费等。</w:t>
      </w:r>
    </w:p>
    <w:p>
      <w:pPr>
        <w:keepNext w:val="0"/>
        <w:keepLines w:val="0"/>
        <w:pageBreakBefore w:val="0"/>
        <w:widowControl w:val="0"/>
        <w:numPr>
          <w:ilvl w:val="0"/>
          <w:numId w:val="5"/>
        </w:numPr>
        <w:kinsoku/>
        <w:wordWrap/>
        <w:overflowPunct/>
        <w:topLinePunct w:val="0"/>
        <w:bidi w:val="0"/>
        <w:snapToGrid w:val="0"/>
        <w:spacing w:line="540" w:lineRule="exact"/>
        <w:ind w:left="0" w:firstLine="560" w:firstLineChars="200"/>
        <w:textAlignment w:val="auto"/>
        <w:rPr>
          <w:rStyle w:val="25"/>
          <w:rFonts w:hint="eastAsia" w:ascii="黑体" w:hAnsi="黑体" w:eastAsia="黑体"/>
          <w:b w:val="0"/>
          <w:bCs/>
          <w:color w:val="000000" w:themeColor="text1"/>
          <w:sz w:val="28"/>
          <w:szCs w:val="28"/>
          <w:lang w:eastAsia="zh-CN"/>
          <w14:textFill>
            <w14:solidFill>
              <w14:schemeClr w14:val="tx1"/>
            </w14:solidFill>
          </w14:textFill>
        </w:rPr>
      </w:pPr>
      <w:bookmarkStart w:id="40" w:name="_Toc19089870"/>
      <w:bookmarkStart w:id="41" w:name="_Toc15377215"/>
      <w:r>
        <w:rPr>
          <w:rStyle w:val="25"/>
          <w:rFonts w:hint="eastAsia" w:ascii="黑体" w:hAnsi="黑体" w:eastAsia="黑体"/>
          <w:b w:val="0"/>
          <w:bCs/>
          <w:color w:val="000000" w:themeColor="text1"/>
          <w:sz w:val="28"/>
          <w:szCs w:val="28"/>
          <w14:textFill>
            <w14:solidFill>
              <w14:schemeClr w14:val="tx1"/>
            </w14:solidFill>
          </w14:textFill>
        </w:rPr>
        <w:t>财政拨款“三公”经费支出决算</w:t>
      </w:r>
      <w:bookmarkEnd w:id="40"/>
      <w:bookmarkEnd w:id="41"/>
      <w:bookmarkStart w:id="42" w:name="_Toc15377218"/>
      <w:r>
        <w:rPr>
          <w:rStyle w:val="25"/>
          <w:rFonts w:hint="eastAsia" w:ascii="黑体" w:hAnsi="黑体" w:eastAsia="黑体"/>
          <w:b w:val="0"/>
          <w:bCs/>
          <w:color w:val="000000" w:themeColor="text1"/>
          <w:sz w:val="28"/>
          <w:szCs w:val="28"/>
          <w:lang w:eastAsia="zh-CN"/>
          <w14:textFill>
            <w14:solidFill>
              <w14:schemeClr w14:val="tx1"/>
            </w14:solidFill>
          </w14:textFill>
        </w:rPr>
        <w:t>情况说明</w:t>
      </w:r>
    </w:p>
    <w:p>
      <w:pPr>
        <w:spacing w:line="600" w:lineRule="exact"/>
        <w:ind w:firstLine="640"/>
        <w:outlineLvl w:val="2"/>
        <w:rPr>
          <w:rFonts w:ascii="仿宋" w:hAnsi="仿宋" w:eastAsia="仿宋"/>
          <w:b/>
          <w:sz w:val="32"/>
          <w:szCs w:val="32"/>
        </w:rPr>
      </w:pPr>
      <w:bookmarkStart w:id="43" w:name="_Toc15377216"/>
      <w:r>
        <w:rPr>
          <w:rFonts w:hint="eastAsia" w:ascii="仿宋" w:hAnsi="仿宋" w:eastAsia="仿宋"/>
          <w:b/>
          <w:sz w:val="32"/>
          <w:szCs w:val="32"/>
        </w:rPr>
        <w:t>（一）“三公”经费财政拨款支出决算总体情况说明</w:t>
      </w:r>
      <w:bookmarkEnd w:id="43"/>
    </w:p>
    <w:p>
      <w:pPr>
        <w:keepNext w:val="0"/>
        <w:keepLines w:val="0"/>
        <w:pageBreakBefore w:val="0"/>
        <w:widowControl w:val="0"/>
        <w:kinsoku/>
        <w:wordWrap/>
        <w:overflowPunct/>
        <w:topLinePunct w:val="0"/>
        <w:bidi w:val="0"/>
        <w:snapToGrid w:val="0"/>
        <w:spacing w:line="540" w:lineRule="exact"/>
        <w:ind w:left="0" w:firstLine="640" w:firstLineChars="200"/>
        <w:textAlignment w:val="auto"/>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p>
    <w:p>
      <w:pPr>
        <w:spacing w:line="600" w:lineRule="exact"/>
        <w:ind w:firstLine="640"/>
        <w:outlineLvl w:val="2"/>
        <w:rPr>
          <w:rFonts w:ascii="仿宋" w:hAnsi="仿宋" w:eastAsia="仿宋"/>
          <w:b/>
          <w:sz w:val="32"/>
          <w:szCs w:val="32"/>
        </w:rPr>
      </w:pPr>
      <w:bookmarkStart w:id="44" w:name="_Toc15377217"/>
      <w:r>
        <w:rPr>
          <w:rFonts w:hint="eastAsia" w:ascii="仿宋" w:hAnsi="仿宋" w:eastAsia="仿宋"/>
          <w:b/>
          <w:sz w:val="32"/>
          <w:szCs w:val="32"/>
        </w:rPr>
        <w:t>（二）“三公”经费财政拨款支出决算具体情况说明</w:t>
      </w:r>
      <w:bookmarkEnd w:id="4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年“三公”经费财政拨款支出决算中，因公出国（境）费支出决算0.00万元，占0.00</w:t>
      </w:r>
      <w:r>
        <w:rPr>
          <w:rFonts w:ascii="仿宋" w:hAnsi="仿宋" w:eastAsia="仿宋"/>
          <w:sz w:val="32"/>
          <w:szCs w:val="32"/>
        </w:rPr>
        <w:t>%</w:t>
      </w:r>
      <w:r>
        <w:rPr>
          <w:rFonts w:hint="eastAsia" w:ascii="仿宋" w:hAnsi="仿宋" w:eastAsia="仿宋"/>
          <w:sz w:val="32"/>
          <w:szCs w:val="32"/>
        </w:rPr>
        <w:t>；公务用车购置及运行维护费支出决算0.00万元，占0.00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.00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0.00万元，</w:t>
      </w:r>
      <w:r>
        <w:rPr>
          <w:rStyle w:val="14"/>
          <w:rFonts w:hint="eastAsia" w:ascii="仿宋" w:hAnsi="仿宋" w:eastAsia="仿宋"/>
          <w:b w:val="0"/>
          <w:bCs/>
          <w:sz w:val="32"/>
          <w:szCs w:val="32"/>
        </w:rPr>
        <w:t>完成预算0.00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w:t>
      </w:r>
    </w:p>
    <w:p>
      <w:pPr>
        <w:spacing w:line="600" w:lineRule="exact"/>
        <w:ind w:firstLine="64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p>
    <w:p>
      <w:pPr>
        <w:spacing w:line="600" w:lineRule="exact"/>
        <w:ind w:firstLine="64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年度无公务用车购置及运行维护费开支。</w:t>
      </w:r>
    </w:p>
    <w:p>
      <w:pPr>
        <w:keepNext w:val="0"/>
        <w:keepLines w:val="0"/>
        <w:pageBreakBefore w:val="0"/>
        <w:widowControl w:val="0"/>
        <w:kinsoku/>
        <w:wordWrap/>
        <w:overflowPunct/>
        <w:topLinePunct w:val="0"/>
        <w:bidi w:val="0"/>
        <w:snapToGrid w:val="0"/>
        <w:spacing w:line="540" w:lineRule="exact"/>
        <w:ind w:left="0" w:firstLine="642" w:firstLineChars="200"/>
        <w:textAlignment w:val="auto"/>
        <w:rPr>
          <w:rFonts w:hint="eastAsia" w:ascii="仿宋" w:hAnsi="仿宋" w:eastAsia="仿宋"/>
          <w:sz w:val="32"/>
          <w:szCs w:val="32"/>
          <w:lang w:val="en-US" w:eastAsia="zh-CN"/>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4"/>
          <w:rFonts w:hint="eastAsia" w:ascii="仿宋" w:hAnsi="仿宋" w:eastAsia="仿宋"/>
          <w:b w:val="0"/>
          <w:bCs/>
          <w:sz w:val="32"/>
          <w:szCs w:val="32"/>
        </w:rPr>
        <w:t>。</w:t>
      </w:r>
    </w:p>
    <w:p>
      <w:pPr>
        <w:keepNext w:val="0"/>
        <w:keepLines w:val="0"/>
        <w:pageBreakBefore w:val="0"/>
        <w:widowControl w:val="0"/>
        <w:kinsoku/>
        <w:wordWrap/>
        <w:overflowPunct/>
        <w:topLinePunct w:val="0"/>
        <w:bidi w:val="0"/>
        <w:snapToGrid w:val="0"/>
        <w:spacing w:line="540" w:lineRule="exact"/>
        <w:ind w:left="0" w:firstLine="560" w:firstLineChars="200"/>
        <w:textAlignment w:val="auto"/>
        <w:outlineLvl w:val="1"/>
        <w:rPr>
          <w:rStyle w:val="25"/>
          <w:rFonts w:ascii="黑体" w:hAnsi="黑体" w:eastAsia="黑体"/>
          <w:b w:val="0"/>
          <w:bCs/>
          <w:color w:val="000000" w:themeColor="text1"/>
          <w:sz w:val="28"/>
          <w:szCs w:val="28"/>
          <w14:textFill>
            <w14:solidFill>
              <w14:schemeClr w14:val="tx1"/>
            </w14:solidFill>
          </w14:textFill>
        </w:rPr>
      </w:pPr>
      <w:bookmarkStart w:id="45" w:name="_Toc19089871"/>
      <w:r>
        <w:rPr>
          <w:rFonts w:hint="eastAsia" w:ascii="黑体" w:eastAsia="黑体"/>
          <w:b w:val="0"/>
          <w:bCs/>
          <w:color w:val="000000" w:themeColor="text1"/>
          <w:sz w:val="28"/>
          <w:szCs w:val="28"/>
          <w14:textFill>
            <w14:solidFill>
              <w14:schemeClr w14:val="tx1"/>
            </w14:solidFill>
          </w14:textFill>
        </w:rPr>
        <w:t>八、</w:t>
      </w:r>
      <w:r>
        <w:rPr>
          <w:rStyle w:val="25"/>
          <w:rFonts w:hint="eastAsia" w:ascii="黑体" w:hAnsi="黑体" w:eastAsia="黑体"/>
          <w:b w:val="0"/>
          <w:bCs/>
          <w:color w:val="000000" w:themeColor="text1"/>
          <w:sz w:val="28"/>
          <w:szCs w:val="28"/>
          <w14:textFill>
            <w14:solidFill>
              <w14:schemeClr w14:val="tx1"/>
            </w14:solidFill>
          </w14:textFill>
        </w:rPr>
        <w:t>政府性基金预算支出决算情况说明</w:t>
      </w:r>
      <w:bookmarkEnd w:id="42"/>
      <w:bookmarkEnd w:id="45"/>
    </w:p>
    <w:p>
      <w:pPr>
        <w:spacing w:line="600" w:lineRule="exact"/>
        <w:ind w:firstLine="640"/>
        <w:rPr>
          <w:rFonts w:ascii="仿宋_GB2312" w:eastAsia="仿宋_GB2312"/>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w:t>
      </w:r>
      <w:r>
        <w:rPr>
          <w:rFonts w:hint="eastAsia" w:ascii="仿宋_GB2312" w:eastAsia="仿宋_GB2312"/>
          <w:b w:val="0"/>
          <w:bCs/>
          <w:color w:val="000000" w:themeColor="text1"/>
          <w:sz w:val="28"/>
          <w:szCs w:val="28"/>
          <w:lang w:val="en-US" w:eastAsia="zh-CN"/>
          <w14:textFill>
            <w14:solidFill>
              <w14:schemeClr w14:val="tx1"/>
            </w14:solidFill>
          </w14:textFill>
        </w:rPr>
        <w:t>23</w:t>
      </w:r>
      <w:r>
        <w:rPr>
          <w:rFonts w:hint="eastAsia" w:ascii="仿宋_GB2312" w:eastAsia="仿宋_GB2312"/>
          <w:b w:val="0"/>
          <w:bCs/>
          <w:color w:val="000000" w:themeColor="text1"/>
          <w:sz w:val="28"/>
          <w:szCs w:val="28"/>
          <w14:textFill>
            <w14:solidFill>
              <w14:schemeClr w14:val="tx1"/>
            </w14:solidFill>
          </w14:textFill>
        </w:rPr>
        <w:t>年政府性基金预算拨款支出</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0</w:t>
      </w:r>
      <w:r>
        <w:rPr>
          <w:rFonts w:hint="eastAsia" w:ascii="仿宋_GB2312" w:eastAsia="仿宋_GB2312"/>
          <w:b w:val="0"/>
          <w:bCs/>
          <w:color w:val="000000" w:themeColor="text1"/>
          <w:sz w:val="28"/>
          <w:szCs w:val="28"/>
          <w14:textFill>
            <w14:solidFill>
              <w14:schemeClr w14:val="tx1"/>
            </w14:solidFill>
          </w14:textFill>
        </w:rPr>
        <w:t>万元</w:t>
      </w:r>
      <w:r>
        <w:rPr>
          <w:rFonts w:hint="eastAsia" w:ascii="仿宋_GB2312" w:eastAsia="仿宋_GB2312"/>
          <w:sz w:val="32"/>
          <w:szCs w:val="32"/>
        </w:rPr>
        <w:t>。</w:t>
      </w:r>
    </w:p>
    <w:p>
      <w:pPr>
        <w:keepNext w:val="0"/>
        <w:keepLines w:val="0"/>
        <w:pageBreakBefore w:val="0"/>
        <w:widowControl w:val="0"/>
        <w:numPr>
          <w:ilvl w:val="0"/>
          <w:numId w:val="6"/>
        </w:numPr>
        <w:kinsoku/>
        <w:wordWrap/>
        <w:overflowPunct/>
        <w:topLinePunct w:val="0"/>
        <w:bidi w:val="0"/>
        <w:snapToGrid w:val="0"/>
        <w:spacing w:line="540" w:lineRule="exact"/>
        <w:ind w:left="0" w:firstLine="560" w:firstLineChars="200"/>
        <w:textAlignment w:val="auto"/>
        <w:outlineLvl w:val="1"/>
        <w:rPr>
          <w:rStyle w:val="25"/>
          <w:rFonts w:ascii="黑体" w:hAnsi="黑体" w:eastAsia="黑体"/>
          <w:b w:val="0"/>
          <w:bCs/>
          <w:color w:val="000000" w:themeColor="text1"/>
          <w:sz w:val="28"/>
          <w:szCs w:val="28"/>
          <w14:textFill>
            <w14:solidFill>
              <w14:schemeClr w14:val="tx1"/>
            </w14:solidFill>
          </w14:textFill>
        </w:rPr>
      </w:pPr>
      <w:bookmarkStart w:id="46" w:name="_Toc19089872"/>
      <w:bookmarkStart w:id="47" w:name="_Toc15377219"/>
      <w:r>
        <w:rPr>
          <w:rStyle w:val="25"/>
          <w:rFonts w:hint="eastAsia" w:ascii="黑体" w:hAnsi="黑体" w:eastAsia="黑体"/>
          <w:b w:val="0"/>
          <w:bCs/>
          <w:color w:val="000000" w:themeColor="text1"/>
          <w:sz w:val="28"/>
          <w:szCs w:val="28"/>
          <w14:textFill>
            <w14:solidFill>
              <w14:schemeClr w14:val="tx1"/>
            </w14:solidFill>
          </w14:textFill>
        </w:rPr>
        <w:t>国有资本经营预算支出决算情况说明</w:t>
      </w:r>
      <w:bookmarkEnd w:id="46"/>
      <w:bookmarkEnd w:id="47"/>
    </w:p>
    <w:p>
      <w:pPr>
        <w:keepNext w:val="0"/>
        <w:keepLines w:val="0"/>
        <w:pageBreakBefore w:val="0"/>
        <w:widowControl w:val="0"/>
        <w:kinsoku/>
        <w:wordWrap/>
        <w:overflowPunct/>
        <w:topLinePunct w:val="0"/>
        <w:bidi w:val="0"/>
        <w:snapToGrid w:val="0"/>
        <w:spacing w:line="540" w:lineRule="exact"/>
        <w:ind w:left="0" w:firstLine="560" w:firstLineChars="200"/>
        <w:textAlignment w:val="auto"/>
        <w:rPr>
          <w:rFonts w:ascii="仿宋_GB2312" w:eastAsia="仿宋_GB2312"/>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w:t>
      </w:r>
      <w:r>
        <w:rPr>
          <w:rFonts w:hint="eastAsia" w:ascii="仿宋_GB2312" w:eastAsia="仿宋_GB2312"/>
          <w:b w:val="0"/>
          <w:bCs/>
          <w:color w:val="000000" w:themeColor="text1"/>
          <w:sz w:val="28"/>
          <w:szCs w:val="28"/>
          <w:lang w:val="en-US" w:eastAsia="zh-CN"/>
          <w14:textFill>
            <w14:solidFill>
              <w14:schemeClr w14:val="tx1"/>
            </w14:solidFill>
          </w14:textFill>
        </w:rPr>
        <w:t>23</w:t>
      </w:r>
      <w:r>
        <w:rPr>
          <w:rFonts w:hint="eastAsia" w:ascii="仿宋_GB2312" w:eastAsia="仿宋_GB2312"/>
          <w:b w:val="0"/>
          <w:bCs/>
          <w:color w:val="000000" w:themeColor="text1"/>
          <w:sz w:val="28"/>
          <w:szCs w:val="28"/>
          <w14:textFill>
            <w14:solidFill>
              <w14:schemeClr w14:val="tx1"/>
            </w14:solidFill>
          </w14:textFill>
        </w:rPr>
        <w:t>年国有资本经营预算拨款支出0.00万元。</w:t>
      </w:r>
    </w:p>
    <w:p>
      <w:pPr>
        <w:keepNext w:val="0"/>
        <w:keepLines w:val="0"/>
        <w:pageBreakBefore w:val="0"/>
        <w:widowControl w:val="0"/>
        <w:numPr>
          <w:ilvl w:val="0"/>
          <w:numId w:val="0"/>
        </w:numPr>
        <w:kinsoku/>
        <w:wordWrap/>
        <w:overflowPunct/>
        <w:topLinePunct w:val="0"/>
        <w:bidi w:val="0"/>
        <w:snapToGrid/>
        <w:spacing w:line="560" w:lineRule="exact"/>
        <w:ind w:firstLine="560" w:firstLineChars="200"/>
        <w:textAlignment w:val="auto"/>
        <w:outlineLvl w:val="1"/>
        <w:rPr>
          <w:rStyle w:val="25"/>
          <w:rFonts w:ascii="黑体" w:hAnsi="黑体" w:eastAsia="黑体"/>
          <w:b w:val="0"/>
          <w:bCs/>
          <w:color w:val="000000" w:themeColor="text1"/>
          <w:sz w:val="28"/>
          <w:szCs w:val="28"/>
          <w14:textFill>
            <w14:solidFill>
              <w14:schemeClr w14:val="tx1"/>
            </w14:solidFill>
          </w14:textFill>
        </w:rPr>
      </w:pPr>
      <w:bookmarkStart w:id="48" w:name="_Toc19089873"/>
      <w:r>
        <w:rPr>
          <w:rStyle w:val="25"/>
          <w:rFonts w:hint="eastAsia" w:ascii="黑体" w:hAnsi="黑体" w:eastAsia="黑体"/>
          <w:b w:val="0"/>
          <w:bCs/>
          <w:color w:val="0000FF"/>
          <w:sz w:val="28"/>
          <w:szCs w:val="28"/>
          <w:lang w:eastAsia="zh-CN"/>
        </w:rPr>
        <w:t>十、</w:t>
      </w:r>
      <w:r>
        <w:rPr>
          <w:rStyle w:val="25"/>
          <w:rFonts w:hint="eastAsia" w:ascii="黑体" w:hAnsi="黑体" w:eastAsia="黑体"/>
          <w:b w:val="0"/>
          <w:bCs/>
          <w:color w:val="000000" w:themeColor="text1"/>
          <w:sz w:val="28"/>
          <w:szCs w:val="28"/>
          <w14:textFill>
            <w14:solidFill>
              <w14:schemeClr w14:val="tx1"/>
            </w14:solidFill>
          </w14:textFill>
        </w:rPr>
        <w:t>其他重要事项的情况说明</w:t>
      </w:r>
    </w:p>
    <w:p>
      <w:pPr>
        <w:keepNext w:val="0"/>
        <w:keepLines w:val="0"/>
        <w:pageBreakBefore w:val="0"/>
        <w:widowControl w:val="0"/>
        <w:kinsoku/>
        <w:wordWrap/>
        <w:overflowPunct/>
        <w:topLinePunct w:val="0"/>
        <w:bidi w:val="0"/>
        <w:snapToGrid w:val="0"/>
        <w:spacing w:line="540" w:lineRule="exact"/>
        <w:ind w:left="0" w:firstLine="560" w:firstLineChars="200"/>
        <w:textAlignment w:val="auto"/>
        <w:outlineLvl w:val="2"/>
        <w:rPr>
          <w:rFonts w:ascii="仿宋" w:hAnsi="仿宋" w:eastAsia="仿宋"/>
          <w:b w:val="0"/>
          <w:bCs/>
          <w:color w:val="000000" w:themeColor="text1"/>
          <w:sz w:val="28"/>
          <w:szCs w:val="28"/>
          <w14:textFill>
            <w14:solidFill>
              <w14:schemeClr w14:val="tx1"/>
            </w14:solidFill>
          </w14:textFill>
        </w:rPr>
      </w:pPr>
      <w:bookmarkStart w:id="49" w:name="_Toc15377222"/>
      <w:r>
        <w:rPr>
          <w:rFonts w:hint="eastAsia" w:ascii="仿宋" w:hAnsi="仿宋" w:eastAsia="仿宋"/>
          <w:b w:val="0"/>
          <w:bCs/>
          <w:color w:val="000000" w:themeColor="text1"/>
          <w:sz w:val="28"/>
          <w:szCs w:val="28"/>
          <w14:textFill>
            <w14:solidFill>
              <w14:schemeClr w14:val="tx1"/>
            </w14:solidFill>
          </w14:textFill>
        </w:rPr>
        <w:t>（一）机关运行经费支出情况</w:t>
      </w:r>
      <w:bookmarkEnd w:id="49"/>
    </w:p>
    <w:p>
      <w:pPr>
        <w:keepNext w:val="0"/>
        <w:keepLines w:val="0"/>
        <w:pageBreakBefore w:val="0"/>
        <w:widowControl w:val="0"/>
        <w:kinsoku/>
        <w:wordWrap/>
        <w:overflowPunct/>
        <w:topLinePunct w:val="0"/>
        <w:bidi w:val="0"/>
        <w:snapToGrid w:val="0"/>
        <w:spacing w:line="540" w:lineRule="exact"/>
        <w:ind w:left="0" w:firstLine="560" w:firstLineChars="200"/>
        <w:textAlignment w:val="auto"/>
        <w:rPr>
          <w:rFonts w:hint="eastAsia" w:ascii="仿宋_GB2312" w:eastAsia="仿宋_GB2312"/>
          <w:b w:val="0"/>
          <w:bCs/>
          <w:color w:val="000000" w:themeColor="text1"/>
          <w:sz w:val="28"/>
          <w:szCs w:val="28"/>
          <w:lang w:val="en-US" w:eastAsia="zh-CN"/>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202</w:t>
      </w:r>
      <w:r>
        <w:rPr>
          <w:rFonts w:hint="eastAsia" w:ascii="仿宋_GB2312" w:eastAsia="仿宋_GB2312"/>
          <w:b w:val="0"/>
          <w:bCs/>
          <w:color w:val="000000" w:themeColor="text1"/>
          <w:sz w:val="28"/>
          <w:szCs w:val="28"/>
          <w:lang w:val="en-US" w:eastAsia="zh-CN"/>
          <w14:textFill>
            <w14:solidFill>
              <w14:schemeClr w14:val="tx1"/>
            </w14:solidFill>
          </w14:textFill>
        </w:rPr>
        <w:t>3</w:t>
      </w:r>
      <w:r>
        <w:rPr>
          <w:rFonts w:hint="eastAsia" w:ascii="仿宋_GB2312" w:eastAsia="仿宋_GB2312"/>
          <w:b w:val="0"/>
          <w:bCs/>
          <w:color w:val="000000" w:themeColor="text1"/>
          <w:sz w:val="28"/>
          <w:szCs w:val="28"/>
          <w14:textFill>
            <w14:solidFill>
              <w14:schemeClr w14:val="tx1"/>
            </w14:solidFill>
          </w14:textFill>
        </w:rPr>
        <w:t>年，机关运行经费支出</w:t>
      </w:r>
      <w:r>
        <w:rPr>
          <w:rFonts w:hint="eastAsia" w:ascii="仿宋_GB2312" w:eastAsia="仿宋_GB2312"/>
          <w:b w:val="0"/>
          <w:bCs/>
          <w:color w:val="000000" w:themeColor="text1"/>
          <w:sz w:val="28"/>
          <w:szCs w:val="28"/>
          <w:lang w:val="en-US" w:eastAsia="zh-CN"/>
          <w14:textFill>
            <w14:solidFill>
              <w14:schemeClr w14:val="tx1"/>
            </w14:solidFill>
          </w14:textFill>
        </w:rPr>
        <w:t>0</w:t>
      </w:r>
      <w:r>
        <w:rPr>
          <w:rFonts w:hint="eastAsia" w:ascii="仿宋_GB2312" w:eastAsia="仿宋_GB2312"/>
          <w:b w:val="0"/>
          <w:bCs/>
          <w:color w:val="000000" w:themeColor="text1"/>
          <w:sz w:val="28"/>
          <w:szCs w:val="28"/>
          <w14:textFill>
            <w14:solidFill>
              <w14:schemeClr w14:val="tx1"/>
            </w14:solidFill>
          </w14:textFill>
        </w:rPr>
        <w:t>万元</w:t>
      </w:r>
      <w:r>
        <w:rPr>
          <w:rFonts w:hint="eastAsia" w:ascii="仿宋_GB2312" w:eastAsia="仿宋_GB2312"/>
          <w:b w:val="0"/>
          <w:bCs/>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560" w:firstLineChars="200"/>
        <w:jc w:val="left"/>
        <w:textAlignment w:val="auto"/>
        <w:outlineLvl w:val="2"/>
        <w:rPr>
          <w:rFonts w:ascii="仿宋" w:hAnsi="仿宋" w:eastAsia="仿宋"/>
          <w:b w:val="0"/>
          <w:bCs/>
          <w:color w:val="000000" w:themeColor="text1"/>
          <w:sz w:val="28"/>
          <w:szCs w:val="28"/>
          <w14:textFill>
            <w14:solidFill>
              <w14:schemeClr w14:val="tx1"/>
            </w14:solidFill>
          </w14:textFill>
        </w:rPr>
      </w:pPr>
      <w:bookmarkStart w:id="69" w:name="_GoBack"/>
      <w:bookmarkEnd w:id="69"/>
      <w:r>
        <w:rPr>
          <w:rFonts w:hint="eastAsia" w:ascii="仿宋" w:hAnsi="仿宋" w:eastAsia="仿宋"/>
          <w:b w:val="0"/>
          <w:bCs/>
          <w:color w:val="000000" w:themeColor="text1"/>
          <w:sz w:val="28"/>
          <w:szCs w:val="28"/>
          <w14:textFill>
            <w14:solidFill>
              <w14:schemeClr w14:val="tx1"/>
            </w14:solidFill>
          </w14:textFill>
        </w:rPr>
        <w:t>（二）政府采购支出情况</w:t>
      </w:r>
    </w:p>
    <w:p>
      <w:pPr>
        <w:keepNext w:val="0"/>
        <w:keepLines w:val="0"/>
        <w:pageBreakBefore w:val="0"/>
        <w:widowControl w:val="0"/>
        <w:kinsoku/>
        <w:wordWrap/>
        <w:overflowPunct/>
        <w:topLinePunct w:val="0"/>
        <w:bidi w:val="0"/>
        <w:snapToGrid w:val="0"/>
        <w:spacing w:line="540" w:lineRule="exact"/>
        <w:ind w:left="0" w:firstLine="560" w:firstLineChars="200"/>
        <w:textAlignment w:val="auto"/>
        <w:rPr>
          <w:rFonts w:ascii="仿宋_GB2312" w:eastAsia="仿宋_GB2312"/>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202</w:t>
      </w:r>
      <w:r>
        <w:rPr>
          <w:rFonts w:hint="eastAsia" w:ascii="仿宋_GB2312" w:eastAsia="仿宋_GB2312"/>
          <w:b w:val="0"/>
          <w:bCs/>
          <w:color w:val="000000" w:themeColor="text1"/>
          <w:sz w:val="28"/>
          <w:szCs w:val="28"/>
          <w:lang w:val="en-US" w:eastAsia="zh-CN"/>
          <w14:textFill>
            <w14:solidFill>
              <w14:schemeClr w14:val="tx1"/>
            </w14:solidFill>
          </w14:textFill>
        </w:rPr>
        <w:t>3</w:t>
      </w:r>
      <w:r>
        <w:rPr>
          <w:rFonts w:hint="eastAsia" w:ascii="仿宋_GB2312" w:eastAsia="仿宋_GB2312"/>
          <w:b w:val="0"/>
          <w:bCs/>
          <w:color w:val="000000" w:themeColor="text1"/>
          <w:sz w:val="28"/>
          <w:szCs w:val="28"/>
          <w14:textFill>
            <w14:solidFill>
              <w14:schemeClr w14:val="tx1"/>
            </w14:solidFill>
          </w14:textFill>
        </w:rPr>
        <w:t>年，政府采购支出总额</w:t>
      </w:r>
      <w:r>
        <w:rPr>
          <w:rFonts w:hint="eastAsia" w:ascii="仿宋_GB2312" w:eastAsia="仿宋_GB2312"/>
          <w:b w:val="0"/>
          <w:bCs/>
          <w:color w:val="000000" w:themeColor="text1"/>
          <w:sz w:val="28"/>
          <w:szCs w:val="28"/>
          <w:lang w:val="en-US" w:eastAsia="zh-CN"/>
          <w14:textFill>
            <w14:solidFill>
              <w14:schemeClr w14:val="tx1"/>
            </w14:solidFill>
          </w14:textFill>
        </w:rPr>
        <w:t>0</w:t>
      </w:r>
      <w:r>
        <w:rPr>
          <w:rFonts w:hint="eastAsia" w:ascii="仿宋_GB2312" w:eastAsia="仿宋_GB2312"/>
          <w:b w:val="0"/>
          <w:bCs/>
          <w:color w:val="000000" w:themeColor="text1"/>
          <w:sz w:val="28"/>
          <w:szCs w:val="28"/>
          <w14:textFill>
            <w14:solidFill>
              <w14:schemeClr w14:val="tx1"/>
            </w14:solidFill>
          </w14:textFill>
        </w:rPr>
        <w:t>万元。</w:t>
      </w:r>
    </w:p>
    <w:p>
      <w:pPr>
        <w:keepNext w:val="0"/>
        <w:keepLines w:val="0"/>
        <w:pageBreakBefore w:val="0"/>
        <w:widowControl w:val="0"/>
        <w:numPr>
          <w:ilvl w:val="0"/>
          <w:numId w:val="7"/>
        </w:numPr>
        <w:kinsoku/>
        <w:wordWrap/>
        <w:overflowPunct/>
        <w:topLinePunct w:val="0"/>
        <w:autoSpaceDE w:val="0"/>
        <w:autoSpaceDN w:val="0"/>
        <w:bidi w:val="0"/>
        <w:adjustRightInd w:val="0"/>
        <w:snapToGrid w:val="0"/>
        <w:spacing w:line="540" w:lineRule="exact"/>
        <w:ind w:left="0" w:firstLine="560" w:firstLineChars="200"/>
        <w:jc w:val="left"/>
        <w:textAlignment w:val="auto"/>
        <w:outlineLvl w:val="2"/>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国有资产占有使用情况</w:t>
      </w:r>
    </w:p>
    <w:p>
      <w:pPr>
        <w:pStyle w:val="2"/>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eastAsia"/>
          <w:color w:val="auto"/>
          <w:sz w:val="32"/>
          <w:szCs w:val="32"/>
          <w:highlight w:val="none"/>
          <w:lang w:val="en-US" w:eastAsia="zh-CN"/>
        </w:rPr>
        <w:t>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日，共有车辆</w:t>
      </w:r>
      <w:r>
        <w:rPr>
          <w:rFonts w:hint="eastAsia"/>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color w:val="auto"/>
          <w:sz w:val="32"/>
          <w:szCs w:val="32"/>
          <w:highlight w:val="none"/>
          <w:lang w:val="en-US" w:eastAsia="zh-CN"/>
        </w:rPr>
        <w:t>0</w:t>
      </w:r>
      <w:r>
        <w:rPr>
          <w:rFonts w:hint="eastAsia" w:ascii="仿宋_GB2312" w:eastAsia="仿宋_GB2312"/>
          <w:color w:val="auto"/>
          <w:sz w:val="32"/>
          <w:szCs w:val="32"/>
          <w:highlight w:val="none"/>
        </w:rPr>
        <w:t>台（套）。</w:t>
      </w:r>
    </w:p>
    <w:p>
      <w:pPr>
        <w:pStyle w:val="2"/>
        <w:ind w:firstLine="642" w:firstLineChars="200"/>
        <w:rPr>
          <w:rFonts w:ascii="仿宋" w:hAnsi="仿宋" w:eastAsia="仿宋"/>
          <w:b w:val="0"/>
          <w:bCs/>
          <w:color w:val="0000FF"/>
          <w:sz w:val="28"/>
          <w:szCs w:val="28"/>
        </w:rPr>
      </w:pPr>
      <w:r>
        <w:rPr>
          <w:rFonts w:hint="eastAsia" w:ascii="仿宋" w:hAnsi="仿宋" w:eastAsia="仿宋"/>
          <w:b/>
          <w:color w:val="auto"/>
          <w:sz w:val="32"/>
          <w:szCs w:val="32"/>
          <w:highlight w:val="none"/>
          <w:lang w:eastAsia="zh-CN"/>
        </w:rPr>
        <w:t>（四）</w:t>
      </w:r>
      <w:r>
        <w:rPr>
          <w:rFonts w:hint="eastAsia" w:ascii="仿宋" w:hAnsi="仿宋" w:eastAsia="仿宋"/>
          <w:b/>
          <w:color w:val="auto"/>
          <w:sz w:val="32"/>
          <w:szCs w:val="32"/>
          <w:highlight w:val="none"/>
        </w:rPr>
        <w:t>预算绩效管理情况。</w:t>
      </w:r>
    </w:p>
    <w:p>
      <w:pPr>
        <w:pStyle w:val="2"/>
        <w:numPr>
          <w:ilvl w:val="0"/>
          <w:numId w:val="0"/>
        </w:numPr>
        <w:ind w:firstLine="640" w:firstLineChars="200"/>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lang w:eastAsia="zh-CN"/>
        </w:rPr>
        <w:t>根据预算绩效管理要求，本部门在</w:t>
      </w:r>
      <w:r>
        <w:rPr>
          <w:rFonts w:hint="eastAsia" w:ascii="仿宋_GB2312" w:hAnsi="仿宋_GB2312" w:eastAsia="仿宋_GB2312" w:cs="仿宋_GB2312"/>
          <w:color w:val="auto"/>
          <w:sz w:val="32"/>
          <w:szCs w:val="32"/>
          <w:highlight w:val="none"/>
          <w:lang w:val="en-US" w:eastAsia="zh-CN"/>
        </w:rPr>
        <w:t>202</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年度</w:t>
      </w:r>
      <w:r>
        <w:rPr>
          <w:rFonts w:hint="eastAsia" w:ascii="仿宋_GB2312" w:hAnsi="仿宋_GB2312" w:eastAsia="仿宋_GB2312" w:cs="仿宋_GB2312"/>
          <w:color w:val="auto"/>
          <w:sz w:val="32"/>
          <w:szCs w:val="32"/>
          <w:highlight w:val="none"/>
          <w:lang w:eastAsia="zh-CN"/>
        </w:rPr>
        <w:t>预算编制阶段，组织对免作业本费项目等</w:t>
      </w:r>
      <w:r>
        <w:rPr>
          <w:rFonts w:hint="eastAsia" w:ascii="仿宋_GB2312" w:hAnsi="仿宋_GB2312" w:eastAsia="仿宋_GB2312" w:cs="仿宋_GB2312"/>
          <w:color w:val="auto"/>
          <w:sz w:val="32"/>
          <w:szCs w:val="32"/>
          <w:highlight w:val="none"/>
          <w:lang w:val="en-US" w:eastAsia="zh-CN"/>
        </w:rPr>
        <w:t>2</w:t>
      </w:r>
      <w:r>
        <w:rPr>
          <w:rFonts w:hint="eastAsia"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个项目</w:t>
      </w:r>
      <w:r>
        <w:rPr>
          <w:rFonts w:hint="eastAsia" w:ascii="仿宋_GB2312" w:hAnsi="仿宋_GB2312" w:eastAsia="仿宋_GB2312" w:cs="仿宋_GB2312"/>
          <w:color w:val="auto"/>
          <w:sz w:val="32"/>
          <w:szCs w:val="32"/>
          <w:highlight w:val="none"/>
          <w:lang w:eastAsia="zh-CN"/>
        </w:rPr>
        <w:t>开展了预算事前绩效评估，对</w:t>
      </w:r>
      <w:r>
        <w:rPr>
          <w:rFonts w:hint="eastAsia" w:hAnsi="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lang w:eastAsia="zh-CN"/>
        </w:rPr>
        <w:t>个项目</w:t>
      </w:r>
      <w:r>
        <w:rPr>
          <w:rFonts w:hint="eastAsia" w:hAnsi="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lang w:eastAsia="zh-CN"/>
        </w:rPr>
        <w:t>编制了绩效目标，预算执行过程中，选取</w:t>
      </w:r>
      <w:r>
        <w:rPr>
          <w:rFonts w:hint="eastAsia" w:ascii="仿宋_GB2312" w:hAnsi="仿宋_GB2312" w:eastAsia="仿宋_GB2312" w:cs="仿宋_GB2312"/>
          <w:color w:val="auto"/>
          <w:sz w:val="32"/>
          <w:szCs w:val="32"/>
          <w:highlight w:val="none"/>
          <w:lang w:val="en-US" w:eastAsia="zh-CN"/>
        </w:rPr>
        <w:t>2</w:t>
      </w:r>
      <w:r>
        <w:rPr>
          <w:rFonts w:hint="eastAsia"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个项目开展绩效监控，年终执行完毕后，对</w:t>
      </w:r>
      <w:r>
        <w:rPr>
          <w:rFonts w:hint="eastAsia" w:ascii="仿宋_GB2312" w:hAnsi="仿宋_GB2312" w:eastAsia="仿宋_GB2312" w:cs="仿宋_GB2312"/>
          <w:color w:val="auto"/>
          <w:sz w:val="32"/>
          <w:szCs w:val="32"/>
          <w:highlight w:val="none"/>
          <w:lang w:val="en-US" w:eastAsia="zh-CN"/>
        </w:rPr>
        <w:t>2</w:t>
      </w:r>
      <w:r>
        <w:rPr>
          <w:rFonts w:hint="eastAsia"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个项目开展了绩效自评</w:t>
      </w:r>
      <w:r>
        <w:rPr>
          <w:rFonts w:hint="eastAsia" w:hAnsi="仿宋_GB2312" w:cs="仿宋_GB2312"/>
          <w:color w:val="auto"/>
          <w:sz w:val="32"/>
          <w:szCs w:val="32"/>
          <w:highlight w:val="none"/>
          <w:lang w:eastAsia="zh-CN"/>
        </w:rPr>
        <w:t>，</w:t>
      </w:r>
      <w:r>
        <w:rPr>
          <w:rFonts w:hint="eastAsia" w:ascii="仿宋_GB2312" w:eastAsia="仿宋_GB2312"/>
          <w:sz w:val="32"/>
          <w:szCs w:val="32"/>
        </w:rPr>
        <w:t>绩效自评表详见第四部分附件</w:t>
      </w:r>
      <w:r>
        <w:rPr>
          <w:rFonts w:hint="eastAsia" w:ascii="仿宋_GB2312" w:hAnsi="仿宋_GB2312" w:eastAsia="仿宋_GB2312" w:cs="仿宋_GB2312"/>
          <w:color w:val="auto"/>
          <w:sz w:val="32"/>
          <w:szCs w:val="32"/>
          <w:highlight w:val="none"/>
        </w:rPr>
        <w:t>。</w:t>
      </w:r>
      <w:bookmarkEnd w:id="48"/>
      <w:r>
        <w:rPr>
          <w:rFonts w:ascii="仿宋_GB2312" w:eastAsia="仿宋_GB2312"/>
          <w:b/>
          <w:color w:val="auto"/>
          <w:sz w:val="32"/>
          <w:szCs w:val="32"/>
          <w:highlight w:val="none"/>
        </w:rPr>
        <w:br w:type="page"/>
      </w:r>
    </w:p>
    <w:p>
      <w:pPr>
        <w:numPr>
          <w:ilvl w:val="0"/>
          <w:numId w:val="8"/>
        </w:numPr>
        <w:spacing w:line="600" w:lineRule="exact"/>
        <w:ind w:left="0" w:leftChars="0" w:firstLine="0" w:firstLineChars="0"/>
        <w:jc w:val="center"/>
        <w:outlineLvl w:val="0"/>
        <w:rPr>
          <w:rStyle w:val="24"/>
          <w:rFonts w:hint="eastAsia" w:ascii="方正小标宋简体" w:hAnsi="方正小标宋简体" w:eastAsia="方正小标宋简体" w:cs="方正小标宋简体"/>
          <w:b w:val="0"/>
        </w:rPr>
      </w:pPr>
      <w:bookmarkStart w:id="50" w:name="_Toc15396613"/>
      <w:bookmarkStart w:id="51" w:name="_Toc19089876"/>
      <w:bookmarkStart w:id="52" w:name="_Toc15377226"/>
      <w:r>
        <w:rPr>
          <w:rFonts w:hint="eastAsia" w:ascii="方正小标宋简体" w:hAnsi="方正小标宋简体" w:eastAsia="方正小标宋简体" w:cs="方正小标宋简体"/>
          <w:color w:val="000000"/>
          <w:sz w:val="44"/>
          <w:szCs w:val="44"/>
        </w:rPr>
        <w:t>名</w:t>
      </w:r>
      <w:r>
        <w:rPr>
          <w:rStyle w:val="24"/>
          <w:rFonts w:hint="eastAsia" w:ascii="方正小标宋简体" w:hAnsi="方正小标宋简体" w:eastAsia="方正小标宋简体" w:cs="方正小标宋简体"/>
          <w:b w:val="0"/>
        </w:rPr>
        <w:t>词解释</w:t>
      </w:r>
      <w:bookmarkEnd w:id="50"/>
    </w:p>
    <w:p>
      <w:pPr>
        <w:spacing w:line="600" w:lineRule="exact"/>
        <w:jc w:val="left"/>
        <w:rPr>
          <w:rFonts w:ascii="宋体"/>
          <w:b/>
          <w:color w:val="000000"/>
          <w:sz w:val="44"/>
          <w:szCs w:val="44"/>
        </w:rPr>
      </w:pP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1.财政拨款收入：指单位从同级财政部门取得的财政预算资金。</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2.事业收入：指事业单位开展专业业务活动及辅助活动取得的收入。3.经营收入：指事业单位在专业业务活动及其辅助活动之外开展非独立核算经营活动取得的收入。</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4.其他收入：指单位取得的除上述收入以外的各项收入。</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5.使用非财政拨款结余：指事业单位使用以前年度积累的非财政拨款结余弥补当年收支差额的金额。</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6.年初结转和结余：指以前年度尚未完成、结转到本年按有关规定继续使用的资金。</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7.结余分配：指事业单位按照会计制度规定缴纳的所得税、提取的专用结余以及转入非财政拨款结余的金额等。</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8</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 教育支出（类）普通教育（款）学前教育（项）:反映各部门举办的学前教育支出。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 教育支出（类）普通教育（款）小学教育（项）:反映各部门举办的小学教育支出。政府各部门对社会中介组织等举办的小学的资助，如各类捐赠、补贴等，也在本科目中反映。</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 教育支出（类）教育附加费安排的支出（款）农村中小学校舍建设（项）:反映教育附加费安排用于农村中小学校舍新建、改建、修缮和维护的支出。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 教育支出（类）其它教育支出（款）其他教育支出（项）: 指上述项目以外其他用于教育方面的支出。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 社会保障和就业支出（类）行政事业单位离退休（款）机关事业单位基本养老保险缴费支出（项）: 指机关事业单位实施养老保险制度由单位缴纳的基本养老保险费支出。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 社会保障和就业支出（类）行政事业单位离退休（款）机关事业单位职业年金缴费支出（项）: 指机关事业单位实施养老保险制度由单位实际缴纳的职业年金支出。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 社会保障和就业支出（类）抚恤（款）死亡抚恤（项）: 指按规定用于烈士和牺牲、病故人员家属的一次性和定期抚恤金以及丧葬补助费。</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 住房保障支出（类）住房改革支出（款）住房公积金（项）: 指行政事业单位按人力资源和社会保障部、财政部规定的基本工资和津贴补贴以及规定比例为职工缴纳的住房公积金。</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hint="eastAsia" w:ascii="仿宋_GB2312" w:eastAsia="仿宋_GB2312"/>
          <w:color w:val="auto"/>
          <w:sz w:val="32"/>
          <w:szCs w:val="32"/>
          <w:highlight w:val="none"/>
        </w:rPr>
        <w:t>.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rPr>
          <w:rFonts w:hint="eastAsia" w:ascii="黑体" w:hAnsi="黑体" w:eastAsia="黑体"/>
          <w:color w:val="auto"/>
          <w:sz w:val="44"/>
          <w:szCs w:val="44"/>
        </w:rPr>
      </w:pPr>
    </w:p>
    <w:p>
      <w:pPr>
        <w:spacing w:line="600" w:lineRule="exact"/>
        <w:jc w:val="center"/>
        <w:outlineLvl w:val="0"/>
        <w:rPr>
          <w:rStyle w:val="24"/>
          <w:rFonts w:hint="eastAsia" w:ascii="方正小标宋简体" w:hAnsi="方正小标宋简体" w:eastAsia="方正小标宋简体" w:cs="方正小标宋简体"/>
          <w:b w:val="0"/>
          <w:color w:val="auto"/>
        </w:rPr>
      </w:pPr>
      <w:r>
        <w:rPr>
          <w:rFonts w:hint="eastAsia" w:ascii="方正小标宋简体" w:hAnsi="方正小标宋简体" w:eastAsia="方正小标宋简体" w:cs="方正小标宋简体"/>
          <w:color w:val="auto"/>
          <w:sz w:val="44"/>
          <w:szCs w:val="44"/>
        </w:rPr>
        <w:t>第</w:t>
      </w:r>
      <w:r>
        <w:rPr>
          <w:rStyle w:val="24"/>
          <w:rFonts w:hint="eastAsia" w:ascii="方正小标宋简体" w:hAnsi="方正小标宋简体" w:eastAsia="方正小标宋简体" w:cs="方正小标宋简体"/>
          <w:b w:val="0"/>
          <w:color w:val="auto"/>
        </w:rPr>
        <w:t>四部分 附件</w:t>
      </w:r>
      <w:bookmarkEnd w:id="51"/>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bookmarkStart w:id="53" w:name="_Toc19089878"/>
      <w:bookmarkStart w:id="54" w:name="_Toc15396616"/>
    </w:p>
    <w:p>
      <w:pPr>
        <w:spacing w:line="600" w:lineRule="exact"/>
        <w:jc w:val="center"/>
        <w:outlineLvl w:val="0"/>
        <w:rPr>
          <w:rFonts w:hint="eastAsia" w:ascii="宋体" w:hAnsi="宋体" w:eastAsia="宋体" w:cs="宋体"/>
          <w:color w:val="auto"/>
          <w:kern w:val="0"/>
          <w:sz w:val="32"/>
          <w:szCs w:val="32"/>
          <w:highlight w:val="none"/>
          <w:lang w:val="en-US" w:eastAsia="zh-CN" w:bidi="ar-SA"/>
        </w:rPr>
      </w:pPr>
      <w:r>
        <w:rPr>
          <w:rFonts w:hint="eastAsia" w:ascii="宋体" w:hAnsi="宋体" w:cs="宋体"/>
          <w:color w:val="auto"/>
          <w:kern w:val="0"/>
          <w:sz w:val="32"/>
          <w:szCs w:val="32"/>
          <w:highlight w:val="none"/>
          <w:lang w:val="en-US" w:eastAsia="zh-CN" w:bidi="ar-SA"/>
        </w:rPr>
        <w:t>详见</w:t>
      </w:r>
      <w:r>
        <w:rPr>
          <w:rFonts w:hint="eastAsia" w:ascii="宋体" w:hAnsi="宋体" w:eastAsia="宋体" w:cs="宋体"/>
          <w:color w:val="auto"/>
          <w:kern w:val="0"/>
          <w:sz w:val="32"/>
          <w:szCs w:val="32"/>
          <w:highlight w:val="none"/>
          <w:lang w:val="en-US" w:eastAsia="zh-CN" w:bidi="ar-SA"/>
        </w:rPr>
        <w:t>部门</w:t>
      </w:r>
      <w:r>
        <w:rPr>
          <w:rFonts w:hint="eastAsia" w:ascii="宋体" w:hAnsi="宋体" w:cs="宋体"/>
          <w:color w:val="auto"/>
          <w:kern w:val="0"/>
          <w:sz w:val="32"/>
          <w:szCs w:val="32"/>
          <w:highlight w:val="none"/>
          <w:lang w:val="en-US" w:eastAsia="zh-CN" w:bidi="ar-SA"/>
        </w:rPr>
        <w:t>预算</w:t>
      </w:r>
      <w:r>
        <w:rPr>
          <w:rFonts w:hint="eastAsia" w:ascii="宋体" w:hAnsi="宋体" w:eastAsia="宋体" w:cs="宋体"/>
          <w:color w:val="auto"/>
          <w:kern w:val="0"/>
          <w:sz w:val="32"/>
          <w:szCs w:val="32"/>
          <w:highlight w:val="none"/>
          <w:lang w:val="en-US" w:eastAsia="zh-CN" w:bidi="ar-SA"/>
        </w:rPr>
        <w:t>项目支出绩效</w:t>
      </w:r>
      <w:r>
        <w:rPr>
          <w:rFonts w:hint="eastAsia" w:ascii="宋体" w:hAnsi="宋体" w:cs="宋体"/>
          <w:color w:val="auto"/>
          <w:kern w:val="0"/>
          <w:sz w:val="32"/>
          <w:szCs w:val="32"/>
          <w:highlight w:val="none"/>
          <w:lang w:val="en-US" w:eastAsia="zh-CN" w:bidi="ar-SA"/>
        </w:rPr>
        <w:t>自评</w:t>
      </w:r>
      <w:r>
        <w:rPr>
          <w:rFonts w:hint="eastAsia" w:ascii="宋体" w:hAnsi="宋体" w:eastAsia="宋体" w:cs="宋体"/>
          <w:color w:val="auto"/>
          <w:kern w:val="0"/>
          <w:sz w:val="32"/>
          <w:szCs w:val="32"/>
          <w:highlight w:val="none"/>
          <w:lang w:val="en-US" w:eastAsia="zh-CN" w:bidi="ar-SA"/>
        </w:rPr>
        <w:t>表（202</w:t>
      </w:r>
      <w:r>
        <w:rPr>
          <w:rFonts w:hint="eastAsia" w:ascii="宋体" w:hAnsi="宋体" w:cs="宋体"/>
          <w:color w:val="auto"/>
          <w:kern w:val="0"/>
          <w:sz w:val="32"/>
          <w:szCs w:val="32"/>
          <w:highlight w:val="none"/>
          <w:lang w:val="en-US" w:eastAsia="zh-CN" w:bidi="ar-SA"/>
        </w:rPr>
        <w:t>3</w:t>
      </w:r>
      <w:r>
        <w:rPr>
          <w:rFonts w:hint="eastAsia" w:ascii="宋体" w:hAnsi="宋体" w:eastAsia="宋体" w:cs="宋体"/>
          <w:color w:val="auto"/>
          <w:kern w:val="0"/>
          <w:sz w:val="32"/>
          <w:szCs w:val="32"/>
          <w:highlight w:val="none"/>
          <w:lang w:val="en-US" w:eastAsia="zh-CN" w:bidi="ar-SA"/>
        </w:rPr>
        <w:t>年度）</w:t>
      </w:r>
    </w:p>
    <w:p>
      <w:pPr>
        <w:spacing w:line="600" w:lineRule="exact"/>
        <w:jc w:val="center"/>
        <w:rPr>
          <w:rFonts w:hint="eastAsia" w:ascii="黑体" w:hAnsi="黑体" w:eastAsia="黑体" w:cs="黑体"/>
          <w:color w:val="000000"/>
          <w:kern w:val="0"/>
          <w:sz w:val="40"/>
          <w:szCs w:val="40"/>
        </w:rPr>
      </w:pPr>
    </w:p>
    <w:bookmarkEnd w:id="53"/>
    <w:bookmarkEnd w:id="54"/>
    <w:p>
      <w:pPr>
        <w:spacing w:line="600" w:lineRule="exact"/>
        <w:jc w:val="center"/>
        <w:outlineLvl w:val="0"/>
        <w:rPr>
          <w:rFonts w:hint="eastAsia" w:ascii="仿宋_GB2312" w:hAnsi="仿宋_GB2312" w:eastAsia="仿宋_GB2312" w:cs="仿宋_GB2312"/>
          <w:b w:val="0"/>
          <w:bCs w:val="0"/>
          <w:color w:val="auto"/>
          <w:kern w:val="2"/>
          <w:sz w:val="28"/>
          <w:szCs w:val="28"/>
          <w:highlight w:val="none"/>
          <w:lang w:val="en-US" w:eastAsia="zh-CN" w:bidi="ar-SA"/>
        </w:rPr>
      </w:pPr>
      <w:bookmarkStart w:id="55" w:name="_Toc19089885"/>
      <w:r>
        <w:rPr>
          <w:rFonts w:hint="eastAsia" w:ascii="方正小标宋简体" w:hAnsi="方正小标宋简体" w:eastAsia="方正小标宋简体" w:cs="方正小标宋简体"/>
          <w:color w:val="auto"/>
          <w:sz w:val="44"/>
          <w:szCs w:val="44"/>
        </w:rPr>
        <w:t>第</w:t>
      </w:r>
      <w:r>
        <w:rPr>
          <w:rStyle w:val="24"/>
          <w:rFonts w:hint="eastAsia" w:ascii="方正小标宋简体" w:hAnsi="方正小标宋简体" w:eastAsia="方正小标宋简体" w:cs="方正小标宋简体"/>
          <w:b w:val="0"/>
          <w:color w:val="auto"/>
        </w:rPr>
        <w:t>五部分 附表</w:t>
      </w:r>
      <w:bookmarkEnd w:id="52"/>
      <w:bookmarkEnd w:id="55"/>
      <w:bookmarkStart w:id="56" w:name="_Toc19089886"/>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一、收入支出决算总表</w:t>
      </w:r>
      <w:bookmarkEnd w:id="56"/>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57" w:name="_Toc19089887"/>
      <w:r>
        <w:rPr>
          <w:rFonts w:hint="eastAsia" w:ascii="仿宋_GB2312" w:hAnsi="仿宋_GB2312" w:eastAsia="仿宋_GB2312" w:cs="仿宋_GB2312"/>
          <w:b w:val="0"/>
          <w:bCs w:val="0"/>
          <w:color w:val="auto"/>
          <w:kern w:val="2"/>
          <w:sz w:val="28"/>
          <w:szCs w:val="28"/>
          <w:highlight w:val="none"/>
          <w:lang w:val="en-US" w:eastAsia="zh-CN" w:bidi="ar-SA"/>
        </w:rPr>
        <w:t>二、收入总表</w:t>
      </w:r>
      <w:bookmarkEnd w:id="57"/>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58" w:name="_Toc19089888"/>
      <w:r>
        <w:rPr>
          <w:rFonts w:hint="eastAsia" w:ascii="仿宋_GB2312" w:hAnsi="仿宋_GB2312" w:eastAsia="仿宋_GB2312" w:cs="仿宋_GB2312"/>
          <w:b w:val="0"/>
          <w:bCs w:val="0"/>
          <w:color w:val="auto"/>
          <w:kern w:val="2"/>
          <w:sz w:val="28"/>
          <w:szCs w:val="28"/>
          <w:highlight w:val="none"/>
          <w:lang w:val="en-US" w:eastAsia="zh-CN" w:bidi="ar-SA"/>
        </w:rPr>
        <w:t>三、支出总表</w:t>
      </w:r>
      <w:bookmarkEnd w:id="58"/>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59" w:name="_Toc19089889"/>
      <w:r>
        <w:rPr>
          <w:rFonts w:hint="eastAsia" w:ascii="仿宋_GB2312" w:hAnsi="仿宋_GB2312" w:eastAsia="仿宋_GB2312" w:cs="仿宋_GB2312"/>
          <w:b w:val="0"/>
          <w:bCs w:val="0"/>
          <w:color w:val="auto"/>
          <w:kern w:val="2"/>
          <w:sz w:val="28"/>
          <w:szCs w:val="28"/>
          <w:highlight w:val="none"/>
          <w:lang w:val="en-US" w:eastAsia="zh-CN" w:bidi="ar-SA"/>
        </w:rPr>
        <w:t>四、财政拨款收入支出决算总表</w:t>
      </w:r>
      <w:bookmarkEnd w:id="59"/>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0" w:name="_Toc19089890"/>
      <w:r>
        <w:rPr>
          <w:rFonts w:hint="eastAsia" w:ascii="仿宋_GB2312" w:hAnsi="仿宋_GB2312" w:eastAsia="仿宋_GB2312" w:cs="仿宋_GB2312"/>
          <w:b w:val="0"/>
          <w:bCs w:val="0"/>
          <w:color w:val="auto"/>
          <w:kern w:val="2"/>
          <w:sz w:val="28"/>
          <w:szCs w:val="28"/>
          <w:highlight w:val="none"/>
          <w:lang w:val="en-US" w:eastAsia="zh-CN" w:bidi="ar-SA"/>
        </w:rPr>
        <w:t>五、财政拨款支出决算明细表（政府经济分类科目）</w:t>
      </w:r>
      <w:bookmarkEnd w:id="60"/>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1" w:name="_Toc19089891"/>
      <w:r>
        <w:rPr>
          <w:rFonts w:hint="eastAsia" w:ascii="仿宋_GB2312" w:hAnsi="仿宋_GB2312" w:eastAsia="仿宋_GB2312" w:cs="仿宋_GB2312"/>
          <w:b w:val="0"/>
          <w:bCs w:val="0"/>
          <w:color w:val="auto"/>
          <w:kern w:val="2"/>
          <w:sz w:val="28"/>
          <w:szCs w:val="28"/>
          <w:highlight w:val="none"/>
          <w:lang w:val="en-US" w:eastAsia="zh-CN" w:bidi="ar-SA"/>
        </w:rPr>
        <w:t>六、一般公共预算财政拨款支出决算表</w:t>
      </w:r>
      <w:bookmarkEnd w:id="61"/>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2" w:name="_Toc19089892"/>
      <w:r>
        <w:rPr>
          <w:rFonts w:hint="eastAsia" w:ascii="仿宋_GB2312" w:hAnsi="仿宋_GB2312" w:eastAsia="仿宋_GB2312" w:cs="仿宋_GB2312"/>
          <w:b w:val="0"/>
          <w:bCs w:val="0"/>
          <w:color w:val="auto"/>
          <w:kern w:val="2"/>
          <w:sz w:val="28"/>
          <w:szCs w:val="28"/>
          <w:highlight w:val="none"/>
          <w:lang w:val="en-US" w:eastAsia="zh-CN" w:bidi="ar-SA"/>
        </w:rPr>
        <w:t>七、一般公共预算财政拨款支出决算明细表</w:t>
      </w:r>
      <w:bookmarkEnd w:id="62"/>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3" w:name="_Toc19089893"/>
      <w:r>
        <w:rPr>
          <w:rFonts w:hint="eastAsia" w:ascii="仿宋_GB2312" w:hAnsi="仿宋_GB2312" w:eastAsia="仿宋_GB2312" w:cs="仿宋_GB2312"/>
          <w:b w:val="0"/>
          <w:bCs w:val="0"/>
          <w:color w:val="auto"/>
          <w:kern w:val="2"/>
          <w:sz w:val="28"/>
          <w:szCs w:val="28"/>
          <w:highlight w:val="none"/>
          <w:lang w:val="en-US" w:eastAsia="zh-CN" w:bidi="ar-SA"/>
        </w:rPr>
        <w:t>八、一般公共预算财政拨款基本支出决算表</w:t>
      </w:r>
      <w:bookmarkEnd w:id="63"/>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4" w:name="_Toc19089894"/>
      <w:r>
        <w:rPr>
          <w:rFonts w:hint="eastAsia" w:ascii="仿宋_GB2312" w:hAnsi="仿宋_GB2312" w:eastAsia="仿宋_GB2312" w:cs="仿宋_GB2312"/>
          <w:b w:val="0"/>
          <w:bCs w:val="0"/>
          <w:color w:val="auto"/>
          <w:kern w:val="2"/>
          <w:sz w:val="28"/>
          <w:szCs w:val="28"/>
          <w:highlight w:val="none"/>
          <w:lang w:val="en-US" w:eastAsia="zh-CN" w:bidi="ar-SA"/>
        </w:rPr>
        <w:t>九、一般公共预算财政拨款项目支出决算表</w:t>
      </w:r>
      <w:bookmarkEnd w:id="64"/>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5" w:name="_Toc19089895"/>
      <w:r>
        <w:rPr>
          <w:rFonts w:hint="eastAsia" w:ascii="仿宋_GB2312" w:hAnsi="仿宋_GB2312" w:eastAsia="仿宋_GB2312" w:cs="仿宋_GB2312"/>
          <w:b w:val="0"/>
          <w:bCs w:val="0"/>
          <w:color w:val="auto"/>
          <w:kern w:val="2"/>
          <w:sz w:val="28"/>
          <w:szCs w:val="28"/>
          <w:highlight w:val="none"/>
          <w:lang w:val="en-US" w:eastAsia="zh-CN" w:bidi="ar-SA"/>
        </w:rPr>
        <w:t>十、一般公共预算财政拨款“三公”经费支出决算表</w:t>
      </w:r>
      <w:bookmarkEnd w:id="65"/>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6" w:name="_Toc19089896"/>
      <w:r>
        <w:rPr>
          <w:rFonts w:hint="eastAsia" w:ascii="仿宋_GB2312" w:hAnsi="仿宋_GB2312" w:eastAsia="仿宋_GB2312" w:cs="仿宋_GB2312"/>
          <w:b w:val="0"/>
          <w:bCs w:val="0"/>
          <w:color w:val="auto"/>
          <w:kern w:val="2"/>
          <w:sz w:val="28"/>
          <w:szCs w:val="28"/>
          <w:highlight w:val="none"/>
          <w:lang w:val="en-US" w:eastAsia="zh-CN" w:bidi="ar-SA"/>
        </w:rPr>
        <w:t>十一、政府性基金预算财政拨款收入支出决算表</w:t>
      </w:r>
      <w:bookmarkEnd w:id="66"/>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7" w:name="_Toc19089897"/>
      <w:r>
        <w:rPr>
          <w:rFonts w:hint="eastAsia" w:ascii="仿宋_GB2312" w:hAnsi="仿宋_GB2312" w:eastAsia="仿宋_GB2312" w:cs="仿宋_GB2312"/>
          <w:b w:val="0"/>
          <w:bCs w:val="0"/>
          <w:color w:val="auto"/>
          <w:kern w:val="2"/>
          <w:sz w:val="28"/>
          <w:szCs w:val="28"/>
          <w:highlight w:val="none"/>
          <w:lang w:val="en-US" w:eastAsia="zh-CN" w:bidi="ar-SA"/>
        </w:rPr>
        <w:t>十二、政府性基金预算财政拨款“三公”经费支出决算表</w:t>
      </w:r>
      <w:bookmarkEnd w:id="67"/>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68" w:name="_Toc19089898"/>
      <w:r>
        <w:rPr>
          <w:rFonts w:hint="eastAsia" w:ascii="仿宋_GB2312" w:hAnsi="仿宋_GB2312" w:eastAsia="仿宋_GB2312" w:cs="仿宋_GB2312"/>
          <w:b w:val="0"/>
          <w:bCs w:val="0"/>
          <w:color w:val="auto"/>
          <w:kern w:val="2"/>
          <w:sz w:val="28"/>
          <w:szCs w:val="28"/>
          <w:highlight w:val="none"/>
          <w:lang w:val="en-US" w:eastAsia="zh-CN" w:bidi="ar-SA"/>
        </w:rPr>
        <w:t>十三、国有资本经营预算支出决算表</w:t>
      </w:r>
      <w:bookmarkEnd w:id="68"/>
    </w:p>
    <w:p>
      <w:pPr>
        <w:ind w:firstLine="2240" w:firstLineChars="800"/>
        <w:rPr>
          <w:rFonts w:hint="eastAsia"/>
          <w:lang w:val="en-US" w:eastAsia="zh-CN"/>
        </w:rPr>
      </w:pPr>
      <w:r>
        <w:rPr>
          <w:rFonts w:hint="eastAsia" w:ascii="仿宋_GB2312" w:hAnsi="仿宋_GB2312" w:eastAsia="仿宋_GB2312" w:cs="仿宋_GB2312"/>
          <w:b w:val="0"/>
          <w:bCs w:val="0"/>
          <w:color w:val="auto"/>
          <w:kern w:val="2"/>
          <w:sz w:val="28"/>
          <w:szCs w:val="28"/>
          <w:highlight w:val="none"/>
          <w:lang w:val="en-US" w:eastAsia="zh-CN" w:bidi="ar-SA"/>
        </w:rPr>
        <w:t>（详见2023年部门决算报表）</w:t>
      </w:r>
    </w:p>
    <w:p>
      <w:pPr>
        <w:pStyle w:val="4"/>
        <w:rPr>
          <w:rFonts w:hint="eastAsia" w:eastAsia="仿宋"/>
          <w:color w:val="auto"/>
          <w:highlight w:val="none"/>
          <w:lang w:eastAsia="zh-CN"/>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D265D"/>
    <w:multiLevelType w:val="singleLevel"/>
    <w:tmpl w:val="9C8D265D"/>
    <w:lvl w:ilvl="0" w:tentative="0">
      <w:start w:val="7"/>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09AF2E34"/>
    <w:multiLevelType w:val="singleLevel"/>
    <w:tmpl w:val="09AF2E34"/>
    <w:lvl w:ilvl="0" w:tentative="0">
      <w:start w:val="1"/>
      <w:numFmt w:val="decimal"/>
      <w:suff w:val="space"/>
      <w:lvlText w:val="%1."/>
      <w:lvlJc w:val="left"/>
      <w:pPr>
        <w:ind w:left="200"/>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25F79E56"/>
    <w:multiLevelType w:val="singleLevel"/>
    <w:tmpl w:val="25F79E56"/>
    <w:lvl w:ilvl="0" w:tentative="0">
      <w:start w:val="4"/>
      <w:numFmt w:val="chineseCounting"/>
      <w:suff w:val="nothing"/>
      <w:lvlText w:val="%1、"/>
      <w:lvlJc w:val="left"/>
      <w:rPr>
        <w:rFonts w:hint="eastAsia"/>
      </w:rPr>
    </w:lvl>
  </w:abstractNum>
  <w:abstractNum w:abstractNumId="6">
    <w:nsid w:val="3818A09A"/>
    <w:multiLevelType w:val="singleLevel"/>
    <w:tmpl w:val="3818A09A"/>
    <w:lvl w:ilvl="0" w:tentative="0">
      <w:start w:val="1"/>
      <w:numFmt w:val="chineseCounting"/>
      <w:suff w:val="nothing"/>
      <w:lvlText w:val="%1、"/>
      <w:lvlJc w:val="left"/>
      <w:rPr>
        <w:rFonts w:hint="eastAsia"/>
      </w:rPr>
    </w:lvl>
  </w:abstractNum>
  <w:abstractNum w:abstractNumId="7">
    <w:nsid w:val="4C96E48F"/>
    <w:multiLevelType w:val="singleLevel"/>
    <w:tmpl w:val="4C96E48F"/>
    <w:lvl w:ilvl="0" w:tentative="0">
      <w:start w:val="3"/>
      <w:numFmt w:val="chineseCounting"/>
      <w:suff w:val="nothing"/>
      <w:lvlText w:val="（%1）"/>
      <w:lvlJc w:val="left"/>
      <w:rPr>
        <w:rFonts w:hint="eastAsia"/>
      </w:rPr>
    </w:lvl>
  </w:abstractNum>
  <w:num w:numId="1">
    <w:abstractNumId w:val="6"/>
  </w:num>
  <w:num w:numId="2">
    <w:abstractNumId w:val="5"/>
  </w:num>
  <w:num w:numId="3">
    <w:abstractNumId w:val="4"/>
  </w:num>
  <w:num w:numId="4">
    <w:abstractNumId w:val="3"/>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Y2U0YzhiZDg0ZmVjYjE1MDU4YWUzNzA4OWMwNj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65119AD"/>
    <w:rsid w:val="0A2032A3"/>
    <w:rsid w:val="0B8A37D8"/>
    <w:rsid w:val="10C055FF"/>
    <w:rsid w:val="118107EC"/>
    <w:rsid w:val="11DD6519"/>
    <w:rsid w:val="16BB723D"/>
    <w:rsid w:val="18015F3F"/>
    <w:rsid w:val="1BE8440E"/>
    <w:rsid w:val="1D155CEE"/>
    <w:rsid w:val="20AA6ADB"/>
    <w:rsid w:val="20F57F95"/>
    <w:rsid w:val="21B9307B"/>
    <w:rsid w:val="240371BF"/>
    <w:rsid w:val="25711CC6"/>
    <w:rsid w:val="25C741E6"/>
    <w:rsid w:val="27842671"/>
    <w:rsid w:val="29FD04D3"/>
    <w:rsid w:val="2A2B114A"/>
    <w:rsid w:val="2ABE7A3E"/>
    <w:rsid w:val="2CA234A8"/>
    <w:rsid w:val="2EFA178C"/>
    <w:rsid w:val="30B46D73"/>
    <w:rsid w:val="319F7F4E"/>
    <w:rsid w:val="383D272C"/>
    <w:rsid w:val="39AE70AB"/>
    <w:rsid w:val="3B173F5F"/>
    <w:rsid w:val="3C0C0783"/>
    <w:rsid w:val="3F4900B0"/>
    <w:rsid w:val="3F9F3A96"/>
    <w:rsid w:val="48BF60AB"/>
    <w:rsid w:val="48F0738F"/>
    <w:rsid w:val="493C27E9"/>
    <w:rsid w:val="496F39ED"/>
    <w:rsid w:val="49FF41D3"/>
    <w:rsid w:val="4BE068DB"/>
    <w:rsid w:val="4BF6002B"/>
    <w:rsid w:val="4ECE2238"/>
    <w:rsid w:val="51DB4B86"/>
    <w:rsid w:val="52CB1140"/>
    <w:rsid w:val="543C3030"/>
    <w:rsid w:val="55333C3E"/>
    <w:rsid w:val="60DC2CDC"/>
    <w:rsid w:val="64CA39A1"/>
    <w:rsid w:val="64FF3605"/>
    <w:rsid w:val="69630ADE"/>
    <w:rsid w:val="6C4A05C8"/>
    <w:rsid w:val="6D3B1A89"/>
    <w:rsid w:val="715A06B1"/>
    <w:rsid w:val="71BF4EC2"/>
    <w:rsid w:val="72734D90"/>
    <w:rsid w:val="7412278C"/>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971191344823248"/>
          <c:y val="0.0404717233985527"/>
          <c:w val="0.802166349721575"/>
          <c:h val="0.847475195631506"/>
        </c:manualLayout>
      </c:layout>
      <c:barChart>
        <c:barDir val="col"/>
        <c:grouping val="clustered"/>
        <c:varyColors val="false"/>
        <c:ser>
          <c:idx val="2"/>
          <c:order val="2"/>
          <c:tx>
            <c:strRef>
              <c:f>Sheet1!$B$1</c:f>
              <c:strCache>
                <c:ptCount val="1"/>
                <c:pt idx="0">
                  <c:v>收、支决算总计（万元）</c:v>
                </c:pt>
              </c:strCache>
            </c:strRef>
          </c:tx>
          <c:invertIfNegative val="false"/>
          <c:dLbls>
            <c:dLbl>
              <c:idx val="0"/>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rPr lang="en-US" altLang="zh-CN"/>
                      <a:t>730.62</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manualLayout>
                  <c:x val="-0.00248138957816377"/>
                  <c:y val="0.029040404040404"/>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rPr lang="en-US" altLang="zh-CN"/>
                      <a:t>649.07</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Sheet1!$A$2:$A$3</c:f>
              <c:strCache>
                <c:ptCount val="2"/>
                <c:pt idx="0">
                  <c:v>2022年</c:v>
                </c:pt>
                <c:pt idx="1">
                  <c:v>2023年</c:v>
                </c:pt>
              </c:strCache>
            </c:strRef>
          </c:cat>
          <c:val>
            <c:numRef>
              <c:f>Sheet1!$B$2:$B$3</c:f>
              <c:numCache>
                <c:formatCode>General</c:formatCode>
                <c:ptCount val="2"/>
                <c:pt idx="0">
                  <c:v>730.62</c:v>
                </c:pt>
                <c:pt idx="1">
                  <c:v>649.07</c:v>
                </c:pt>
              </c:numCache>
            </c:numRef>
          </c:val>
        </c:ser>
        <c:dLbls>
          <c:showLegendKey val="false"/>
          <c:showVal val="false"/>
          <c:showCatName val="false"/>
          <c:showSerName val="false"/>
          <c:showPercent val="false"/>
          <c:showBubbleSize val="false"/>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false"/>
                <c:dLbls>
                  <c:delete val="true"/>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false"/>
                <c:dLbls>
                  <c:delete val="true"/>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080"/>
        <c:crosses val="autoZero"/>
        <c:auto val="true"/>
        <c:lblAlgn val="ctr"/>
        <c:lblOffset val="100"/>
        <c:noMultiLvlLbl val="false"/>
      </c:catAx>
      <c:valAx>
        <c:axId val="41557708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spPr>
        <a:solidFill>
          <a:schemeClr val="bg1"/>
        </a:solidFill>
      </c:spPr>
    </c:plotArea>
    <c:legend>
      <c:legendPos val="r"/>
      <c:layout>
        <c:manualLayout>
          <c:xMode val="edge"/>
          <c:yMode val="edge"/>
          <c:x val="0.915012406947891"/>
          <c:y val="0.0671717171717172"/>
          <c:w val="0.0571960297766749"/>
          <c:h val="0.82979797979798"/>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spPr>
    <a:noFill/>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70671803515531"/>
          <c:y val="0.0590116153196646"/>
        </c:manualLayout>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支出数（万元）</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Lbls>
            <c:dLbl>
              <c:idx val="0"/>
              <c:layout>
                <c:manualLayout>
                  <c:x val="-0.208949461861863"/>
                  <c:y val="-0.177953594604882"/>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t>基本支出</a:t>
                    </a:r>
                    <a:r>
                      <a:rPr lang="en-US" altLang="zh-CN"/>
                      <a:t>612.35</a:t>
                    </a:r>
                    <a:r>
                      <a:rPr altLang="en-US"/>
                      <a:t>占</a:t>
                    </a:r>
                    <a:r>
                      <a:rPr lang="en-US" altLang="zh-CN"/>
                      <a:t>94.34</a:t>
                    </a:r>
                    <a:r>
                      <a:t>%</a:t>
                    </a:r>
                  </a:p>
                </c:rich>
              </c:tx>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0953252077998639"/>
                  <c:y val="0.0398301430137503"/>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t>项目支出</a:t>
                    </a:r>
                    <a:r>
                      <a:rPr lang="en-US" altLang="zh-CN"/>
                      <a:t>36.72  </a:t>
                    </a:r>
                    <a:r>
                      <a:rPr altLang="en-US"/>
                      <a:t>占</a:t>
                    </a:r>
                    <a:r>
                      <a:rPr lang="en-US" altLang="zh-CN"/>
                      <a:t>5.66</a:t>
                    </a:r>
                    <a:r>
                      <a:t>%</a:t>
                    </a:r>
                  </a:p>
                </c:rich>
              </c:tx>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2"/>
              <c:delete val="true"/>
            </c:dLbl>
            <c:dLbl>
              <c:idx val="3"/>
              <c:delete val="true"/>
            </c:dLbl>
            <c:dLbl>
              <c:idx val="4"/>
              <c:delete val="true"/>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false"/>
            <c:extLst>
              <c:ext xmlns:c15="http://schemas.microsoft.com/office/drawing/2012/chart" uri="{CE6537A1-D6FC-4f65-9D91-7224C49458BB}">
                <c15:layout/>
                <c15:showLeaderLines val="false"/>
                <c15:leaderLines/>
              </c:ext>
            </c:extLst>
          </c:dLbls>
          <c:cat>
            <c:strRef>
              <c:f>Sheet1!$A$2:$A$7</c:f>
              <c:strCache>
                <c:ptCount val="6"/>
                <c:pt idx="0">
                  <c:v>基本支出</c:v>
                </c:pt>
                <c:pt idx="1">
                  <c:v>项目支出</c:v>
                </c:pt>
                <c:pt idx="2">
                  <c:v>上缴上级支出</c:v>
                </c:pt>
                <c:pt idx="3">
                  <c:v>经营支出</c:v>
                </c:pt>
                <c:pt idx="4">
                  <c:v>对附属单位补助支出</c:v>
                </c:pt>
              </c:strCache>
            </c:strRef>
          </c:cat>
          <c:val>
            <c:numRef>
              <c:f>Sheet1!$B$2:$B$7</c:f>
              <c:numCache>
                <c:formatCode>General</c:formatCode>
                <c:ptCount val="6"/>
                <c:pt idx="0">
                  <c:v>612.35</c:v>
                </c:pt>
                <c:pt idx="1">
                  <c:v>36.72</c:v>
                </c:pt>
                <c:pt idx="2">
                  <c:v>0</c:v>
                </c:pt>
                <c:pt idx="3">
                  <c:v>0</c:v>
                </c:pt>
                <c:pt idx="4">
                  <c:v>0</c:v>
                </c:pt>
              </c:numCache>
            </c:numRef>
          </c:val>
        </c:ser>
        <c:ser>
          <c:idx val="1"/>
          <c:order val="1"/>
          <c:tx>
            <c:strRef>
              <c:f>Sheet1!$C$1</c:f>
              <c:strCache>
                <c:ptCount val="1"/>
                <c:pt idx="0">
                  <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Lbls>
            <c:delete val="true"/>
          </c:dLbls>
          <c:cat>
            <c:strRef>
              <c:f>Sheet1!$A$2:$A$7</c:f>
              <c:strCache>
                <c:ptCount val="6"/>
                <c:pt idx="0">
                  <c:v>基本支出</c:v>
                </c:pt>
                <c:pt idx="1">
                  <c:v>项目支出</c:v>
                </c:pt>
                <c:pt idx="2">
                  <c:v>上缴上级支出</c:v>
                </c:pt>
                <c:pt idx="3">
                  <c:v>经营支出</c:v>
                </c:pt>
                <c:pt idx="4">
                  <c:v>对附属单位补助支出</c:v>
                </c:pt>
              </c:strCache>
            </c:strRef>
          </c:cat>
          <c:val>
            <c:numRef>
              <c:f>Sheet1!$C$2:$C$7</c:f>
              <c:numCache>
                <c:formatCode>General</c:formatCode>
                <c:ptCount val="6"/>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64600715137068"/>
          <c:y val="0.0399322117759014"/>
          <c:w val="0.802166349721575"/>
          <c:h val="0.847475195631506"/>
        </c:manualLayout>
      </c:layout>
      <c:barChart>
        <c:barDir val="col"/>
        <c:grouping val="clustered"/>
        <c:varyColors val="false"/>
        <c:ser>
          <c:idx val="2"/>
          <c:order val="2"/>
          <c:tx>
            <c:strRef>
              <c:f>Sheet1!$B$1</c:f>
              <c:strCache>
                <c:ptCount val="1"/>
                <c:pt idx="0">
                  <c:v>收、支决算总计（万元）</c:v>
                </c:pt>
              </c:strCache>
            </c:strRef>
          </c:tx>
          <c:invertIfNegative val="false"/>
          <c:dLbls>
            <c:dLbl>
              <c:idx val="0"/>
              <c:layout>
                <c:manualLayout>
                  <c:x val="0"/>
                  <c:y val="0.0296296296296296"/>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rPr lang="en-US" altLang="zh-CN"/>
                      <a:t>727</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0119189511323004"/>
                  <c:y val="0.0265151515151515"/>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solidFill>
                        <a:latin typeface="+mn-lt"/>
                        <a:ea typeface="+mn-ea"/>
                        <a:cs typeface="+mn-cs"/>
                      </a:defRPr>
                    </a:pPr>
                    <a:r>
                      <a:rPr lang="en-US" altLang="zh-CN"/>
                      <a:t>637.72</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ext>
            </c:extLst>
          </c:dLbls>
          <c:cat>
            <c:strRef>
              <c:f>Sheet1!$A$2:$A$3</c:f>
              <c:strCache>
                <c:ptCount val="2"/>
                <c:pt idx="0">
                  <c:v>2022年</c:v>
                </c:pt>
                <c:pt idx="1">
                  <c:v>2023年</c:v>
                </c:pt>
              </c:strCache>
            </c:strRef>
          </c:cat>
          <c:val>
            <c:numRef>
              <c:f>Sheet1!$B$2:$B$3</c:f>
              <c:numCache>
                <c:formatCode>General</c:formatCode>
                <c:ptCount val="2"/>
                <c:pt idx="0">
                  <c:v>727</c:v>
                </c:pt>
                <c:pt idx="1">
                  <c:v>637.72</c:v>
                </c:pt>
              </c:numCache>
            </c:numRef>
          </c:val>
        </c:ser>
        <c:dLbls>
          <c:showLegendKey val="false"/>
          <c:showVal val="false"/>
          <c:showCatName val="false"/>
          <c:showSerName val="false"/>
          <c:showPercent val="false"/>
          <c:showBubbleSize val="false"/>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false"/>
                <c:dLbls>
                  <c:delete val="true"/>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false"/>
                <c:dLbls>
                  <c:delete val="true"/>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080"/>
        <c:crosses val="autoZero"/>
        <c:auto val="true"/>
        <c:lblAlgn val="ctr"/>
        <c:lblOffset val="100"/>
        <c:noMultiLvlLbl val="false"/>
      </c:catAx>
      <c:valAx>
        <c:axId val="41557708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spPr>
        <a:solidFill>
          <a:schemeClr val="bg1"/>
        </a:solidFill>
      </c:spPr>
    </c:plotArea>
    <c:legend>
      <c:legendPos val="r"/>
      <c:layout>
        <c:manualLayout>
          <c:xMode val="edge"/>
          <c:yMode val="edge"/>
          <c:x val="0.915012406947891"/>
          <c:y val="0.0671717171717172"/>
          <c:w val="0.0571960297766749"/>
          <c:h val="0.82979797979798"/>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spPr>
    <a:noFill/>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65233052764956"/>
          <c:y val="0.0405858267716535"/>
          <c:w val="0.800284188614354"/>
          <c:h val="0.78886209223847"/>
        </c:manualLayout>
      </c:layout>
      <c:barChart>
        <c:barDir val="col"/>
        <c:grouping val="clustered"/>
        <c:varyColors val="false"/>
        <c:ser>
          <c:idx val="0"/>
          <c:order val="0"/>
          <c:tx>
            <c:strRef>
              <c:f>Sheet1!$B$1</c:f>
              <c:strCache>
                <c:ptCount val="1"/>
                <c:pt idx="0">
                  <c:v>一般公共预算财政拨款支出</c:v>
                </c:pt>
              </c:strCache>
            </c:strRef>
          </c:tx>
          <c:invertIfNegative val="false"/>
          <c:dLbls>
            <c:dLbl>
              <c:idx val="0"/>
              <c:layout>
                <c:manualLayout>
                  <c:x val="-0.00400117285431494"/>
                  <c:y val="0.0243773021267884"/>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ysClr val="windowText" lastClr="000000"/>
                        </a:solidFill>
                        <a:latin typeface="+mn-lt"/>
                        <a:ea typeface="+mn-ea"/>
                        <a:cs typeface="+mn-cs"/>
                      </a:defRPr>
                    </a:pPr>
                    <a:r>
                      <a:rPr>
                        <a:solidFill>
                          <a:sysClr val="windowText" lastClr="000000"/>
                        </a:solidFill>
                      </a:rPr>
                      <a:t>一般公共预算财政拨款支出, </a:t>
                    </a:r>
                    <a:r>
                      <a:rPr lang="en-US" altLang="zh-CN">
                        <a:solidFill>
                          <a:sysClr val="windowText" lastClr="000000"/>
                        </a:solidFill>
                      </a:rPr>
                      <a:t>727</a:t>
                    </a:r>
                    <a:endParaRPr lang="en-US" altLang="zh-CN">
                      <a:solidFill>
                        <a:sysClr val="windowText" lastClr="000000"/>
                      </a:solidFill>
                    </a:endParaRPr>
                  </a:p>
                </c:rich>
              </c:tx>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dLbl>
              <c:idx val="1"/>
              <c:layout>
                <c:manualLayout>
                  <c:x val="0.00366166239472721"/>
                  <c:y val="0.0196571090747852"/>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ysClr val="windowText" lastClr="000000"/>
                        </a:solidFill>
                        <a:latin typeface="+mn-lt"/>
                        <a:ea typeface="+mn-ea"/>
                        <a:cs typeface="+mn-cs"/>
                      </a:defRPr>
                    </a:pPr>
                    <a:r>
                      <a:rPr>
                        <a:solidFill>
                          <a:sysClr val="windowText" lastClr="000000"/>
                        </a:solidFill>
                      </a:rPr>
                      <a:t>一般公共预算财政拨款支出,</a:t>
                    </a:r>
                    <a:r>
                      <a:rPr lang="en-US" altLang="zh-CN">
                        <a:solidFill>
                          <a:sysClr val="windowText" lastClr="000000"/>
                        </a:solidFill>
                      </a:rPr>
                      <a:t>637.72</a:t>
                    </a:r>
                    <a:endParaRPr lang="en-US" altLang="zh-CN">
                      <a:solidFill>
                        <a:sysClr val="windowText" lastClr="000000"/>
                      </a:solidFill>
                    </a:endParaRPr>
                  </a:p>
                </c:rich>
              </c:tx>
              <c:dLblPos val="outEnd"/>
              <c:showLegendKey val="false"/>
              <c:showVal val="true"/>
              <c:showCatName val="false"/>
              <c:showSerName val="true"/>
              <c:showPercent val="false"/>
              <c:showBubbleSize val="false"/>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true"/>
              <a:lstStyle/>
              <a:p>
                <a:pPr>
                  <a:defRPr lang="zh-CN" sz="1000" b="0" i="0" u="none" strike="noStrike" kern="1200" baseline="0">
                    <a:solidFill>
                      <a:sysClr val="windowText" lastClr="000000"/>
                    </a:solidFill>
                    <a:latin typeface="+mn-lt"/>
                    <a:ea typeface="+mn-ea"/>
                    <a:cs typeface="+mn-cs"/>
                  </a:defRPr>
                </a:pPr>
              </a:p>
            </c:txPr>
            <c:dLblPos val="outEnd"/>
            <c:showLegendKey val="false"/>
            <c:showVal val="true"/>
            <c:showCatName val="false"/>
            <c:showSerName val="true"/>
            <c:showPercent val="false"/>
            <c:showBubbleSize val="false"/>
            <c:showLeaderLines val="false"/>
            <c:extLst>
              <c:ext xmlns:c15="http://schemas.microsoft.com/office/drawing/2012/chart" uri="{CE6537A1-D6FC-4f65-9D91-7224C49458BB}">
                <c15:layout/>
                <c15:showLeaderLines val="false"/>
                <c15:leaderLines/>
              </c:ext>
            </c:extLst>
          </c:dLbls>
          <c:trendline>
            <c:trendlineType val="exp"/>
            <c:dispRSqr val="false"/>
            <c:dispEq val="false"/>
          </c:trendline>
          <c:cat>
            <c:strRef>
              <c:f>Sheet1!$A$2:$A$3</c:f>
              <c:strCache>
                <c:ptCount val="2"/>
                <c:pt idx="0">
                  <c:v>2022年</c:v>
                </c:pt>
                <c:pt idx="1">
                  <c:v>2023年</c:v>
                </c:pt>
              </c:strCache>
            </c:strRef>
          </c:cat>
          <c:val>
            <c:numRef>
              <c:f>Sheet1!$B$2:$B$3</c:f>
              <c:numCache>
                <c:formatCode>General</c:formatCode>
                <c:ptCount val="2"/>
                <c:pt idx="0">
                  <c:v>727</c:v>
                </c:pt>
                <c:pt idx="1">
                  <c:v>637.72</c:v>
                </c:pt>
              </c:numCache>
            </c:numRef>
          </c:val>
        </c:ser>
        <c:dLbls>
          <c:showLegendKey val="false"/>
          <c:showVal val="false"/>
          <c:showCatName val="false"/>
          <c:showSerName val="false"/>
          <c:showPercent val="false"/>
          <c:showBubbleSize val="false"/>
        </c:dLbls>
        <c:gapWidth val="150"/>
        <c:axId val="534898928"/>
        <c:axId val="534899320"/>
      </c:barChart>
      <c:catAx>
        <c:axId val="534898928"/>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ysClr val="windowText" lastClr="000000"/>
                </a:solidFill>
                <a:latin typeface="+mn-lt"/>
                <a:ea typeface="+mn-ea"/>
                <a:cs typeface="+mn-cs"/>
              </a:defRPr>
            </a:pPr>
          </a:p>
        </c:txPr>
        <c:crossAx val="534899320"/>
        <c:crosses val="autoZero"/>
        <c:auto val="true"/>
        <c:lblAlgn val="ctr"/>
        <c:lblOffset val="100"/>
        <c:noMultiLvlLbl val="false"/>
      </c:catAx>
      <c:valAx>
        <c:axId val="53489932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ysClr val="windowText" lastClr="000000"/>
                </a:solidFill>
                <a:latin typeface="+mn-lt"/>
                <a:ea typeface="+mn-ea"/>
                <a:cs typeface="+mn-cs"/>
              </a:defRPr>
            </a:pPr>
          </a:p>
        </c:txPr>
        <c:crossAx val="534898928"/>
        <c:crosses val="autoZero"/>
        <c:crossBetween val="between"/>
      </c:valAx>
    </c:plotArea>
    <c:plotVisOnly val="true"/>
    <c:dispBlanksAs val="gap"/>
    <c:showDLblsOverMax val="false"/>
  </c:chart>
  <c:txPr>
    <a:bodyPr/>
    <a:lstStyle/>
    <a:p>
      <a:pPr>
        <a:defRPr lang="zh-CN">
          <a:solidFill>
            <a:sysClr val="windowText" lastClr="000000"/>
          </a:solidFill>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45101663585952"/>
          <c:y val="0.0221099178774479"/>
        </c:manualLayout>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一般公共预算财政拨款支出（万元）</c:v>
                </c:pt>
              </c:strCache>
            </c:strRef>
          </c:tx>
          <c:explosion val="0"/>
          <c:dPt>
            <c:idx val="0"/>
            <c:bubble3D val="false"/>
          </c:dPt>
          <c:dPt>
            <c:idx val="1"/>
            <c:bubble3D val="false"/>
            <c:explosion val="32"/>
          </c:dPt>
          <c:dPt>
            <c:idx val="2"/>
            <c:bubble3D val="false"/>
          </c:dPt>
          <c:dPt>
            <c:idx val="3"/>
            <c:bubble3D val="false"/>
          </c:dPt>
          <c:dLbls>
            <c:dLbl>
              <c:idx val="0"/>
              <c:delete val="true"/>
            </c:dLbl>
            <c:dLbl>
              <c:idx val="1"/>
              <c:layout>
                <c:manualLayout>
                  <c:x val="0.240385691625786"/>
                  <c:y val="-0.0347655478715211"/>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2"/>
              <c:delete val="true"/>
            </c:dLbl>
            <c:dLbl>
              <c:idx val="3"/>
              <c:layout>
                <c:manualLayout>
                  <c:x val="-0.106962761587261"/>
                  <c:y val="0.0993265198595242"/>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527.41</c:v>
                </c:pt>
                <c:pt idx="1">
                  <c:v>56.66</c:v>
                </c:pt>
                <c:pt idx="2">
                  <c:v>24.42</c:v>
                </c:pt>
                <c:pt idx="3">
                  <c:v>29.23</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8804</Words>
  <Characters>9285</Characters>
  <Lines>61</Lines>
  <Paragraphs>17</Paragraphs>
  <TotalTime>43</TotalTime>
  <ScaleCrop>false</ScaleCrop>
  <LinksUpToDate>false</LinksUpToDate>
  <CharactersWithSpaces>9363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2023-07-31T10:35:00Z</cp:lastPrinted>
  <dcterms:modified xsi:type="dcterms:W3CDTF">2024-10-16T08:15:16Z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B332C4CAC1CD4AD6B660F4D6DACD57D0_13</vt:lpwstr>
  </property>
</Properties>
</file>