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D9E1">
      <w:pPr>
        <w:spacing w:line="600" w:lineRule="exact"/>
        <w:jc w:val="left"/>
        <w:outlineLvl w:val="0"/>
        <w:rPr>
          <w:rFonts w:hint="eastAsia" w:ascii="方正小标宋简体" w:hAnsi="宋体" w:eastAsia="方正小标宋简体"/>
          <w:szCs w:val="21"/>
        </w:rPr>
      </w:pPr>
      <w:bookmarkStart w:id="0" w:name="_Toc15306267"/>
    </w:p>
    <w:p w14:paraId="72C1739D">
      <w:pPr>
        <w:spacing w:line="600" w:lineRule="exact"/>
        <w:jc w:val="center"/>
        <w:outlineLvl w:val="0"/>
        <w:rPr>
          <w:rFonts w:hint="eastAsia" w:ascii="方正小标宋简体" w:hAnsi="宋体" w:eastAsia="方正小标宋简体"/>
          <w:sz w:val="72"/>
          <w:szCs w:val="72"/>
        </w:rPr>
      </w:pPr>
    </w:p>
    <w:p w14:paraId="027D36F0">
      <w:pPr>
        <w:spacing w:line="600" w:lineRule="exact"/>
        <w:jc w:val="center"/>
        <w:outlineLvl w:val="0"/>
        <w:rPr>
          <w:rFonts w:hint="eastAsia" w:ascii="方正小标宋简体" w:hAnsi="宋体" w:eastAsia="方正小标宋简体"/>
          <w:sz w:val="72"/>
          <w:szCs w:val="72"/>
        </w:rPr>
      </w:pPr>
    </w:p>
    <w:p w14:paraId="18B1540E">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65F25FC6">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广元市利州区杨家浩小学</w:t>
      </w:r>
    </w:p>
    <w:p w14:paraId="1E5112BD">
      <w:pPr>
        <w:widowControl/>
        <w:jc w:val="center"/>
        <w:rPr>
          <w:rFonts w:hint="eastAsia" w:ascii="方正小标宋简体" w:hAnsi="宋体" w:eastAsia="方正小标宋简体"/>
          <w:sz w:val="36"/>
          <w:szCs w:val="36"/>
        </w:rPr>
      </w:pPr>
      <w:bookmarkStart w:id="6" w:name="_Toc19089860"/>
      <w:r>
        <w:rPr>
          <w:rFonts w:hint="eastAsia" w:ascii="方正小标宋简体" w:hAnsi="宋体" w:eastAsia="方正小标宋简体"/>
          <w:sz w:val="72"/>
          <w:szCs w:val="72"/>
        </w:rPr>
        <w:t>单位决算</w:t>
      </w:r>
      <w:bookmarkEnd w:id="6"/>
    </w:p>
    <w:p w14:paraId="27488E0A">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57DE402">
      <w:pPr>
        <w:widowControl/>
        <w:jc w:val="center"/>
        <w:rPr>
          <w:rFonts w:hint="eastAsia" w:ascii="黑体" w:hAnsi="黑体" w:eastAsia="黑体" w:cstheme="minorBidi"/>
          <w:sz w:val="28"/>
          <w:szCs w:val="28"/>
        </w:rPr>
      </w:pPr>
    </w:p>
    <w:p w14:paraId="69A0FA6A">
      <w:pPr>
        <w:pStyle w:val="8"/>
        <w:rPr>
          <w:rFonts w:hint="eastAsia"/>
        </w:rPr>
      </w:pPr>
      <w:r>
        <w:rPr>
          <w:rFonts w:hint="eastAsia"/>
        </w:rPr>
        <w:t xml:space="preserve">公开时间：2024年10 月 </w:t>
      </w:r>
      <w:r>
        <w:rPr>
          <w:rFonts w:hint="eastAsia"/>
          <w:lang w:val="en-US" w:eastAsia="zh-CN"/>
        </w:rPr>
        <w:t>14</w:t>
      </w:r>
      <w:r>
        <w:rPr>
          <w:rFonts w:hint="eastAsia"/>
        </w:rPr>
        <w:t>日</w:t>
      </w:r>
    </w:p>
    <w:p w14:paraId="5FB39E9B"/>
    <w:p w14:paraId="08D881F2">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第一部分 单位概况……………………………………………………1</w:t>
      </w:r>
    </w:p>
    <w:p w14:paraId="74FDC806">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一、主要职责…………………………………………………………1</w:t>
      </w:r>
    </w:p>
    <w:p w14:paraId="6E27E381">
      <w:pPr>
        <w:widowControl/>
        <w:snapToGrid w:val="0"/>
        <w:spacing w:line="540" w:lineRule="exact"/>
        <w:jc w:val="distribute"/>
        <w:rPr>
          <w:rFonts w:hint="eastAsia" w:ascii="仿宋" w:hAnsi="仿宋" w:eastAsia="仿宋" w:cs="仿宋"/>
          <w:sz w:val="28"/>
          <w:szCs w:val="28"/>
          <w:lang w:val="en-US" w:eastAsia="zh-CN"/>
        </w:rPr>
      </w:pPr>
      <w:r>
        <w:rPr>
          <w:rFonts w:hint="eastAsia" w:ascii="仿宋" w:hAnsi="仿宋" w:eastAsia="仿宋" w:cs="仿宋"/>
          <w:sz w:val="28"/>
          <w:szCs w:val="28"/>
        </w:rPr>
        <w:t>二、机构设置……………………………………………………………</w:t>
      </w:r>
      <w:r>
        <w:rPr>
          <w:rFonts w:hint="eastAsia" w:ascii="仿宋" w:hAnsi="仿宋" w:eastAsia="仿宋" w:cs="仿宋"/>
          <w:sz w:val="28"/>
          <w:szCs w:val="28"/>
          <w:lang w:val="en-US" w:eastAsia="zh-CN"/>
        </w:rPr>
        <w:t>2</w:t>
      </w:r>
      <w:r>
        <w:rPr>
          <w:rFonts w:hint="eastAsia" w:ascii="仿宋" w:hAnsi="仿宋" w:eastAsia="仿宋" w:cs="仿宋"/>
          <w:sz w:val="28"/>
          <w:szCs w:val="28"/>
        </w:rPr>
        <w:t>第二部分 2023年度单位决算情况说明………………………………</w:t>
      </w:r>
      <w:r>
        <w:rPr>
          <w:rFonts w:hint="eastAsia" w:ascii="仿宋" w:hAnsi="仿宋" w:eastAsia="仿宋" w:cs="仿宋"/>
          <w:sz w:val="28"/>
          <w:szCs w:val="28"/>
          <w:lang w:val="en-US" w:eastAsia="zh-CN"/>
        </w:rPr>
        <w:t>3</w:t>
      </w:r>
    </w:p>
    <w:p w14:paraId="0B4FAFF9">
      <w:pPr>
        <w:widowControl/>
        <w:snapToGrid w:val="0"/>
        <w:spacing w:line="540" w:lineRule="exact"/>
        <w:jc w:val="distribute"/>
        <w:rPr>
          <w:rFonts w:hint="eastAsia" w:ascii="仿宋" w:hAnsi="仿宋" w:eastAsia="仿宋" w:cs="仿宋"/>
          <w:sz w:val="28"/>
          <w:szCs w:val="28"/>
          <w:lang w:eastAsia="zh-CN"/>
        </w:rPr>
      </w:pPr>
      <w:r>
        <w:rPr>
          <w:rFonts w:hint="eastAsia" w:ascii="仿宋" w:hAnsi="仿宋" w:eastAsia="仿宋" w:cs="仿宋"/>
          <w:sz w:val="28"/>
          <w:szCs w:val="28"/>
        </w:rPr>
        <w:t>一、收入支出决算总体情况说明………………………………………</w:t>
      </w:r>
      <w:r>
        <w:rPr>
          <w:rFonts w:hint="eastAsia" w:ascii="仿宋" w:hAnsi="仿宋" w:eastAsia="仿宋" w:cs="仿宋"/>
          <w:sz w:val="28"/>
          <w:szCs w:val="28"/>
          <w:lang w:val="en-US" w:eastAsia="zh-CN"/>
        </w:rPr>
        <w:t>3</w:t>
      </w:r>
    </w:p>
    <w:p w14:paraId="0B1E8A59">
      <w:pPr>
        <w:widowControl/>
        <w:snapToGrid w:val="0"/>
        <w:spacing w:line="540" w:lineRule="exact"/>
        <w:jc w:val="distribute"/>
        <w:rPr>
          <w:rFonts w:hint="eastAsia" w:ascii="仿宋" w:hAnsi="仿宋" w:eastAsia="仿宋" w:cs="仿宋"/>
          <w:sz w:val="28"/>
          <w:szCs w:val="28"/>
          <w:lang w:eastAsia="zh-CN"/>
        </w:rPr>
      </w:pPr>
      <w:r>
        <w:rPr>
          <w:rFonts w:hint="eastAsia" w:ascii="仿宋" w:hAnsi="仿宋" w:eastAsia="仿宋" w:cs="仿宋"/>
          <w:sz w:val="28"/>
          <w:szCs w:val="28"/>
        </w:rPr>
        <w:t>二、收入决算情况说明………………………………………………</w:t>
      </w:r>
      <w:r>
        <w:rPr>
          <w:rFonts w:hint="eastAsia" w:ascii="仿宋" w:hAnsi="仿宋" w:eastAsia="仿宋" w:cs="仿宋"/>
          <w:sz w:val="28"/>
          <w:szCs w:val="28"/>
          <w:lang w:val="en-US" w:eastAsia="zh-CN"/>
        </w:rPr>
        <w:t>3</w:t>
      </w:r>
    </w:p>
    <w:p w14:paraId="2DAE3639">
      <w:pPr>
        <w:widowControl/>
        <w:snapToGrid w:val="0"/>
        <w:spacing w:line="540" w:lineRule="exact"/>
        <w:jc w:val="distribute"/>
        <w:rPr>
          <w:rFonts w:hint="eastAsia" w:ascii="仿宋" w:hAnsi="仿宋" w:eastAsia="仿宋" w:cs="仿宋"/>
          <w:sz w:val="28"/>
          <w:szCs w:val="28"/>
          <w:lang w:eastAsia="zh-CN"/>
        </w:rPr>
      </w:pPr>
      <w:r>
        <w:rPr>
          <w:rFonts w:hint="eastAsia" w:ascii="仿宋" w:hAnsi="仿宋" w:eastAsia="仿宋" w:cs="仿宋"/>
          <w:sz w:val="28"/>
          <w:szCs w:val="28"/>
        </w:rPr>
        <w:t>三、支出决算情况说明………………………………………………</w:t>
      </w:r>
      <w:r>
        <w:rPr>
          <w:rFonts w:hint="eastAsia" w:ascii="仿宋" w:hAnsi="仿宋" w:eastAsia="仿宋" w:cs="仿宋"/>
          <w:sz w:val="28"/>
          <w:szCs w:val="28"/>
          <w:lang w:val="en-US" w:eastAsia="zh-CN"/>
        </w:rPr>
        <w:t>4</w:t>
      </w:r>
    </w:p>
    <w:p w14:paraId="0F6303E6">
      <w:pPr>
        <w:widowControl/>
        <w:snapToGrid w:val="0"/>
        <w:spacing w:line="540" w:lineRule="exact"/>
        <w:jc w:val="distribute"/>
        <w:rPr>
          <w:rFonts w:hint="eastAsia" w:ascii="仿宋" w:hAnsi="仿宋" w:eastAsia="仿宋" w:cs="仿宋"/>
          <w:sz w:val="28"/>
          <w:szCs w:val="28"/>
          <w:lang w:eastAsia="zh-CN"/>
        </w:rPr>
      </w:pPr>
      <w:r>
        <w:rPr>
          <w:rFonts w:hint="eastAsia" w:ascii="仿宋" w:hAnsi="仿宋" w:eastAsia="仿宋" w:cs="仿宋"/>
          <w:sz w:val="28"/>
          <w:szCs w:val="28"/>
        </w:rPr>
        <w:t>四、财政拨款收入支出决算总体情况说明…………………………</w:t>
      </w:r>
      <w:r>
        <w:rPr>
          <w:rFonts w:hint="eastAsia" w:ascii="仿宋" w:hAnsi="仿宋" w:eastAsia="仿宋" w:cs="仿宋"/>
          <w:sz w:val="28"/>
          <w:szCs w:val="28"/>
          <w:lang w:val="en-US" w:eastAsia="zh-CN"/>
        </w:rPr>
        <w:t>5</w:t>
      </w:r>
    </w:p>
    <w:p w14:paraId="64994434">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五、一般公共预算财政拨款支出决算情况说明……………………5</w:t>
      </w:r>
    </w:p>
    <w:p w14:paraId="66DA5AD3">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六、一般公共预算财政拨款基本支出决算情况说明…………………7</w:t>
      </w:r>
    </w:p>
    <w:p w14:paraId="61DB4BFC">
      <w:pPr>
        <w:widowControl/>
        <w:snapToGrid w:val="0"/>
        <w:spacing w:line="540" w:lineRule="exact"/>
        <w:jc w:val="distribute"/>
        <w:rPr>
          <w:rFonts w:hint="eastAsia" w:ascii="仿宋" w:hAnsi="仿宋" w:eastAsia="仿宋" w:cs="仿宋"/>
          <w:sz w:val="28"/>
          <w:szCs w:val="28"/>
          <w:lang w:eastAsia="zh-CN"/>
        </w:rPr>
      </w:pPr>
      <w:r>
        <w:rPr>
          <w:rFonts w:hint="eastAsia" w:ascii="仿宋" w:hAnsi="仿宋" w:eastAsia="仿宋" w:cs="仿宋"/>
          <w:sz w:val="28"/>
          <w:szCs w:val="28"/>
        </w:rPr>
        <w:t>七、财政拨款“三公”经费支出决算情况说明……………………</w:t>
      </w:r>
      <w:r>
        <w:rPr>
          <w:rFonts w:hint="eastAsia" w:ascii="仿宋" w:hAnsi="仿宋" w:eastAsia="仿宋" w:cs="仿宋"/>
          <w:sz w:val="28"/>
          <w:szCs w:val="28"/>
          <w:lang w:val="en-US" w:eastAsia="zh-CN"/>
        </w:rPr>
        <w:t>8</w:t>
      </w:r>
    </w:p>
    <w:p w14:paraId="34FEDBA3">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八、政府性基金预算支出决算情况说明……………………9</w:t>
      </w:r>
    </w:p>
    <w:p w14:paraId="303CD4EE">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九、国有资本经营预算支出决算情况说明……………………9</w:t>
      </w:r>
    </w:p>
    <w:p w14:paraId="28C18AB3">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十、其他重要事项的情况说明…………………………………………9</w:t>
      </w:r>
    </w:p>
    <w:p w14:paraId="23F2BF82">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第三部分 名词解释……………………………………………………11</w:t>
      </w:r>
    </w:p>
    <w:p w14:paraId="32A9A6D5">
      <w:pPr>
        <w:widowControl/>
        <w:snapToGrid w:val="0"/>
        <w:spacing w:line="540" w:lineRule="exact"/>
        <w:jc w:val="distribute"/>
        <w:rPr>
          <w:rFonts w:hint="eastAsia" w:ascii="仿宋" w:hAnsi="仿宋" w:eastAsia="仿宋" w:cs="仿宋"/>
          <w:sz w:val="28"/>
          <w:szCs w:val="28"/>
        </w:rPr>
      </w:pPr>
      <w:r>
        <w:rPr>
          <w:rFonts w:hint="eastAsia" w:ascii="仿宋" w:hAnsi="仿宋" w:eastAsia="仿宋" w:cs="仿宋"/>
          <w:sz w:val="28"/>
          <w:szCs w:val="28"/>
        </w:rPr>
        <w:t>第四部分 附件………………………………………………………15</w:t>
      </w:r>
    </w:p>
    <w:p w14:paraId="31721398">
      <w:pPr>
        <w:spacing w:line="600" w:lineRule="exact"/>
        <w:ind w:firstLine="560" w:firstLineChars="200"/>
        <w:outlineLvl w:val="0"/>
      </w:pPr>
      <w:r>
        <w:rPr>
          <w:rFonts w:hint="eastAsia" w:ascii="仿宋" w:hAnsi="仿宋" w:eastAsia="仿宋" w:cs="仿宋"/>
          <w:sz w:val="28"/>
          <w:szCs w:val="28"/>
        </w:rPr>
        <w:t>部门预算项目支出绩效自评表（2023年度）</w:t>
      </w:r>
    </w:p>
    <w:p w14:paraId="00667C60">
      <w:pPr>
        <w:widowControl/>
        <w:snapToGrid w:val="0"/>
        <w:spacing w:line="540" w:lineRule="exact"/>
        <w:jc w:val="distribute"/>
        <w:rPr>
          <w:rFonts w:hint="eastAsia" w:ascii="仿宋" w:hAnsi="仿宋" w:eastAsia="仿宋" w:cs="仿宋"/>
          <w:sz w:val="28"/>
          <w:szCs w:val="28"/>
          <w:lang w:eastAsia="zh-CN"/>
        </w:rPr>
      </w:pPr>
      <w:r>
        <w:rPr>
          <w:rFonts w:hint="eastAsia" w:ascii="仿宋" w:hAnsi="仿宋" w:eastAsia="仿宋" w:cs="仿宋"/>
          <w:sz w:val="28"/>
          <w:szCs w:val="28"/>
        </w:rPr>
        <w:t>第五部分 附表…………………………………………………………1</w:t>
      </w:r>
      <w:r>
        <w:rPr>
          <w:rFonts w:hint="eastAsia" w:ascii="仿宋" w:hAnsi="仿宋" w:eastAsia="仿宋" w:cs="仿宋"/>
          <w:sz w:val="28"/>
          <w:szCs w:val="28"/>
          <w:lang w:val="en-US" w:eastAsia="zh-CN"/>
        </w:rPr>
        <w:t>6</w:t>
      </w:r>
    </w:p>
    <w:p w14:paraId="76BE0D4B">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一、收入支出决算总表</w:t>
      </w:r>
    </w:p>
    <w:p w14:paraId="7410ECB5">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二、收入决算表</w:t>
      </w:r>
    </w:p>
    <w:p w14:paraId="4855CAB9">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三、支出决算表</w:t>
      </w:r>
    </w:p>
    <w:p w14:paraId="1E4EF57F">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562CDE41">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五、财政拨款支出决算明细表</w:t>
      </w:r>
    </w:p>
    <w:p w14:paraId="12574AA5">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六、一般公共预算财政拨款支出决算表</w:t>
      </w:r>
    </w:p>
    <w:p w14:paraId="39D7460D">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七、一般公共预算财政拨款支出决算明细表</w:t>
      </w:r>
    </w:p>
    <w:p w14:paraId="12A73DB6">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八、一般公共预算财政拨款基本支出决算明细表</w:t>
      </w:r>
    </w:p>
    <w:p w14:paraId="34F7328E">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九、一般公共预算财政拨款项目支出决算表</w:t>
      </w:r>
    </w:p>
    <w:p w14:paraId="0A5B3759">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十、政府性基金预算财政拨款收入支出决算表</w:t>
      </w:r>
    </w:p>
    <w:p w14:paraId="686708ED">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十一、国有资本经营预算财政拨款收入支出决算表</w:t>
      </w:r>
    </w:p>
    <w:p w14:paraId="53CE63C2">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十二、国有资本经营预算财政拨款支出决算表</w:t>
      </w:r>
    </w:p>
    <w:p w14:paraId="2FD5E664">
      <w:pPr>
        <w:pStyle w:val="9"/>
        <w:adjustRightInd w:val="0"/>
        <w:snapToGrid w:val="0"/>
        <w:spacing w:line="440" w:lineRule="exact"/>
        <w:jc w:val="left"/>
        <w:rPr>
          <w:sz w:val="24"/>
        </w:rPr>
      </w:pPr>
      <w:r>
        <w:rPr>
          <w:rFonts w:hint="eastAsia" w:ascii="仿宋" w:hAnsi="仿宋" w:eastAsia="仿宋" w:cs="仿宋"/>
          <w:sz w:val="28"/>
          <w:szCs w:val="28"/>
        </w:rPr>
        <w:t>十三、财政拨款“三公”经费支出决算表</w:t>
      </w:r>
    </w:p>
    <w:p w14:paraId="4315834B">
      <w:pPr>
        <w:pStyle w:val="3"/>
        <w:jc w:val="center"/>
        <w:rPr>
          <w:rFonts w:hint="eastAsia" w:ascii="黑体" w:hAnsi="黑体" w:eastAsia="黑体"/>
          <w:b w:val="0"/>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7" w:name="_Toc15377196"/>
      <w:bookmarkStart w:id="8" w:name="_Toc15396599"/>
    </w:p>
    <w:p w14:paraId="254CC9FE">
      <w:pPr>
        <w:pStyle w:val="3"/>
        <w:jc w:val="center"/>
        <w:rPr>
          <w:rStyle w:val="13"/>
          <w:rFonts w:hint="eastAsia" w:ascii="黑体" w:hAnsi="黑体" w:eastAsia="黑体"/>
          <w:b/>
          <w:bCs w:val="0"/>
        </w:rPr>
      </w:pPr>
      <w:r>
        <w:rPr>
          <w:rFonts w:hint="eastAsia" w:ascii="黑体" w:hAnsi="黑体" w:eastAsia="黑体"/>
          <w:b w:val="0"/>
        </w:rPr>
        <w:t>第一部分 单位</w:t>
      </w:r>
      <w:r>
        <w:rPr>
          <w:rStyle w:val="13"/>
          <w:rFonts w:hint="eastAsia" w:ascii="黑体" w:hAnsi="黑体" w:eastAsia="黑体"/>
          <w:b w:val="0"/>
          <w:bCs w:val="0"/>
        </w:rPr>
        <w:t>概况</w:t>
      </w:r>
      <w:bookmarkEnd w:id="7"/>
      <w:bookmarkEnd w:id="8"/>
    </w:p>
    <w:p w14:paraId="0DEDCC80">
      <w:pPr>
        <w:widowControl/>
        <w:jc w:val="left"/>
        <w:rPr>
          <w:rFonts w:ascii="黑体" w:eastAsia="黑体"/>
          <w:sz w:val="32"/>
          <w:szCs w:val="32"/>
        </w:rPr>
      </w:pPr>
    </w:p>
    <w:p w14:paraId="76CAF8F4">
      <w:pPr>
        <w:pStyle w:val="4"/>
        <w:numPr>
          <w:ilvl w:val="0"/>
          <w:numId w:val="1"/>
        </w:numPr>
        <w:ind w:firstLine="0"/>
        <w:rPr>
          <w:rStyle w:val="14"/>
          <w:rFonts w:hint="eastAsia" w:ascii="黑体" w:hAnsi="黑体" w:eastAsia="黑体"/>
          <w:b w:val="0"/>
          <w:bCs w:val="0"/>
        </w:rPr>
      </w:pPr>
      <w:bookmarkStart w:id="9" w:name="_Toc15377197"/>
      <w:bookmarkStart w:id="10" w:name="_Toc15396600"/>
      <w:r>
        <w:rPr>
          <w:rStyle w:val="14"/>
          <w:rFonts w:hint="eastAsia" w:ascii="黑体" w:hAnsi="黑体" w:eastAsia="黑体"/>
          <w:b w:val="0"/>
          <w:bCs w:val="0"/>
        </w:rPr>
        <w:t>主要职责</w:t>
      </w:r>
    </w:p>
    <w:bookmarkEnd w:id="9"/>
    <w:bookmarkEnd w:id="10"/>
    <w:p w14:paraId="63BD9A28">
      <w:pPr>
        <w:snapToGrid w:val="0"/>
        <w:spacing w:line="560" w:lineRule="exact"/>
        <w:ind w:firstLine="640" w:firstLineChars="200"/>
        <w:outlineLvl w:val="2"/>
        <w:rPr>
          <w:rFonts w:hint="eastAsia" w:ascii="仿宋" w:hAnsi="仿宋" w:eastAsia="仿宋" w:cs="仿宋"/>
          <w:sz w:val="32"/>
          <w:szCs w:val="32"/>
        </w:rPr>
      </w:pPr>
      <w:bookmarkStart w:id="11" w:name="_Toc15377204"/>
      <w:bookmarkStart w:id="12" w:name="_Toc15396602"/>
      <w:r>
        <w:rPr>
          <w:rFonts w:hint="eastAsia" w:ascii="仿宋" w:hAnsi="仿宋" w:eastAsia="仿宋" w:cs="仿宋"/>
          <w:sz w:val="32"/>
          <w:szCs w:val="32"/>
        </w:rPr>
        <w:t>（一）负责贯彻党的教育方针，坚持社会主义办学方向，对学生进行德育、智育、体育、美育和劳动教育等方面的教育。</w:t>
      </w:r>
    </w:p>
    <w:p w14:paraId="7BCFD18F">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（二）负责配合各级人民政府依法动员适龄儿童、少年入学，严格控制学生辍学，依法保证适龄儿童、少年接受义务教育。</w:t>
      </w:r>
    </w:p>
    <w:p w14:paraId="6EA763C4">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（三）负责制定学校教育发展规划，并抓好组织实施和落实工作。</w:t>
      </w:r>
    </w:p>
    <w:p w14:paraId="26AB4A1E">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 xml:space="preserve">（四）负责按照教育主管部门发布的指导性教学计划、教学大纲，组织实施教育教学活动。 </w:t>
      </w:r>
    </w:p>
    <w:p w14:paraId="14473ABE">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（五）决定和实施本校的教学计划，组织教学评比、集体备课，对学生进行统一考核、考试等。负责依据国家主管部门有关教学计划、课程设置等方面的规定。</w:t>
      </w:r>
    </w:p>
    <w:p w14:paraId="0BA53656">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 xml:space="preserve">（六）负责学籍管理。 </w:t>
      </w:r>
    </w:p>
    <w:p w14:paraId="5C223444">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 xml:space="preserve">（七）负责聘任、培训、考核教师，依法奖励或处分有关教师和职工。 </w:t>
      </w:r>
    </w:p>
    <w:p w14:paraId="273C094B">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（八）负责科学管理、合理使用学校的设施和经费，并积极筹措资金，改善办学条件。</w:t>
      </w:r>
    </w:p>
    <w:p w14:paraId="453D4E00">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 xml:space="preserve">（九）负责维护学校、师生的合法权益，有权拒绝任何组织和个人对教育教学活动进行非法干涉。 </w:t>
      </w:r>
    </w:p>
    <w:p w14:paraId="5BE621FA">
      <w:pPr>
        <w:snapToGrid w:val="0"/>
        <w:spacing w:line="560" w:lineRule="exact"/>
        <w:ind w:firstLine="640" w:firstLineChars="200"/>
        <w:outlineLvl w:val="2"/>
      </w:pPr>
      <w:r>
        <w:rPr>
          <w:rFonts w:hint="eastAsia" w:ascii="仿宋" w:hAnsi="仿宋" w:eastAsia="仿宋" w:cs="仿宋"/>
          <w:sz w:val="32"/>
          <w:szCs w:val="32"/>
        </w:rPr>
        <w:t>（十）依法接受各级教育行政部门的检查指导和人民群众的监督。</w:t>
      </w:r>
    </w:p>
    <w:p w14:paraId="26B254B4">
      <w:pPr>
        <w:pStyle w:val="4"/>
        <w:rPr>
          <w:rFonts w:hint="eastAsia" w:ascii="黑体" w:hAnsi="黑体" w:eastAsia="黑体"/>
          <w:b w:val="0"/>
        </w:rPr>
      </w:pPr>
      <w:r>
        <w:rPr>
          <w:rFonts w:hint="eastAsia" w:ascii="黑体" w:hAnsi="黑体" w:eastAsia="黑体"/>
          <w:b w:val="0"/>
        </w:rPr>
        <w:t>二、机构设置</w:t>
      </w:r>
    </w:p>
    <w:p w14:paraId="226851E9">
      <w:pPr>
        <w:pStyle w:val="4"/>
        <w:ind w:firstLine="640" w:firstLineChars="200"/>
        <w:rPr>
          <w:rFonts w:hint="eastAsia" w:ascii="仿宋" w:hAnsi="仿宋" w:eastAsia="仿宋" w:cs="仿宋"/>
          <w:b w:val="0"/>
          <w:bCs w:val="0"/>
        </w:rPr>
      </w:pPr>
      <w:r>
        <w:rPr>
          <w:rFonts w:hint="eastAsia" w:ascii="仿宋" w:hAnsi="仿宋" w:eastAsia="仿宋" w:cs="仿宋"/>
          <w:b w:val="0"/>
          <w:bCs w:val="0"/>
        </w:rPr>
        <w:t>1、杨家浩小学是经利州区编制委员会批准成立的，隶属区教育局领导下的一所完全小学校。主要职能：实施小学义务教育，小学学历教育。</w:t>
      </w:r>
    </w:p>
    <w:p w14:paraId="42C2F294">
      <w:pPr>
        <w:widowControl/>
        <w:ind w:firstLine="640" w:firstLineChars="200"/>
        <w:jc w:val="left"/>
        <w:rPr>
          <w:rFonts w:hint="eastAsia" w:ascii="黑体" w:hAnsi="黑体" w:eastAsia="黑体"/>
          <w:bCs/>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仿宋" w:hAnsi="仿宋" w:eastAsia="仿宋" w:cs="仿宋"/>
          <w:sz w:val="32"/>
          <w:szCs w:val="32"/>
        </w:rPr>
        <w:t>2、杨家浩小学是区编制委员会命名的独立法人机构，为经费独立核算。内设6个部门：办公室、教务处、教科室、德育处、总务处、安办技装室。</w:t>
      </w:r>
    </w:p>
    <w:p w14:paraId="08A53AF7">
      <w:pPr>
        <w:pStyle w:val="3"/>
        <w:ind w:right="440"/>
        <w:jc w:val="center"/>
        <w:rPr>
          <w:rStyle w:val="13"/>
          <w:rFonts w:hint="eastAsia" w:ascii="黑体" w:hAnsi="黑体" w:eastAsia="黑体"/>
          <w:b w:val="0"/>
          <w:bCs/>
        </w:rPr>
      </w:pPr>
      <w:r>
        <w:rPr>
          <w:rFonts w:hint="eastAsia" w:ascii="黑体" w:hAnsi="黑体" w:eastAsia="黑体"/>
          <w:b w:val="0"/>
        </w:rPr>
        <w:t>第二部分 2023年度</w:t>
      </w:r>
      <w:r>
        <w:rPr>
          <w:rStyle w:val="13"/>
          <w:rFonts w:hint="eastAsia" w:ascii="黑体" w:hAnsi="黑体" w:eastAsia="黑体"/>
          <w:b w:val="0"/>
          <w:bCs/>
        </w:rPr>
        <w:t>单位决算情况说明</w:t>
      </w:r>
      <w:bookmarkEnd w:id="11"/>
      <w:bookmarkEnd w:id="12"/>
    </w:p>
    <w:p w14:paraId="45D3C95B"/>
    <w:p w14:paraId="68E087AA">
      <w:pPr>
        <w:pStyle w:val="15"/>
        <w:numPr>
          <w:ilvl w:val="0"/>
          <w:numId w:val="2"/>
        </w:numPr>
        <w:spacing w:line="600" w:lineRule="exact"/>
        <w:ind w:firstLineChars="0"/>
        <w:outlineLvl w:val="1"/>
        <w:rPr>
          <w:rStyle w:val="14"/>
          <w:rFonts w:hint="eastAsia" w:ascii="黑体" w:hAnsi="黑体" w:eastAsia="黑体"/>
          <w:b w:val="0"/>
        </w:rPr>
      </w:pPr>
      <w:bookmarkStart w:id="13" w:name="_Toc15396603"/>
      <w:bookmarkStart w:id="14" w:name="_Toc15377205"/>
      <w:r>
        <w:rPr>
          <w:rFonts w:hint="eastAsia" w:ascii="黑体" w:hAnsi="黑体" w:eastAsia="黑体"/>
          <w:sz w:val="32"/>
          <w:szCs w:val="32"/>
        </w:rPr>
        <w:t>收</w:t>
      </w:r>
      <w:r>
        <w:rPr>
          <w:rStyle w:val="14"/>
          <w:rFonts w:hint="eastAsia" w:ascii="黑体" w:hAnsi="黑体" w:eastAsia="黑体"/>
          <w:b w:val="0"/>
        </w:rPr>
        <w:t>入支出决算总体情况说明</w:t>
      </w:r>
      <w:bookmarkEnd w:id="13"/>
      <w:bookmarkEnd w:id="14"/>
    </w:p>
    <w:p w14:paraId="08C17C4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2023年度收、支总计414.72万元。与2022年度相比，收、支总计（413.47）增加1.25万元，增长0.03</w:t>
      </w:r>
      <w:r>
        <w:rPr>
          <w:rFonts w:ascii="仿宋" w:hAnsi="仿宋" w:eastAsia="仿宋"/>
          <w:sz w:val="32"/>
          <w:szCs w:val="32"/>
        </w:rPr>
        <w:t>%</w:t>
      </w:r>
      <w:r>
        <w:rPr>
          <w:rFonts w:hint="eastAsia" w:ascii="仿宋" w:hAnsi="仿宋" w:eastAsia="仿宋"/>
          <w:sz w:val="32"/>
          <w:szCs w:val="32"/>
        </w:rPr>
        <w:t>。主要变动原因是人员薪金正常增资。</w:t>
      </w:r>
    </w:p>
    <w:p w14:paraId="01C9320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E9194B5">
      <w:pPr>
        <w:pStyle w:val="5"/>
        <w:spacing w:before="93"/>
        <w:rPr>
          <w:sz w:val="32"/>
          <w:szCs w:val="32"/>
        </w:rPr>
      </w:pPr>
      <w:r>
        <w:rPr>
          <w:rFonts w:hint="eastAsia" w:eastAsiaTheme="minorEastAsia"/>
        </w:rPr>
        <w:drawing>
          <wp:inline distT="0" distB="0" distL="114300" distR="114300">
            <wp:extent cx="5143500" cy="322961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tretch>
                      <a:fillRect/>
                    </a:stretch>
                  </pic:blipFill>
                  <pic:spPr>
                    <a:xfrm>
                      <a:off x="0" y="0"/>
                      <a:ext cx="5143500" cy="3229610"/>
                    </a:xfrm>
                    <a:prstGeom prst="rect">
                      <a:avLst/>
                    </a:prstGeom>
                  </pic:spPr>
                </pic:pic>
              </a:graphicData>
            </a:graphic>
          </wp:inline>
        </w:drawing>
      </w:r>
    </w:p>
    <w:p w14:paraId="5202ACE3">
      <w:pPr>
        <w:pStyle w:val="15"/>
        <w:numPr>
          <w:ilvl w:val="0"/>
          <w:numId w:val="2"/>
        </w:numPr>
        <w:spacing w:line="600" w:lineRule="exact"/>
        <w:ind w:firstLineChars="0"/>
        <w:outlineLvl w:val="1"/>
        <w:rPr>
          <w:rStyle w:val="14"/>
          <w:rFonts w:hint="eastAsia" w:ascii="黑体" w:hAnsi="黑体" w:eastAsia="黑体"/>
          <w:b w:val="0"/>
        </w:rPr>
      </w:pPr>
      <w:bookmarkStart w:id="15" w:name="_Toc15396604"/>
      <w:bookmarkStart w:id="16" w:name="_Toc15377206"/>
      <w:r>
        <w:rPr>
          <w:rFonts w:hint="eastAsia" w:ascii="黑体" w:hAnsi="黑体" w:eastAsia="黑体"/>
          <w:sz w:val="32"/>
          <w:szCs w:val="32"/>
        </w:rPr>
        <w:t>收</w:t>
      </w:r>
      <w:r>
        <w:rPr>
          <w:rStyle w:val="14"/>
          <w:rFonts w:hint="eastAsia" w:ascii="黑体" w:hAnsi="黑体" w:eastAsia="黑体"/>
          <w:b w:val="0"/>
        </w:rPr>
        <w:t>入决算情况说明</w:t>
      </w:r>
      <w:bookmarkEnd w:id="15"/>
      <w:bookmarkEnd w:id="16"/>
    </w:p>
    <w:p w14:paraId="4BAF55BC">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23年本年收入合计414.72万元，其中：一般公共预算财政拨款收入404.48万元，占97.53</w:t>
      </w:r>
      <w:r>
        <w:rPr>
          <w:rFonts w:ascii="仿宋" w:hAnsi="仿宋" w:eastAsia="仿宋"/>
          <w:sz w:val="32"/>
          <w:szCs w:val="32"/>
        </w:rPr>
        <w:t>%</w:t>
      </w:r>
      <w:r>
        <w:rPr>
          <w:rFonts w:hint="eastAsia" w:ascii="仿宋" w:hAnsi="仿宋" w:eastAsia="仿宋"/>
          <w:sz w:val="32"/>
          <w:szCs w:val="32"/>
        </w:rPr>
        <w:t>；其他收入10.24万元，占2.47</w:t>
      </w:r>
      <w:r>
        <w:rPr>
          <w:rFonts w:ascii="仿宋" w:hAnsi="仿宋" w:eastAsia="仿宋"/>
          <w:sz w:val="32"/>
          <w:szCs w:val="32"/>
        </w:rPr>
        <w:t>%</w:t>
      </w:r>
      <w:r>
        <w:rPr>
          <w:rFonts w:hint="eastAsia" w:ascii="仿宋" w:hAnsi="仿宋" w:eastAsia="仿宋"/>
          <w:sz w:val="32"/>
          <w:szCs w:val="32"/>
        </w:rPr>
        <w:t>。</w:t>
      </w:r>
    </w:p>
    <w:p w14:paraId="2078DBE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5798CEC9">
      <w:pPr>
        <w:pStyle w:val="5"/>
        <w:spacing w:before="93"/>
        <w:rPr>
          <w:rFonts w:hint="eastAsia" w:ascii="仿宋" w:hAnsi="仿宋" w:eastAsia="仿宋"/>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2347595</wp:posOffset>
                </wp:positionH>
                <wp:positionV relativeFrom="paragraph">
                  <wp:posOffset>98425</wp:posOffset>
                </wp:positionV>
                <wp:extent cx="854075" cy="281940"/>
                <wp:effectExtent l="4445" t="4445" r="10160" b="18415"/>
                <wp:wrapNone/>
                <wp:docPr id="1" name="文本框 1"/>
                <wp:cNvGraphicFramePr/>
                <a:graphic xmlns:a="http://schemas.openxmlformats.org/drawingml/2006/main">
                  <a:graphicData uri="http://schemas.microsoft.com/office/word/2010/wordprocessingShape">
                    <wps:wsp>
                      <wps:cNvSpPr txBox="1"/>
                      <wps:spPr>
                        <a:xfrm>
                          <a:off x="3490595" y="1812925"/>
                          <a:ext cx="854075"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A81913">
                            <w:r>
                              <w:rPr>
                                <w:rFonts w:hint="eastAsia"/>
                              </w:rPr>
                              <w:t>其他收入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85pt;margin-top:7.75pt;height:22.2pt;width:67.25pt;z-index:251667456;mso-width-relative:page;mso-height-relative:page;" fillcolor="#FFFFFF [3201]" filled="t" stroked="t" coordsize="21600,21600" o:gfxdata="UEsDBAoAAAAAAIdO4kAAAAAAAAAAAAAAAAAEAAAAZHJzL1BLAwQUAAAACACHTuJAvmAdo9YAAAAJ&#10;AQAADwAAAGRycy9kb3ducmV2LnhtbE2Py07DMBBF90j8gzWV2FG7CQkkxKkEEhJiR5sNOzeeJlH9&#10;iGy3KX/PsILdjO7RnTPN9moNu2CIk3cSNmsBDF3v9eQGCd3+7f4JWEzKaWW8QwnfGGHb3t40qtZ+&#10;cZ942aWBUYmLtZIwpjTXnMd+RKvi2s/oKDv6YFWiNQxcB7VQuTU8E6LkVk2OLoxqxtcR+9PubCW8&#10;ly/pCzv9ofMs90vH+3A0Ucq71UY8A0t4TX8w/OqTOrTkdPBnpyMzEvKyeiSUgqIARkAhHjJgBxqq&#10;Cnjb8P8ftD9QSwMEFAAAAAgAh07iQDmAgnplAgAAwgQAAA4AAABkcnMvZTJvRG9jLnhtbK1UzW4T&#10;MRC+I/EOlu90N2nSJlE2VWgVhFTRSgVxdrzerIXtMbaT3fIA8AacuHDnufocjL2b9I9DD+TgzHi+&#10;fOP5Zibzs1YrshPOSzAFHRzllAjDoZRmU9BPH1dvJpT4wEzJFBhR0Fvh6dni9at5Y2diCDWoUjiC&#10;JMbPGlvQOgQ7yzLPa6GZPwIrDAYrcJoFdN0mKx1rkF2rbJjnJ1kDrrQOuPAeby+6IO0Z3UsIoaok&#10;FxfAt1qY0LE6oVjAknwtraeL9NqqEjxcVZUXgaiCYqUhnZgE7XU8s8WczTaO2Vry/gnsJU94UpNm&#10;0mDSA9UFC4xsnXxGpSV34KEKRxx01hWSFMEqBvkTbW5qZkWqBaX29iC6/3+0/MPu2hFZ4iRQYpjG&#10;ht/9/HH368/d7+9kEOVprJ8h6sYiLrRvoY3Q/t7jZay6rZyO31gPwfjxaJqPp2NKbhE7GQynw3En&#10;tGgD4QiYjEf5KcY5AoaTwXSUGpHdE1nnwzsBmkSjoA77mORlu0sfMDlC95CY14OS5UoqlRy3WZ8r&#10;R3YMe75Kn5gdf/IIpgxpCnpyPM4T86NY5D5QrBXjX54zIJ8ySBv16XSIVmjXbS/OGspb1MxBN3Te&#10;8pVE3kvmwzVzOGU4g7iH4QqPSgE+BnqLkhrct3/dRzw2H6OUNDi1BfVft8wJStR7g2MxHYxQSxKS&#10;MxqfDtFxDyPrhxGz1eeAImHr8XXJjPig9mblQH/GdV3GrBhihmPugoa9eR66XcJ152K5TCAcbMvC&#10;pbmxPFLHlhhYbgNUMrUuytRp06uHo53a069h3J2HfkLd//U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B2j1gAAAAkBAAAPAAAAAAAAAAEAIAAAACIAAABkcnMvZG93bnJldi54bWxQSwECFAAU&#10;AAAACACHTuJAOYCCemUCAADCBAAADgAAAAAAAAABACAAAAAlAQAAZHJzL2Uyb0RvYy54bWxQSwUG&#10;AAAAAAYABgBZAQAA/AUAAAAA&#10;">
                <v:fill on="t" focussize="0,0"/>
                <v:stroke weight="0.5pt" color="#000000 [3204]" joinstyle="round"/>
                <v:imagedata o:title=""/>
                <o:lock v:ext="edit" aspectratio="f"/>
                <v:textbox>
                  <w:txbxContent>
                    <w:p w14:paraId="28A81913">
                      <w:r>
                        <w:rPr>
                          <w:rFonts w:hint="eastAsia"/>
                        </w:rPr>
                        <w:t>其他收入</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2454275</wp:posOffset>
                </wp:positionH>
                <wp:positionV relativeFrom="paragraph">
                  <wp:posOffset>395605</wp:posOffset>
                </wp:positionV>
                <wp:extent cx="198120" cy="175260"/>
                <wp:effectExtent l="3175" t="3810" r="12065" b="3810"/>
                <wp:wrapNone/>
                <wp:docPr id="16" name="直接连接符 16"/>
                <wp:cNvGraphicFramePr/>
                <a:graphic xmlns:a="http://schemas.openxmlformats.org/drawingml/2006/main">
                  <a:graphicData uri="http://schemas.microsoft.com/office/word/2010/wordprocessingShape">
                    <wps:wsp>
                      <wps:cNvCnPr/>
                      <wps:spPr>
                        <a:xfrm flipV="1">
                          <a:off x="3597275" y="2072005"/>
                          <a:ext cx="198120" cy="175260"/>
                        </a:xfrm>
                        <a:prstGeom prst="line">
                          <a:avLst/>
                        </a:prstGeom>
                        <a:ln w="3175"/>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93.25pt;margin-top:31.15pt;height:13.8pt;width:15.6pt;z-index:251668480;mso-width-relative:page;mso-height-relative:page;" filled="f" stroked="t" coordsize="21600,21600" o:gfxdata="UEsDBAoAAAAAAIdO4kAAAAAAAAAAAAAAAAAEAAAAZHJzL1BLAwQUAAAACACHTuJAvbzGc9wAAAAJ&#10;AQAADwAAAGRycy9kb3ducmV2LnhtbE2PwU7DMBBE70j8g7VIXBB10kKahjiVAipSpR6gIHF14iUO&#10;2OsodpvC12NOcFzN08zbcn2yhh1x9L0jAeksAYbUOtVTJ+D1ZXOdA/NBkpLGEQr4Qg/r6vyslIVy&#10;Ez3jcR86FkvIF1KADmEoOPetRiv9zA1IMXt3o5UhnmPH1SinWG4NnydJxq3sKS5oOeC9xvZzf7AC&#10;tk+N3mW7zWN9RW/fffNQm4+pFuLyIk3ugAU8hT8YfvWjOlTRqXEHUp4ZAYs8u42ogGy+ABaBm3S5&#10;BNYIyFcr4FXJ/39Q/QBQSwMEFAAAAAgAh07iQIsdcqn9AQAAzAMAAA4AAABkcnMvZTJvRG9jLnht&#10;bK1TO24bMRDtA+QOBPtoVxvo44VWLiw4TZAIyKcfcUktEf5A0lrpErlAgHRJlTK9bxPnGB5y13Zg&#10;Ny7Cghhyhm/mvRmuzo9akQP3QVrT0OmkpIQbZltp9g399PHy1ZKSEMG0oKzhDT3xQM/XL1+selfz&#10;ynZWtdwTBDGh7l1DuxhdXRSBdVxDmFjHDTqF9RoiHv2+aD30iK5VUZXlvOitb523jIeAt5vBSUdE&#10;/xxAK4RkfGPZleYmDqieK4hIKXTSBbrO1QrBWXwvROCRqIYi05h3TIL2Lu3FegX13oPrJBtLgOeU&#10;8IiTBmkw6T3UBiKQKy+fQGnJvA1WxAmzuhiIZEWQxbR8pM2HDhzPXFDq4O5FD/8Plr07bD2RLU7C&#10;nBIDGjt+8+33n68//l5/x/3m10+CHpSpd6HG6Auz9eMpuK1PnI/CayKUdJ8RJauAvMixoa9nZ4tq&#10;MaPk1NCqXGD3Z4Pg/BgJw4Dp2XJaYSsYBkwXs2qeG1IMkAna+RDfcKtJMhqqpEl6QA2HtyFiGRh6&#10;F5Kujb2USuWeKkN6rABRER5wTgXOB5raIddg9pSA2uMHYNFnxGCVbNPru7QXypMD4NjsFLAvqW5M&#10;9iRqA6EbwrJroKdlxC+ipG7oskxrfK0MgiQdB+WStbPtKQua77HJOc04kGmK/j3n1w+fcH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bzGc9wAAAAJAQAADwAAAAAAAAABACAAAAAiAAAAZHJzL2Rv&#10;d25yZXYueG1sUEsBAhQAFAAAAAgAh07iQIsdcqn9AQAAzAMAAA4AAAAAAAAAAQAgAAAAKwEAAGRy&#10;cy9lMm9Eb2MueG1sUEsFBgAAAAAGAAYAWQEAAJoFAAAAAA==&#10;">
                <v:fill on="f" focussize="0,0"/>
                <v:stroke weight="0.25pt" color="#000000" miterlimit="8" joinstyle="miter"/>
                <v:imagedata o:title=""/>
                <o:lock v:ext="edit" aspectratio="f"/>
              </v:line>
            </w:pict>
          </mc:Fallback>
        </mc:AlternateContent>
      </w:r>
      <w:r>
        <w:rPr>
          <w:rFonts w:hint="eastAsia" w:ascii="仿宋" w:hAnsi="仿宋" w:eastAsia="仿宋"/>
          <w:sz w:val="32"/>
          <w:szCs w:val="32"/>
        </w:rPr>
        <w:drawing>
          <wp:inline distT="0" distB="0" distL="114300" distR="114300">
            <wp:extent cx="5080000" cy="412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stretch>
                      <a:fillRect/>
                    </a:stretch>
                  </pic:blipFill>
                  <pic:spPr>
                    <a:xfrm>
                      <a:off x="0" y="0"/>
                      <a:ext cx="5080000" cy="4127500"/>
                    </a:xfrm>
                    <a:prstGeom prst="rect">
                      <a:avLst/>
                    </a:prstGeom>
                  </pic:spPr>
                </pic:pic>
              </a:graphicData>
            </a:graphic>
          </wp:inline>
        </w:drawing>
      </w:r>
    </w:p>
    <w:p w14:paraId="1C41D2C2">
      <w:pPr>
        <w:pStyle w:val="15"/>
        <w:numPr>
          <w:ilvl w:val="0"/>
          <w:numId w:val="2"/>
        </w:numPr>
        <w:spacing w:line="600" w:lineRule="exact"/>
        <w:ind w:firstLineChars="0"/>
        <w:outlineLvl w:val="1"/>
        <w:rPr>
          <w:rStyle w:val="14"/>
          <w:rFonts w:hint="eastAsia" w:ascii="黑体" w:hAnsi="黑体" w:eastAsia="黑体"/>
          <w:b w:val="0"/>
        </w:rPr>
      </w:pPr>
      <w:bookmarkStart w:id="17" w:name="_Toc15377207"/>
      <w:bookmarkStart w:id="18" w:name="_Toc15396605"/>
      <w:r>
        <w:rPr>
          <w:rFonts w:hint="eastAsia" w:ascii="黑体" w:hAnsi="黑体" w:eastAsia="黑体"/>
          <w:sz w:val="32"/>
          <w:szCs w:val="32"/>
        </w:rPr>
        <w:t>支</w:t>
      </w:r>
      <w:r>
        <w:rPr>
          <w:rStyle w:val="14"/>
          <w:rFonts w:hint="eastAsia" w:ascii="黑体" w:hAnsi="黑体" w:eastAsia="黑体"/>
          <w:b w:val="0"/>
        </w:rPr>
        <w:t>出决算情况说明</w:t>
      </w:r>
      <w:bookmarkEnd w:id="17"/>
      <w:bookmarkEnd w:id="18"/>
    </w:p>
    <w:p w14:paraId="243F18DF">
      <w:pPr>
        <w:spacing w:line="600" w:lineRule="exact"/>
        <w:ind w:firstLine="640" w:firstLineChars="200"/>
        <w:outlineLvl w:val="1"/>
        <w:rPr>
          <w:rFonts w:hint="eastAsia"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22年本年支出合计414.72万元，其中：基本支出360.9</w:t>
      </w:r>
      <w:r>
        <w:rPr>
          <w:rFonts w:hint="eastAsia" w:ascii="仿宋" w:hAnsi="仿宋" w:eastAsia="仿宋"/>
          <w:sz w:val="32"/>
          <w:szCs w:val="32"/>
          <w:lang w:val="en-US" w:eastAsia="zh-CN"/>
        </w:rPr>
        <w:t>1</w:t>
      </w:r>
      <w:r>
        <w:rPr>
          <w:rFonts w:hint="eastAsia" w:ascii="仿宋" w:hAnsi="仿宋" w:eastAsia="仿宋"/>
          <w:sz w:val="32"/>
          <w:szCs w:val="32"/>
        </w:rPr>
        <w:t>万元，占87.03</w:t>
      </w:r>
      <w:r>
        <w:rPr>
          <w:rFonts w:ascii="仿宋" w:hAnsi="仿宋" w:eastAsia="仿宋"/>
          <w:sz w:val="32"/>
          <w:szCs w:val="32"/>
        </w:rPr>
        <w:t>%</w:t>
      </w:r>
      <w:r>
        <w:rPr>
          <w:rFonts w:hint="eastAsia" w:ascii="仿宋" w:hAnsi="仿宋" w:eastAsia="仿宋"/>
          <w:sz w:val="32"/>
          <w:szCs w:val="32"/>
        </w:rPr>
        <w:t>；项目支出53.8</w:t>
      </w:r>
      <w:r>
        <w:rPr>
          <w:rFonts w:hint="eastAsia" w:ascii="仿宋" w:hAnsi="仿宋" w:eastAsia="仿宋"/>
          <w:sz w:val="32"/>
          <w:szCs w:val="32"/>
          <w:lang w:val="en-US" w:eastAsia="zh-CN"/>
        </w:rPr>
        <w:t>1</w:t>
      </w:r>
      <w:r>
        <w:rPr>
          <w:rFonts w:hint="eastAsia" w:ascii="仿宋" w:hAnsi="仿宋" w:eastAsia="仿宋"/>
          <w:sz w:val="32"/>
          <w:szCs w:val="32"/>
        </w:rPr>
        <w:t>万元，占12.97</w:t>
      </w:r>
      <w:r>
        <w:rPr>
          <w:rFonts w:ascii="仿宋" w:hAnsi="仿宋" w:eastAsia="仿宋"/>
          <w:sz w:val="32"/>
          <w:szCs w:val="32"/>
        </w:rPr>
        <w:t>%</w:t>
      </w:r>
      <w:r>
        <w:rPr>
          <w:rFonts w:hint="eastAsia" w:ascii="仿宋" w:hAnsi="仿宋" w:eastAsia="仿宋"/>
          <w:sz w:val="32"/>
          <w:szCs w:val="32"/>
        </w:rPr>
        <w:t>。</w:t>
      </w:r>
    </w:p>
    <w:p w14:paraId="23A9E5ED">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47E67071">
      <w:pPr>
        <w:pStyle w:val="5"/>
        <w:spacing w:before="93"/>
        <w:rPr>
          <w:rFonts w:eastAsia="仿宋"/>
        </w:rPr>
      </w:pPr>
      <w:r>
        <w:rPr>
          <w:rFonts w:hint="eastAsia" w:eastAsiaTheme="minorEastAsia"/>
        </w:rPr>
        <w:drawing>
          <wp:inline distT="0" distB="0" distL="114300" distR="114300">
            <wp:extent cx="5476240" cy="2527300"/>
            <wp:effectExtent l="4445" t="4445" r="5715" b="13335"/>
            <wp:docPr id="7" name="图表 7" descr="7b0a202020202263686172745265734964223a20223230343736313237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68242&quot;,&quot;origin&quot;:0,&quot;type&quot;:&quot;charts&quot;,&quot;user&quot;:&quot;271171727&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74737E">
      <w:pPr>
        <w:spacing w:line="600" w:lineRule="exact"/>
        <w:ind w:firstLine="640" w:firstLineChars="200"/>
        <w:rPr>
          <w:rFonts w:ascii="仿宋_GB2312" w:eastAsia="仿宋_GB2312"/>
          <w:sz w:val="32"/>
          <w:szCs w:val="32"/>
        </w:rPr>
      </w:pPr>
    </w:p>
    <w:p w14:paraId="047F9DD1">
      <w:pPr>
        <w:spacing w:line="600" w:lineRule="exact"/>
        <w:ind w:firstLine="640" w:firstLineChars="200"/>
        <w:outlineLvl w:val="1"/>
        <w:rPr>
          <w:rStyle w:val="14"/>
          <w:rFonts w:hint="eastAsia" w:ascii="黑体" w:hAnsi="黑体" w:eastAsia="黑体"/>
          <w:b w:val="0"/>
        </w:rPr>
      </w:pPr>
      <w:bookmarkStart w:id="19" w:name="_Toc15377208"/>
      <w:bookmarkStart w:id="20" w:name="_Toc15396606"/>
      <w:r>
        <w:rPr>
          <w:rFonts w:hint="eastAsia" w:ascii="黑体" w:hAnsi="黑体" w:eastAsia="黑体"/>
          <w:sz w:val="32"/>
          <w:szCs w:val="32"/>
        </w:rPr>
        <w:t>四、财</w:t>
      </w:r>
      <w:r>
        <w:rPr>
          <w:rStyle w:val="14"/>
          <w:rFonts w:hint="eastAsia" w:ascii="黑体" w:hAnsi="黑体" w:eastAsia="黑体"/>
          <w:b w:val="0"/>
        </w:rPr>
        <w:t>政拨款收入支出决算总体情况说明</w:t>
      </w:r>
      <w:bookmarkEnd w:id="19"/>
      <w:bookmarkEnd w:id="20"/>
    </w:p>
    <w:p w14:paraId="2ED603EA">
      <w:pPr>
        <w:spacing w:line="600" w:lineRule="exact"/>
        <w:ind w:firstLine="640"/>
      </w:pPr>
      <w:r>
        <w:rPr>
          <w:rFonts w:ascii="仿宋" w:hAnsi="仿宋" w:eastAsia="仿宋"/>
          <w:sz w:val="32"/>
          <w:szCs w:val="32"/>
        </w:rPr>
        <w:t>20</w:t>
      </w:r>
      <w:r>
        <w:rPr>
          <w:rFonts w:hint="eastAsia" w:ascii="仿宋" w:hAnsi="仿宋" w:eastAsia="仿宋"/>
          <w:sz w:val="32"/>
          <w:szCs w:val="32"/>
        </w:rPr>
        <w:t>23年财政拨款收入总计404.48万元。与</w:t>
      </w:r>
      <w:r>
        <w:rPr>
          <w:rFonts w:ascii="仿宋" w:hAnsi="仿宋" w:eastAsia="仿宋"/>
          <w:sz w:val="32"/>
          <w:szCs w:val="32"/>
        </w:rPr>
        <w:t>20</w:t>
      </w:r>
      <w:r>
        <w:rPr>
          <w:rFonts w:hint="eastAsia" w:ascii="仿宋" w:hAnsi="仿宋" w:eastAsia="仿宋"/>
          <w:sz w:val="32"/>
          <w:szCs w:val="32"/>
        </w:rPr>
        <w:t>22年相比，减少1.77万元，下降8.05</w:t>
      </w:r>
      <w:r>
        <w:rPr>
          <w:rFonts w:ascii="仿宋" w:hAnsi="仿宋" w:eastAsia="仿宋"/>
          <w:sz w:val="32"/>
          <w:szCs w:val="32"/>
        </w:rPr>
        <w:t>%</w:t>
      </w:r>
      <w:r>
        <w:rPr>
          <w:rFonts w:hint="eastAsia" w:ascii="仿宋" w:hAnsi="仿宋" w:eastAsia="仿宋"/>
          <w:sz w:val="32"/>
          <w:szCs w:val="32"/>
        </w:rPr>
        <w:t>。主要变动原因：一是上年幼儿园设施设备修缮；二是按学校实际情况对师生生活补助救助资金变动；三是项目资金支付降低。</w:t>
      </w:r>
    </w:p>
    <w:p w14:paraId="6360E932">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（图4：财政拨款收、支决算总计变动情况）（柱状图）</w:t>
      </w:r>
    </w:p>
    <w:p w14:paraId="17DEFE0E">
      <w:pPr>
        <w:pStyle w:val="5"/>
        <w:spacing w:before="93"/>
        <w:rPr>
          <w:rFonts w:hint="eastAsia" w:ascii="仿宋" w:hAnsi="仿宋" w:eastAsia="仿宋"/>
          <w:b/>
          <w:sz w:val="32"/>
          <w:szCs w:val="32"/>
        </w:rPr>
      </w:pPr>
      <w:r>
        <w:rPr>
          <w:rFonts w:hint="eastAsia" w:eastAsiaTheme="minorEastAsia"/>
        </w:rPr>
        <w:drawing>
          <wp:inline distT="0" distB="0" distL="114300" distR="114300">
            <wp:extent cx="5461000" cy="216090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stretch>
                      <a:fillRect/>
                    </a:stretch>
                  </pic:blipFill>
                  <pic:spPr>
                    <a:xfrm>
                      <a:off x="0" y="0"/>
                      <a:ext cx="5461000" cy="2160905"/>
                    </a:xfrm>
                    <a:prstGeom prst="rect">
                      <a:avLst/>
                    </a:prstGeom>
                  </pic:spPr>
                </pic:pic>
              </a:graphicData>
            </a:graphic>
          </wp:inline>
        </w:drawing>
      </w:r>
    </w:p>
    <w:p w14:paraId="60C51F39">
      <w:pPr>
        <w:spacing w:line="600" w:lineRule="exact"/>
        <w:ind w:firstLine="640" w:firstLineChars="200"/>
        <w:outlineLvl w:val="1"/>
        <w:rPr>
          <w:rStyle w:val="14"/>
          <w:rFonts w:hint="eastAsia" w:ascii="黑体" w:hAnsi="黑体" w:eastAsia="黑体"/>
          <w:b w:val="0"/>
        </w:rPr>
      </w:pPr>
      <w:bookmarkStart w:id="21" w:name="_Toc15377209"/>
      <w:bookmarkStart w:id="22" w:name="_Toc15396607"/>
      <w:r>
        <w:rPr>
          <w:rFonts w:hint="eastAsia" w:ascii="黑体" w:hAnsi="黑体" w:eastAsia="黑体"/>
          <w:sz w:val="32"/>
          <w:szCs w:val="32"/>
        </w:rPr>
        <w:t>五、</w:t>
      </w:r>
      <w:r>
        <w:rPr>
          <w:rFonts w:hint="eastAsia" w:ascii="黑体" w:hAnsi="黑体" w:eastAsia="黑体"/>
          <w:b/>
          <w:sz w:val="32"/>
          <w:szCs w:val="32"/>
        </w:rPr>
        <w:t>一</w:t>
      </w:r>
      <w:r>
        <w:rPr>
          <w:rStyle w:val="14"/>
          <w:rFonts w:hint="eastAsia" w:ascii="黑体" w:hAnsi="黑体" w:eastAsia="黑体"/>
          <w:b w:val="0"/>
        </w:rPr>
        <w:t>般公共预算财政拨款支出决算情况说明</w:t>
      </w:r>
      <w:bookmarkEnd w:id="21"/>
      <w:bookmarkEnd w:id="22"/>
    </w:p>
    <w:p w14:paraId="054BBA22">
      <w:pPr>
        <w:spacing w:line="600" w:lineRule="exact"/>
        <w:ind w:firstLine="643" w:firstLineChars="200"/>
        <w:outlineLvl w:val="2"/>
        <w:rPr>
          <w:rFonts w:hint="eastAsia" w:ascii="仿宋" w:hAnsi="仿宋" w:eastAsia="仿宋"/>
          <w:b/>
          <w:sz w:val="32"/>
          <w:szCs w:val="32"/>
        </w:rPr>
      </w:pPr>
      <w:bookmarkStart w:id="23" w:name="_Toc15377210"/>
      <w:r>
        <w:rPr>
          <w:rFonts w:hint="eastAsia" w:ascii="仿宋" w:hAnsi="仿宋" w:eastAsia="仿宋"/>
          <w:b/>
          <w:sz w:val="32"/>
          <w:szCs w:val="32"/>
        </w:rPr>
        <w:t>（一）一般公共预算财政拨款支出决算总体情况</w:t>
      </w:r>
      <w:bookmarkEnd w:id="23"/>
    </w:p>
    <w:p w14:paraId="45305775">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23年一般公共预算财政拨款支出404.48万元，占本年支出合计的</w:t>
      </w:r>
      <w:r>
        <w:rPr>
          <w:rFonts w:hint="eastAsia" w:ascii="仿宋" w:hAnsi="仿宋" w:eastAsia="仿宋"/>
          <w:sz w:val="32"/>
          <w:szCs w:val="32"/>
          <w:lang w:val="en-US" w:eastAsia="zh-CN"/>
        </w:rPr>
        <w:t>97.53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22年相比，一般公共预算财政拨款支出减少1.77万元，下降8.05</w:t>
      </w:r>
      <w:r>
        <w:rPr>
          <w:rFonts w:ascii="仿宋" w:hAnsi="仿宋" w:eastAsia="仿宋"/>
          <w:sz w:val="32"/>
          <w:szCs w:val="32"/>
        </w:rPr>
        <w:t>%</w:t>
      </w:r>
      <w:r>
        <w:rPr>
          <w:rFonts w:hint="eastAsia" w:ascii="仿宋" w:hAnsi="仿宋" w:eastAsia="仿宋"/>
          <w:sz w:val="32"/>
          <w:szCs w:val="32"/>
        </w:rPr>
        <w:t>。主要变动原因：一是上年幼儿园设施设备修缮；二是按学校实际情况对师生生活补助救助资金变动；三是项目资金支付降低。</w:t>
      </w:r>
    </w:p>
    <w:p w14:paraId="6A980AAE">
      <w:pPr>
        <w:spacing w:line="600" w:lineRule="exact"/>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26D20F82">
      <w:pPr>
        <w:pStyle w:val="5"/>
        <w:spacing w:before="93"/>
        <w:rPr>
          <w:rFonts w:hint="eastAsia" w:ascii="仿宋" w:hAnsi="仿宋" w:eastAsia="仿宋"/>
          <w:sz w:val="32"/>
          <w:szCs w:val="32"/>
        </w:rPr>
      </w:pPr>
      <w:r>
        <w:rPr>
          <w:rFonts w:hint="eastAsia" w:eastAsiaTheme="minorEastAsia"/>
        </w:rPr>
        <w:drawing>
          <wp:inline distT="0" distB="0" distL="114300" distR="114300">
            <wp:extent cx="5397500" cy="286766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stretch>
                      <a:fillRect/>
                    </a:stretch>
                  </pic:blipFill>
                  <pic:spPr>
                    <a:xfrm>
                      <a:off x="0" y="0"/>
                      <a:ext cx="5397500" cy="2867660"/>
                    </a:xfrm>
                    <a:prstGeom prst="rect">
                      <a:avLst/>
                    </a:prstGeom>
                  </pic:spPr>
                </pic:pic>
              </a:graphicData>
            </a:graphic>
          </wp:inline>
        </w:drawing>
      </w:r>
    </w:p>
    <w:p w14:paraId="63A9B269">
      <w:pPr>
        <w:spacing w:line="600" w:lineRule="exact"/>
        <w:ind w:firstLine="643" w:firstLineChars="200"/>
        <w:outlineLvl w:val="2"/>
        <w:rPr>
          <w:rFonts w:hint="eastAsia" w:ascii="仿宋" w:hAnsi="仿宋" w:eastAsia="仿宋"/>
          <w:b/>
          <w:sz w:val="32"/>
          <w:szCs w:val="32"/>
        </w:rPr>
      </w:pPr>
      <w:bookmarkStart w:id="24" w:name="_Toc15377211"/>
      <w:r>
        <w:rPr>
          <w:rFonts w:hint="eastAsia" w:ascii="仿宋" w:hAnsi="仿宋" w:eastAsia="仿宋"/>
          <w:b/>
          <w:sz w:val="32"/>
          <w:szCs w:val="32"/>
        </w:rPr>
        <w:t>（二）一般公共预算财政拨款支出决算结构情况</w:t>
      </w:r>
      <w:bookmarkEnd w:id="24"/>
    </w:p>
    <w:p w14:paraId="002E4B3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2023年度一般公共预算财政拨款支出404.48万元，主要用于以下方面</w:t>
      </w:r>
      <w:r>
        <w:rPr>
          <w:rFonts w:ascii="仿宋" w:hAnsi="仿宋" w:eastAsia="仿宋"/>
          <w:sz w:val="32"/>
          <w:szCs w:val="32"/>
        </w:rPr>
        <w:t>:</w:t>
      </w:r>
      <w:r>
        <w:rPr>
          <w:rFonts w:hint="eastAsia" w:ascii="仿宋" w:hAnsi="仿宋" w:eastAsia="仿宋"/>
          <w:b/>
          <w:sz w:val="32"/>
          <w:szCs w:val="32"/>
        </w:rPr>
        <w:t>教育支出329.3</w:t>
      </w:r>
      <w:r>
        <w:rPr>
          <w:rFonts w:hint="eastAsia" w:ascii="仿宋" w:hAnsi="仿宋" w:eastAsia="仿宋"/>
          <w:sz w:val="32"/>
          <w:szCs w:val="32"/>
        </w:rPr>
        <w:t>万元，占81.42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支出41.37</w:t>
      </w:r>
      <w:r>
        <w:rPr>
          <w:rFonts w:hint="eastAsia" w:ascii="仿宋" w:hAnsi="仿宋" w:eastAsia="仿宋"/>
          <w:sz w:val="32"/>
          <w:szCs w:val="32"/>
        </w:rPr>
        <w:t>万元，占10.22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12.66万元，占3.13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21.15万元，占5.23</w:t>
      </w:r>
      <w:r>
        <w:rPr>
          <w:rFonts w:ascii="仿宋" w:hAnsi="仿宋" w:eastAsia="仿宋"/>
          <w:sz w:val="32"/>
          <w:szCs w:val="32"/>
        </w:rPr>
        <w:t>%</w:t>
      </w:r>
      <w:r>
        <w:rPr>
          <w:rFonts w:hint="eastAsia" w:ascii="仿宋" w:hAnsi="仿宋" w:eastAsia="仿宋"/>
          <w:sz w:val="32"/>
          <w:szCs w:val="32"/>
        </w:rPr>
        <w:t>；</w:t>
      </w:r>
    </w:p>
    <w:p w14:paraId="0B08A4D3">
      <w:pPr>
        <w:spacing w:line="600" w:lineRule="exact"/>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65A7E155">
      <w:pPr>
        <w:pStyle w:val="5"/>
        <w:spacing w:before="93"/>
        <w:rPr>
          <w:rFonts w:eastAsiaTheme="minorEastAsia"/>
        </w:rPr>
      </w:pPr>
      <w:r>
        <mc:AlternateContent>
          <mc:Choice Requires="wps">
            <w:drawing>
              <wp:anchor distT="0" distB="0" distL="114300" distR="114300" simplePos="0" relativeHeight="251661312" behindDoc="0" locked="0" layoutInCell="1" allowOverlap="1">
                <wp:simplePos x="0" y="0"/>
                <wp:positionH relativeFrom="column">
                  <wp:posOffset>623570</wp:posOffset>
                </wp:positionH>
                <wp:positionV relativeFrom="paragraph">
                  <wp:posOffset>12700</wp:posOffset>
                </wp:positionV>
                <wp:extent cx="1351915" cy="334010"/>
                <wp:effectExtent l="4445" t="4445" r="15240" b="12065"/>
                <wp:wrapNone/>
                <wp:docPr id="14" name="文本框 14"/>
                <wp:cNvGraphicFramePr/>
                <a:graphic xmlns:a="http://schemas.openxmlformats.org/drawingml/2006/main">
                  <a:graphicData uri="http://schemas.microsoft.com/office/word/2010/wordprocessingShape">
                    <wps:wsp>
                      <wps:cNvSpPr txBox="1"/>
                      <wps:spPr>
                        <a:xfrm>
                          <a:off x="2766060" y="784225"/>
                          <a:ext cx="1351915" cy="334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BE47AEC">
                            <w:pPr>
                              <w:rPr>
                                <w:sz w:val="20"/>
                                <w:szCs w:val="22"/>
                              </w:rPr>
                            </w:pPr>
                            <w:r>
                              <w:rPr>
                                <w:rFonts w:hint="eastAsia"/>
                                <w:sz w:val="20"/>
                                <w:szCs w:val="22"/>
                              </w:rPr>
                              <w:t>住房保障支出5.23%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1pt;margin-top:1pt;height:26.3pt;width:106.45pt;z-index:251661312;mso-width-relative:page;mso-height-relative:page;" fillcolor="#FFFFFF [3201]" filled="t" stroked="t" coordsize="21600,21600" o:gfxdata="UEsDBAoAAAAAAIdO4kAAAAAAAAAAAAAAAAAEAAAAZHJzL1BLAwQUAAAACACHTuJAH4jdt9UAAAAH&#10;AQAADwAAAGRycy9kb3ducmV2LnhtbE2PwU7DMBBE70j8g7VI3KjjBKKSZlMJJCTEjTYXbm68TaLG&#10;dmS7Tfl7lhMcRzOaeVNvr3YSFwpx9A5BrTIQ5DpvRtcjtPu3hzWImLQzevKOEL4pwra5val1Zfzi&#10;PumyS73gEhcrjTCkNFdSxm4gq+PKz+TYO/pgdWIZemmCXrjcTjLPslJaPTpeGPRMrwN1p93ZIryX&#10;L+mLWvNhirzwSyu7cJwi4v2dyjYgEl3TXxh+8RkdGmY6+LMzUUwIz+uckwg5P2K7UEqBOCA8PZYg&#10;m1r+529+AFBLAwQUAAAACACHTuJAsUuCo2MCAADEBAAADgAAAGRycy9lMm9Eb2MueG1srVTNbhMx&#10;EL4j8Q6W73Tz3zbqpgqtgpAiWqkgzo7Xm7WwPcZ2shseAN6AExfuPFeeg7F306Ythx7IwRl7vnwz&#10;881MLi4brchWOC/B5LR/0qNEGA6FNOucfvq4eHNGiQ/MFEyBETndCU8vZ69fXdR2KgZQgSqEI0hi&#10;/LS2Oa1CsNMs87wSmvkTsMKgswSnWcCrW2eFYzWya5UNer1JVoMrrAMuvMfX69ZJO0b3EkIoS8nF&#10;NfCNFia0rE4oFrAkX0nr6SxlW5aCh5uy9CIQlVOsNKQTg6C9imc2u2DTtWO2krxLgb0khSc1aSYN&#10;Br2numaBkY2Tz6i05A48lOGEg87aQpIiWEW/90Sbu4pZkWpBqb29F93/P1r+YXvriCxwEkaUGKax&#10;4/ufP/a//ux/fyf4hgLV1k8Rd2cRGZq30CD48O7xMdbdlE7Hb6yIoH9wOpn0JijyLqenZ6PBYNwq&#10;LZpAePz9cNw/748p4QgYDkdYewRkD0TW+fBOgCbRyKnDTiaB2XbpQws9QGJcD0oWC6lUurj16ko5&#10;smXY9UX6dOyPYMqQOqeT4biXmB/5Ivc9xUox/uU5A2arDCYd9Wl1iFZoVk0n2gqKHWrmoB07b/lC&#10;Iu+S+XDLHM4ZCoSbGG7wKBVgMtBZlFTgvv3rPeKx/eilpMa5zan/umFOUKLeGxyM8/5oFAc9XUbj&#10;0wFe3LFndewxG30FKFIfd97yZEZ8UAezdKA/48LOY1R0McMxdk7DwbwK7TbhwnMxnycQjrZlYWnu&#10;LI/UsSUG5psApUytizK12nTq4XCn5neLGLfn+J5QD38+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fiN231QAAAAcBAAAPAAAAAAAAAAEAIAAAACIAAABkcnMvZG93bnJldi54bWxQSwECFAAUAAAA&#10;CACHTuJAsUuCo2MCAADEBAAADgAAAAAAAAABACAAAAAkAQAAZHJzL2Uyb0RvYy54bWxQSwUGAAAA&#10;AAYABgBZAQAA+QUAAAAA&#10;">
                <v:fill on="t" focussize="0,0"/>
                <v:stroke weight="0.5pt" color="#000000 [3204]" joinstyle="round"/>
                <v:imagedata o:title=""/>
                <o:lock v:ext="edit" aspectratio="f"/>
                <v:textbox>
                  <w:txbxContent>
                    <w:p w14:paraId="4BE47AEC">
                      <w:pPr>
                        <w:rPr>
                          <w:sz w:val="20"/>
                          <w:szCs w:val="22"/>
                        </w:rPr>
                      </w:pPr>
                      <w:r>
                        <w:rPr>
                          <w:rFonts w:hint="eastAsia"/>
                          <w:sz w:val="20"/>
                          <w:szCs w:val="22"/>
                        </w:rPr>
                        <w:t>住房保障支出5.23%</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3080385</wp:posOffset>
                </wp:positionH>
                <wp:positionV relativeFrom="paragraph">
                  <wp:posOffset>1542415</wp:posOffset>
                </wp:positionV>
                <wp:extent cx="466725" cy="47625"/>
                <wp:effectExtent l="635" t="4445" r="5080" b="8890"/>
                <wp:wrapNone/>
                <wp:docPr id="25" name="直接连接符 25"/>
                <wp:cNvGraphicFramePr/>
                <a:graphic xmlns:a="http://schemas.openxmlformats.org/drawingml/2006/main">
                  <a:graphicData uri="http://schemas.microsoft.com/office/word/2010/wordprocessingShape">
                    <wps:wsp>
                      <wps:cNvCnPr/>
                      <wps:spPr>
                        <a:xfrm flipV="1">
                          <a:off x="4223385" y="2456815"/>
                          <a:ext cx="466725" cy="476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42.55pt;margin-top:121.45pt;height:3.75pt;width:36.75pt;z-index:251666432;mso-width-relative:page;mso-height-relative:page;" filled="f" stroked="t" coordsize="21600,21600" o:gfxdata="UEsDBAoAAAAAAIdO4kAAAAAAAAAAAAAAAAAEAAAAZHJzL1BLAwQUAAAACACHTuJALsbeANwAAAAL&#10;AQAADwAAAGRycy9kb3ducmV2LnhtbE2PwUrEMBCG74LvEEbwIrtJS1tqbbpQZQVhD7oueE2b2FST&#10;SWmy29WnN570ODMf/3x/vTlbQ05q9qNDDsmaAVHYOzniwOHwul2VQHwQKIVxqDh8KQ+b5vKiFpV0&#10;C76o0z4MJIagrwQHHcJUUep7razwazcpjLd3N1sR4jgPVM5iieHW0JSxgloxYvygxaTuteo/90fL&#10;4em507tit31sb/Dte+weWvOxtJxfXyXsDkhQ5/AHw69+VIcmOnXuiNITwyEr8ySiHNIsvQUSiTwv&#10;CyBd3OQsA9rU9H+H5gdQSwMEFAAAAAgAh07iQKtc1zb7AQAAzAMAAA4AAABkcnMvZTJvRG9jLnht&#10;bK2TO47bMBCG+wC5A8E+li17ZUOwvMUamyZIDOTR0xQpEeALHK5lXyIXCJAuqVKmz212c4wMKWez&#10;2TRbRAXBx/Cb+X+O1pdHo8lBBFDONnQ2mVIiLHetsl1D37+7frGiBCKzLdPOioaeBNDLzfNn68HX&#10;onS9060IBCEW6sE3tI/R10UBvBeGwcR5YfFQumBYxGXoijawAelGF+V0WhWDC60PjgsA3N2Oh/RM&#10;DE8BOikVF1vHb4ywcaQGoVlESdArD3STq5VS8PhGShCR6Iai0phHTILzfRqLzZrVXWC+V/xcAntK&#10;CY80GaYsJr1HbVlk5Caof1BG8eDAyTjhzhSjkOwIqphNH3nztmdeZC1oNfh70+H/Yfnrwy4Q1Ta0&#10;vKDEMoMvfvfp++3HLz9/fMbx7ttXgido0+ChxugruwvnFfhdSJqPMhgitfIfsJ+yC6iLHBu6KMv5&#10;fIXcE+IXF9VqlkmsFsdIeAqoqmXKyzFgsazGRMVITGQfIL4UzpA0aahWNtnBanZ4BRGrwNDfIWnb&#10;umuldX5SbcnQ0PlsmegM21Rie+DUeJQKtqOE6Q77n8eQieC0atPtxIHQ7a90IAeWuiZ/yQHM9ldY&#10;Sr1l0I9x+WjsJ6Mi/iJamYauHt7WFiHJx9G5NNu79pQNzfv4yDnNuSFTFz1c59t/fsL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7G3gDcAAAACwEAAA8AAAAAAAAAAQAgAAAAIgAAAGRycy9kb3du&#10;cmV2LnhtbFBLAQIUABQAAAAIAIdO4kCrXNc2+wEAAMwDAAAOAAAAAAAAAAEAIAAAACsBAABkcnMv&#10;ZTJvRG9jLnhtbFBLBQYAAAAABgAGAFkBAACYBQ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2775585</wp:posOffset>
                </wp:positionH>
                <wp:positionV relativeFrom="paragraph">
                  <wp:posOffset>347980</wp:posOffset>
                </wp:positionV>
                <wp:extent cx="349250" cy="556260"/>
                <wp:effectExtent l="3810" t="2540" r="12700" b="5080"/>
                <wp:wrapNone/>
                <wp:docPr id="24" name="直接连接符 24"/>
                <wp:cNvGraphicFramePr/>
                <a:graphic xmlns:a="http://schemas.openxmlformats.org/drawingml/2006/main">
                  <a:graphicData uri="http://schemas.microsoft.com/office/word/2010/wordprocessingShape">
                    <wps:wsp>
                      <wps:cNvCnPr/>
                      <wps:spPr>
                        <a:xfrm flipV="1">
                          <a:off x="3918585" y="1209040"/>
                          <a:ext cx="349250" cy="55626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18.55pt;margin-top:27.4pt;height:43.8pt;width:27.5pt;z-index:251665408;mso-width-relative:page;mso-height-relative:page;" filled="f" stroked="t" coordsize="21600,21600" o:gfxdata="UEsDBAoAAAAAAIdO4kAAAAAAAAAAAAAAAAAEAAAAZHJzL1BLAwQUAAAACACHTuJA5njF3doAAAAK&#10;AQAADwAAAGRycy9kb3ducmV2LnhtbE2PwUrEMBCG74LvEEbwIm7aGletTReqrCDsQVfBa9rEpppM&#10;SpPdrj6940mPM/Pxz/dXq4N3bG+mOASUkC8yYAa7oAfsJby+rM+vgcWkUCsX0Ej4MhFW9fFRpUod&#10;Znw2+23qGYVgLJUEm9JYch47a7yKizAapNt7mLxKNE4915OaKdw7XmTZkns1IH2wajR31nSf252X&#10;8PjU2s1ys35ozvDte2jvG/cxN1KenuTZLbBkDukPhl99UoeanNqwQx2ZkyAurnJCJVwKqkCAuClo&#10;0RIpCgG8rvj/CvUPUEsDBBQAAAAIAIdO4kBleS5L/QEAAM0DAAAOAAAAZHJzL2Uyb0RvYy54bWyt&#10;U72OEzEQ7pF4B8s92c2ShGSVzRUXHQ2CSPz0jtfeteQ/eXzZ5CV4ASQ6qCjp7204HoOxNxzH0VyB&#10;C2vsGX8z3zfj9cXRaHIQAZSzDZ1OSkqE5a5Vtmvo+3dXz5aUQGS2ZdpZ0dCTAHqxefpkPfhaVK53&#10;uhWBIIiFevAN7WP0dVEA74VhMHFeWHRKFwyLeAxd0QY2ILrRRVWWi2JwofXBcQGAt9vRSc+I4TGA&#10;TkrFxdbxayNsHFGD0CwiJeiVB7rJ1UopeHwjJYhIdEORacw7JkF7n/Zis2Z1F5jvFT+XwB5TwgNO&#10;himLSe+gtiwych3UP1BG8eDAyTjhzhQjkawIspiWD7R52zMvMheUGvyd6PD/YPnrwy4Q1Ta0mlFi&#10;mcGO3376/uPjl583n3G//faVoAdlGjzUGH1pd+F8Ar8LifNRBkOkVv4DzlNWAXmRY0Ofr6bL+XJO&#10;yQkdVbkqZ2fBxTESngJmq2qOreAYMJ8vqkX2FyNkgvYB4kvhDElGQ7WySQ9Ws8MriFgGhv4OSdfW&#10;XSmtc0+1JQMmmL7A9JzhnEqcDzSNR65gO0qY7vAD8BgyIjit2vQ64UDo9pc6kANLY5NXkgCz/RWW&#10;Um8Z9GNcdo0DZVTEP6KVaejy/mttESQJOUqXrL1rT1nRfI9dzmnOE5nG6P45v/7zC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Z4xd3aAAAACgEAAA8AAAAAAAAAAQAgAAAAIgAAAGRycy9kb3du&#10;cmV2LnhtbFBLAQIUABQAAAAIAIdO4kBleS5L/QEAAM0DAAAOAAAAAAAAAAEAIAAAACkBAABkcnMv&#10;ZTJvRG9jLnhtbFBLBQYAAAAABgAGAFkBAACYBQ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2014220</wp:posOffset>
                </wp:positionH>
                <wp:positionV relativeFrom="paragraph">
                  <wp:posOffset>203835</wp:posOffset>
                </wp:positionV>
                <wp:extent cx="637540" cy="567055"/>
                <wp:effectExtent l="3175" t="3810" r="14605" b="8255"/>
                <wp:wrapNone/>
                <wp:docPr id="23" name="直接连接符 23"/>
                <wp:cNvGraphicFramePr/>
                <a:graphic xmlns:a="http://schemas.openxmlformats.org/drawingml/2006/main">
                  <a:graphicData uri="http://schemas.microsoft.com/office/word/2010/wordprocessingShape">
                    <wps:wsp>
                      <wps:cNvCnPr/>
                      <wps:spPr>
                        <a:xfrm>
                          <a:off x="3157220" y="1118235"/>
                          <a:ext cx="637540" cy="56705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8.6pt;margin-top:16.05pt;height:44.65pt;width:50.2pt;z-index:251664384;mso-width-relative:page;mso-height-relative:page;" filled="f" stroked="t" coordsize="21600,21600" o:gfxdata="UEsDBAoAAAAAAIdO4kAAAAAAAAAAAAAAAAAEAAAAZHJzL1BLAwQUAAAACACHTuJAvMywV9YAAAAK&#10;AQAADwAAAGRycy9kb3ducmV2LnhtbE2PwU7DMAyG70i8Q2QkLhNLE6ZtlKbThMSddRPnrHWbisap&#10;mmwrb485wc2WP/3+/mI3+0FccYp9IANqmYFAqkPTU2fgdHx/2oKIyVJjh0Bo4Bsj7Mr7u8LmTbjR&#10;Aa9V6gSHUMytAZfSmEsZa4fexmUYkfjWhsnbxOvUyWayNw73g9RZtpbe9sQfnB3xzWH9VV28gZdZ&#10;n8JH2y4+3b7qcb9w26o+GPP4oLJXEAnn9AfDrz6rQ8lO53ChJorBwLPaaEZ50AoEAyu1WYM4M6nV&#10;CmRZyP8Vyh9QSwMEFAAAAAgAh07iQGqXRXn0AQAAwwMAAA4AAABkcnMvZTJvRG9jLnhtbK1TS44T&#10;MRDdI3EHy3vSn9BJ1EpnFhMNGwSRgAM4bne3Jf/k8qSTS3ABJHawYsme2zAcg7I7zHczC3rhLruq&#10;XtV7Lq8vjlqRg/AgrWloMcspEYbbVpq+oZ8+Xr1aUQKBmZYpa0RDTwLoxebli/XoalHawapWeIIg&#10;BurRNXQIwdVZBnwQmsHMOmHQ2VmvWcCt77PWsxHRtcrKPF9ko/Wt85YLADzdTk56RvTPAbRdJ7nY&#10;Wn6thQkTqheKBaQEg3RAN6nbrhM8vO86EIGohiLTkFYsgvY+rtlmzereMzdIfm6BPaeFR5w0kwaL&#10;3kJtWWDk2ssnUFpyb8F2YcatziYiSRFkUeSPtPkwMCcSF5Qa3K3o8P9g+bvDzhPZNrScU2KYxhu/&#10;+fLz9+dvf359xfXmx3eCHpRpdFBj9KXZ+fMO3M5HzsfO6/hHNuTY0HlRLcsSBT7heBXFqpxXk8zi&#10;GAjHgMV8Wb1GP8eAarHMq+TP7oCch/BGWE2i0VAlTVSB1ezwFgIWx9B/IfHY2CupVLpJZcgYO1hW&#10;CM9wOjucCjS1Q4ZgekqY6nHsefAJEaySbcyOOOD7/aXy5MDisKQvNo7VHoTF0lsGwxSXXBM/LQO+&#10;DCV1Q1f3s5VBkCjfJFi09rY9JR3TOd5tKnOewzg89/cp++7t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MywV9YAAAAKAQAADwAAAAAAAAABACAAAAAiAAAAZHJzL2Rvd25yZXYueG1sUEsBAhQA&#10;FAAAAAgAh07iQGqXRXn0AQAAwwMAAA4AAAAAAAAAAQAgAAAAJQEAAGRycy9lMm9Eb2MueG1sUEsF&#10;BgAAAAAGAAYAWQEAAIsFA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934720</wp:posOffset>
                </wp:positionV>
                <wp:extent cx="554990" cy="131445"/>
                <wp:effectExtent l="1270" t="4445" r="7620" b="16510"/>
                <wp:wrapNone/>
                <wp:docPr id="22" name="直接连接符 22"/>
                <wp:cNvGraphicFramePr/>
                <a:graphic xmlns:a="http://schemas.openxmlformats.org/drawingml/2006/main">
                  <a:graphicData uri="http://schemas.microsoft.com/office/word/2010/wordprocessingShape">
                    <wps:wsp>
                      <wps:cNvCnPr/>
                      <wps:spPr>
                        <a:xfrm flipV="1">
                          <a:off x="4032885" y="1837690"/>
                          <a:ext cx="554990" cy="13144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55pt;margin-top:73.6pt;height:10.35pt;width:43.7pt;z-index:251663360;mso-width-relative:page;mso-height-relative:page;" filled="f" stroked="t" coordsize="21600,21600" o:gfxdata="UEsDBAoAAAAAAIdO4kAAAAAAAAAAAAAAAAAEAAAAZHJzL1BLAwQUAAAACACHTuJA1lFxRdwAAAAL&#10;AQAADwAAAGRycy9kb3ducmV2LnhtbE2PwU7DMAyG70i8Q2QkLmhLW7UdlKaTChoS0g6wIXFNm9AU&#10;GqdqsnXw9DMnONr/p9+fy/XJDuyoJ987FBAvI2AaW6d67AS87TeLW2A+SFRycKgFfGsP6+ryopSF&#10;cjO+6uMudIxK0BdSgAlhLDj3rdFW+qUbNVL24SYrA41Tx9UkZyq3A0+iKOdW9kgXjBz1g9Ht1+5g&#10;BTy/NGabbzdP9Q2+//TNYz18zrUQ11dxdA8s6FP4g+FXn9ShIqfGHVB5NghIsywmlIJ0lQAjIkuT&#10;DFhDm3x1B7wq+f8fqjNQSwMEFAAAAAgAh07iQDBOYSz8AQAAzQMAAA4AAABkcnMvZTJvRG9jLnht&#10;bK1TO27cMBDtA+QOBPus9mvLwmpdeOE0QbJAPv0sRUoE+ANJr3YvkQsESJdUKdP7NnGOkSGlOI7T&#10;uIgKYjifN/OehuvLo1bkwH2Q1tR0NplSwg2zjTRtTd+/u35RUhIimAaUNbymJx7o5eb5s3XvKj63&#10;nVUN9wRBTKh6V9MuRlcVRWAd1xAm1nGDQWG9hohX3xaNhx7RtSrm0+lZ0VvfOG8ZDwG92yFIR0T/&#10;FEArhGR8a9mN5iYOqJ4riEgpdNIFusnTCsFZfCNE4JGomiLTmE9sgvY+ncVmDVXrwXWSjSPAU0Z4&#10;xEmDNNj0HmoLEciNl/9Aacm8DVbECbO6GIhkRZDFbPpIm7cdOJ65oNTB3Yse/h8se33YeSKbms7n&#10;lBjQ+MfvPn3/8fHLz9vPeN59+0owgjL1LlSYfWV2frwFt/OJ81F4TYSS7gPuU1YBeZFjTZfTxbws&#10;V5ScMFAuzs8uRsH5MRKGCavV8gJ9hKWExWy5XKVOxQCZoJ0P8SW3miSjpkqapAdUcHgV4pD6OyW5&#10;jb2WSqEfKmVIX9PF7BzbM8A9FbgfaGqHXINpKQHV4gNg0WfEYJVsUnUqDr7dXylPDpDWJn/jYH+l&#10;pdZbCN2Ql0MpDSotI74RJXVNy4fVyiC7JOQgXbL2tjllRbMf/3LmP25kWqOH91z95xV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UXFF3AAAAAsBAAAPAAAAAAAAAAEAIAAAACIAAABkcnMvZG93&#10;bnJldi54bWxQSwECFAAUAAAACACHTuJAME5hLPwBAADNAwAADgAAAAAAAAABACAAAAArAQAAZHJz&#10;L2Uyb0RvYy54bWxQSwUGAAAAAAYABgBZAQAAmQU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2985135</wp:posOffset>
                </wp:positionH>
                <wp:positionV relativeFrom="paragraph">
                  <wp:posOffset>3175</wp:posOffset>
                </wp:positionV>
                <wp:extent cx="1294130" cy="333375"/>
                <wp:effectExtent l="4445" t="4445" r="12065" b="12700"/>
                <wp:wrapNone/>
                <wp:docPr id="15" name="文本框 15"/>
                <wp:cNvGraphicFramePr/>
                <a:graphic xmlns:a="http://schemas.openxmlformats.org/drawingml/2006/main">
                  <a:graphicData uri="http://schemas.microsoft.com/office/word/2010/wordprocessingShape">
                    <wps:wsp>
                      <wps:cNvSpPr txBox="1"/>
                      <wps:spPr>
                        <a:xfrm>
                          <a:off x="4109085" y="1031875"/>
                          <a:ext cx="129413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890EE9">
                            <w:pPr>
                              <w:rPr>
                                <w:sz w:val="18"/>
                                <w:szCs w:val="21"/>
                              </w:rPr>
                            </w:pPr>
                            <w:r>
                              <w:rPr>
                                <w:rFonts w:hint="eastAsia"/>
                                <w:sz w:val="18"/>
                                <w:szCs w:val="21"/>
                              </w:rPr>
                              <w:t>卫生健康支出3.13%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0.25pt;height:26.25pt;width:101.9pt;z-index:251662336;mso-width-relative:page;mso-height-relative:page;" fillcolor="#FFFFFF [3201]" filled="t" stroked="t" coordsize="21600,21600" o:gfxdata="UEsDBAoAAAAAAIdO4kAAAAAAAAAAAAAAAAAEAAAAZHJzL1BLAwQUAAAACACHTuJAWKcO+9MAAAAH&#10;AQAADwAAAGRycy9kb3ducmV2LnhtbE2OwU7DMBBE70j8g7VI3KidBlIIcSqBhIS4UXLh5sbbJMJe&#10;R7bblL9nOcFxNKM3r9mevRMnjGkKpKFYKRBIfbATDRq6j5ebexApG7LGBUIN35hg215eNKa2YaF3&#10;PO3yIBhCqTYaxpznWsrUj+hNWoUZibtDiN5kjnGQNpqF4d7JtVKV9GYifhjNjM8j9l+7o9fwWj3l&#10;T+zsmy3XZVg62ceDS1pfXxXqEUTGc/4bw68+q0PLTvtwJJuE03C7UQVPNdyB4LralA8g9hxLBbJt&#10;5H//9gdQSwMEFAAAAAgAh07iQGzFDk9jAgAAxQQAAA4AAABkcnMvZTJvRG9jLnhtbK1US27bMBDd&#10;F+gdCO4bSbbzMyIHbgIXBYImQFp0TVOURZQiWZK2lB6gvUFX3XTfc+UcfaTsfLvIolpQQ87T48yb&#10;GZ2c9q0iG+G8NLqkxV5OidDcVFKvSvrp4+LNESU+MF0xZbQo6Y3w9HT2+tVJZ6diZBqjKuEISLSf&#10;drakTQh2mmWeN6Jlfs9YoeGsjWtZwNatssqxDuytykZ5fpB1xlXWGS68x+n54KRbRvcSQlPXkotz&#10;w9et0GFgdUKxgJR8I62nsxRtXQseLuvai0BUSZFpSCsugb2MazY7YdOVY7aRfBsCe0kIT3JqmdS4&#10;9I7qnAVG1k4+o2old8abOuxx02ZDIkkRZFHkT7S5bpgVKRdI7e2d6P7/0fIPmytHZIVO2KdEsxYV&#10;v/354/bXn9vf3wnOIFBn/RS4awtk6N+aHuDducdhzLuvXRvfyIjAPyny4/wIjDfA5uPi6DAxsano&#10;A+GRYHQ8KcaoAgdijGcAZPdM1vnwTpiWRKOkDqVMCrPNhQ+ICtAdJF7sjZLVQiqVNm61PFOObBjK&#10;vkhPDBifPIIpTbqSHoz388T8yBe57yiWivEvzxnApzRoo0CDENEK/bLfqrY01Q1Ec2boO2/5QoL3&#10;gvlwxRwaDQJgFMMllloZBGO2FiWNcd/+dR7xqD+8lHRo3JL6r2vmBCXqvUZnHBeTSez0tJnsH46w&#10;cQ89y4cevW7PDEQqMPSWJzPig9qZtTPtZ0zsPN4KF9Mcd5c07MyzMIwTJp6L+TyB0NuWhQt9bXmk&#10;jiXRZr4OppapdFGmQZuteujuVJ7tJMbxebhPqPu/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KcO+9MAAAAHAQAADwAAAAAAAAABACAAAAAiAAAAZHJzL2Rvd25yZXYueG1sUEsBAhQAFAAAAAgA&#10;h07iQGzFDk9jAgAAxQQAAA4AAAAAAAAAAQAgAAAAIgEAAGRycy9lMm9Eb2MueG1sUEsFBgAAAAAG&#10;AAYAWQEAAPcFAAAAAA==&#10;">
                <v:fill on="t" focussize="0,0"/>
                <v:stroke weight="0.5pt" color="#000000 [3204]" joinstyle="round"/>
                <v:imagedata o:title=""/>
                <o:lock v:ext="edit" aspectratio="f"/>
                <v:textbox>
                  <w:txbxContent>
                    <w:p w14:paraId="6F890EE9">
                      <w:pPr>
                        <w:rPr>
                          <w:sz w:val="18"/>
                          <w:szCs w:val="21"/>
                        </w:rPr>
                      </w:pPr>
                      <w:r>
                        <w:rPr>
                          <w:rFonts w:hint="eastAsia"/>
                          <w:sz w:val="18"/>
                          <w:szCs w:val="21"/>
                        </w:rPr>
                        <w:t>卫生健康支出3.13%</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3375660</wp:posOffset>
                </wp:positionH>
                <wp:positionV relativeFrom="paragraph">
                  <wp:posOffset>631825</wp:posOffset>
                </wp:positionV>
                <wp:extent cx="1713230" cy="295275"/>
                <wp:effectExtent l="4445" t="4445" r="19685" b="5080"/>
                <wp:wrapNone/>
                <wp:docPr id="13" name="文本框 13"/>
                <wp:cNvGraphicFramePr/>
                <a:graphic xmlns:a="http://schemas.openxmlformats.org/drawingml/2006/main">
                  <a:graphicData uri="http://schemas.microsoft.com/office/word/2010/wordprocessingShape">
                    <wps:wsp>
                      <wps:cNvSpPr txBox="1"/>
                      <wps:spPr>
                        <a:xfrm>
                          <a:off x="4518660" y="1546225"/>
                          <a:ext cx="171323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B124CC">
                            <w:pPr>
                              <w:rPr>
                                <w:sz w:val="20"/>
                                <w:szCs w:val="22"/>
                              </w:rPr>
                            </w:pPr>
                            <w:r>
                              <w:rPr>
                                <w:rFonts w:hint="eastAsia"/>
                                <w:sz w:val="16"/>
                                <w:szCs w:val="20"/>
                              </w:rPr>
                              <w:t>社会保障和就业支出</w:t>
                            </w:r>
                            <w:r>
                              <w:rPr>
                                <w:rFonts w:hint="eastAsia"/>
                                <w:sz w:val="20"/>
                                <w:szCs w:val="22"/>
                              </w:rPr>
                              <w:t>10.22%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8pt;margin-top:49.75pt;height:23.25pt;width:134.9pt;z-index:251660288;mso-width-relative:page;mso-height-relative:page;" fillcolor="#FFFFFF [3201]" filled="t" stroked="t" coordsize="21600,21600" o:gfxdata="UEsDBAoAAAAAAIdO4kAAAAAAAAAAAAAAAAAEAAAAZHJzL1BLAwQUAAAACACHTuJAxUYiS9cAAAAK&#10;AQAADwAAAGRycy9kb3ducmV2LnhtbE2PwU7DMBBE70j8g7VI3Kidpo3aNE4lkJAQN0ou3Nx4m0SN&#10;15HtNuXvWU5wXM3TzNtqf3OjuGKIgycN2UKBQGq9HajT0Hy+Pm1AxGTImtETavjGCPv6/q4ypfUz&#10;feD1kDrBJRRLo6FPaSqljG2PzsSFn5A4O/ngTOIzdNIGM3O5G+VSqUI6MxAv9GbClx7b8+HiNLwV&#10;z+kLG/tu82Xu50a24TRGrR8fMrUDkfCW/mD41Wd1qNnp6C9koxg1rPOsYFTDdrsGwcBGZSsQRyZX&#10;hQJZV/L/C/UPUEsDBBQAAAAIAIdO4kD1C8HtZQIAAMUEAAAOAAAAZHJzL2Uyb0RvYy54bWytVM1u&#10;EzEQviPxDpbvdJPNT9uomyq0CkKqaKWCODteb9bCaxvbyW55AHgDTly481x9Dj57k/5y6IEcnBnP&#10;l28838zk5LRrFNkK56XRBR0eDCgRmptS6nVBP31cvjmixAemS6aMFgW9EZ6ezl+/OmntTOSmNqoU&#10;joBE+1lrC1qHYGdZ5nktGuYPjBUawcq4hgW4bp2VjrVgb1SWDwbTrDWutM5w4T1uz/sg3TG6lxCa&#10;qpJcnBu+aYQOPasTigWU5GtpPZ2n11aV4OGyqrwIRBUUlYZ0IgnsVTyz+QmbrR2zteS7J7CXPOFJ&#10;TQ2TGknvqM5ZYGTj5DOqRnJnvKnCATdN1heSFEEVw8ETba5rZkWqBVJ7eye6/3+0/MP2yhFZYhJG&#10;lGjWoOO3P3/c/vpz+/s7wR0Eaq2fAXdtgQzdW9MBvL/3uIx1d5Vr4jcqIoiPJ8Oj6RQi3wA7GU/z&#10;fNJLLbpAeCQ4HI7yEQAciPx4kh8mQHbPZJ0P74RpSDQK6tDKpDDbXviAVwG6h8TE3ihZLqVSyXHr&#10;1ZlyZMvQ9mX6xPT4ySOY0qQt6HQ0GSTmR7HIfUexUox/ec4APqVBGwXqhYhW6FbdTrWVKW8gmjP9&#10;3HnLlxK8F8yHK+YwaBAAqxgucVTK4DFmZ1FSG/ftX/cRj/4jSkmLwS2o/7phTlCi3mtMxvFwPAZt&#10;SM54cpjDcQ8jq4cRvWnODEQaYuktT2bEB7U3K2eaz9jYRcyKENMcuQsa9uZZ6NcJG8/FYpFAmG3L&#10;woW+tjxSx5Zos9gEU8nUuihTr81OPUx3as9uE+P6PPQT6v7fZ/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UYiS9cAAAAKAQAADwAAAAAAAAABACAAAAAiAAAAZHJzL2Rvd25yZXYueG1sUEsBAhQA&#10;FAAAAAgAh07iQPULwe1lAgAAxQQAAA4AAAAAAAAAAQAgAAAAJgEAAGRycy9lMm9Eb2MueG1sUEsF&#10;BgAAAAAGAAYAWQEAAP0FAAAAAA==&#10;">
                <v:fill on="t" focussize="0,0"/>
                <v:stroke weight="0.5pt" color="#000000 [3204]" joinstyle="round"/>
                <v:imagedata o:title=""/>
                <o:lock v:ext="edit" aspectratio="f"/>
                <v:textbox>
                  <w:txbxContent>
                    <w:p w14:paraId="6DB124CC">
                      <w:pPr>
                        <w:rPr>
                          <w:sz w:val="20"/>
                          <w:szCs w:val="22"/>
                        </w:rPr>
                      </w:pPr>
                      <w:r>
                        <w:rPr>
                          <w:rFonts w:hint="eastAsia"/>
                          <w:sz w:val="16"/>
                          <w:szCs w:val="20"/>
                        </w:rPr>
                        <w:t>社会保障和就业支出</w:t>
                      </w:r>
                      <w:r>
                        <w:rPr>
                          <w:rFonts w:hint="eastAsia"/>
                          <w:sz w:val="20"/>
                          <w:szCs w:val="22"/>
                        </w:rPr>
                        <w:t>10.22%</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3547110</wp:posOffset>
                </wp:positionH>
                <wp:positionV relativeFrom="paragraph">
                  <wp:posOffset>1380490</wp:posOffset>
                </wp:positionV>
                <wp:extent cx="1076325" cy="323850"/>
                <wp:effectExtent l="4445" t="4445" r="16510" b="6985"/>
                <wp:wrapNone/>
                <wp:docPr id="2" name="文本框 2"/>
                <wp:cNvGraphicFramePr/>
                <a:graphic xmlns:a="http://schemas.openxmlformats.org/drawingml/2006/main">
                  <a:graphicData uri="http://schemas.microsoft.com/office/word/2010/wordprocessingShape">
                    <wps:wsp>
                      <wps:cNvSpPr txBox="1"/>
                      <wps:spPr>
                        <a:xfrm>
                          <a:off x="3147060" y="2847340"/>
                          <a:ext cx="10763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CF7901">
                            <w:r>
                              <w:rPr>
                                <w:rFonts w:hint="eastAsia" w:ascii="仿宋" w:hAnsi="仿宋" w:eastAsia="仿宋"/>
                                <w:b/>
                                <w:sz w:val="18"/>
                                <w:szCs w:val="18"/>
                              </w:rPr>
                              <w:t>教育支出</w:t>
                            </w:r>
                            <w:r>
                              <w:rPr>
                                <w:rFonts w:hint="eastAsia"/>
                              </w:rPr>
                              <w:t>81.42%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3pt;margin-top:108.7pt;height:25.5pt;width:84.75pt;z-index:251659264;mso-width-relative:page;mso-height-relative:page;" fillcolor="#FFFFFF [3201]" filled="t" stroked="t" coordsize="21600,21600" o:gfxdata="UEsDBAoAAAAAAIdO4kAAAAAAAAAAAAAAAAAEAAAAZHJzL1BLAwQUAAAACACHTuJAOYjwotgAAAAL&#10;AQAADwAAAGRycy9kb3ducmV2LnhtbE2PwU7DMAyG70i8Q2Qkbixtt3VVaToJJCTEjdELt6zx2orE&#10;qZJsHW+POcHR9qff39/sr86KC4Y4eVKQrzIQSL03Ew0Kuo+XhwpETJqMtp5QwTdG2Le3N42ujV/o&#10;HS+HNAgOoVhrBWNKcy1l7Ed0Oq78jMS3kw9OJx7DIE3QC4c7K4ssK6XTE/GHUc/4PGL/dTg7Ba/l&#10;U/rEzryZdbH2Syf7cLJRqfu7PHsEkfCa/mD41Wd1aNnp6M9korAKttuqZFRBke82IJjYFVUO4sib&#10;stqAbBv5v0P7A1BLAwQUAAAACACHTuJAa+k5wGQCAADDBAAADgAAAGRycy9lMm9Eb2MueG1srVTB&#10;bhMxEL0j8Q+W73STTZqEKJsqtApCqmilgjg7Xm/WwvYY28lu+QD4A05cuPNd/Q7G3k0bWg49kIMz&#10;9ry8mXkzk8VZqxXZC+clmIIOTwaUCMOhlGZb0I8f1q9mlPjATMkUGFHQW+Hp2fLli0Vj5yKHGlQp&#10;HEES4+eNLWgdgp1nmee10MyfgBUGnRU4zQJe3TYrHWuQXassHwwmWQOutA648B5fLzon7Rndcwih&#10;qiQXF8B3WpjQsTqhWMCSfC2tp8uUbVUJHq6qyotAVEGx0pBODIL2Jp7ZcsHmW8dsLXmfAntOCo9q&#10;0kwaDHpPdcECIzsnn1BpyR14qMIJB511hSRFsIrh4JE2NzWzItWCUnt7L7r/f7T8/f7aEVkWNKfE&#10;MI0Nv/vx/e7n77tf30ge5WmsnyPqxiIutG+gxaE5vHt8jFW3ldPxG+sh6B8Nx9PBBCW+RdrZeDoa&#10;90KLNhAeCQbTySg/pYQjYpSPZqcJkD0wWefDWwGaRKOgDhuZ9GX7Sx8wK4QeIDGwByXLtVQqXdx2&#10;c64c2TNs+jp9YsL4k79gypCmoJMRxn5CEbnvKTaK8c9PGZBPGaSNAnVCRCu0m7ZXbQPlLYrmoJs6&#10;b/laIu8l8+GaORwzVAgXMVzhUSnAZKC3KKnBff3Xe8Rj99FLSYNjW1D/ZcecoES9MzgXr4djFJuE&#10;dBmfTnO8uGPP5thjdvocUKQhrrzlyYz4oA5m5UB/wn1dxajoYoZj7IKGg3keumXCfeditUognGzL&#10;wqW5sTxSR3ENrHYBKplaF2XqtOnVw9lO7en3MC7P8T2hHv57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YjwotgAAAALAQAADwAAAAAAAAABACAAAAAiAAAAZHJzL2Rvd25yZXYueG1sUEsBAhQA&#10;FAAAAAgAh07iQGvpOcBkAgAAwwQAAA4AAAAAAAAAAQAgAAAAJwEAAGRycy9lMm9Eb2MueG1sUEsF&#10;BgAAAAAGAAYAWQEAAP0FAAAAAA==&#10;">
                <v:fill on="t" focussize="0,0"/>
                <v:stroke weight="0.5pt" color="#000000 [3204]" joinstyle="round"/>
                <v:imagedata o:title=""/>
                <o:lock v:ext="edit" aspectratio="f"/>
                <v:textbox>
                  <w:txbxContent>
                    <w:p w14:paraId="32CF7901">
                      <w:r>
                        <w:rPr>
                          <w:rFonts w:hint="eastAsia" w:ascii="仿宋" w:hAnsi="仿宋" w:eastAsia="仿宋"/>
                          <w:b/>
                          <w:sz w:val="18"/>
                          <w:szCs w:val="18"/>
                        </w:rPr>
                        <w:t>教育支出</w:t>
                      </w:r>
                      <w:r>
                        <w:rPr>
                          <w:rFonts w:hint="eastAsia"/>
                        </w:rPr>
                        <w:t>81.42%</w:t>
                      </w:r>
                    </w:p>
                  </w:txbxContent>
                </v:textbox>
              </v:shape>
            </w:pict>
          </mc:Fallback>
        </mc:AlternateContent>
      </w:r>
      <w:r>
        <w:rPr>
          <w:rFonts w:hint="eastAsia" w:eastAsiaTheme="minorEastAsia"/>
        </w:rPr>
        <w:drawing>
          <wp:inline distT="0" distB="0" distL="114300" distR="114300">
            <wp:extent cx="5092700" cy="3273425"/>
            <wp:effectExtent l="0" t="0" r="12700" b="317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3"/>
                    <a:stretch>
                      <a:fillRect/>
                    </a:stretch>
                  </pic:blipFill>
                  <pic:spPr>
                    <a:xfrm>
                      <a:off x="0" y="0"/>
                      <a:ext cx="5092700" cy="3273425"/>
                    </a:xfrm>
                    <a:prstGeom prst="rect">
                      <a:avLst/>
                    </a:prstGeom>
                  </pic:spPr>
                </pic:pic>
              </a:graphicData>
            </a:graphic>
          </wp:inline>
        </w:drawing>
      </w:r>
    </w:p>
    <w:p w14:paraId="747C6850">
      <w:pPr>
        <w:spacing w:line="600" w:lineRule="exact"/>
        <w:ind w:firstLine="643" w:firstLineChars="200"/>
        <w:outlineLvl w:val="2"/>
        <w:rPr>
          <w:rFonts w:hint="eastAsia" w:ascii="仿宋" w:hAnsi="仿宋" w:eastAsia="仿宋"/>
          <w:b/>
          <w:sz w:val="32"/>
          <w:szCs w:val="32"/>
        </w:rPr>
      </w:pPr>
      <w:bookmarkStart w:id="25" w:name="_Toc15377212"/>
      <w:r>
        <w:rPr>
          <w:rFonts w:hint="eastAsia" w:ascii="仿宋" w:hAnsi="仿宋" w:eastAsia="仿宋"/>
          <w:b/>
          <w:sz w:val="32"/>
          <w:szCs w:val="32"/>
        </w:rPr>
        <w:t>（三）一般公共预算财政拨款支出决算具体情况</w:t>
      </w:r>
      <w:bookmarkEnd w:id="25"/>
    </w:p>
    <w:p w14:paraId="63BAABF0">
      <w:pPr>
        <w:spacing w:line="600" w:lineRule="exact"/>
        <w:ind w:firstLine="643" w:firstLineChars="200"/>
        <w:outlineLvl w:val="2"/>
        <w:rPr>
          <w:rFonts w:hint="eastAsia" w:ascii="仿宋" w:hAnsi="仿宋" w:eastAsia="仿宋"/>
          <w:sz w:val="32"/>
          <w:szCs w:val="32"/>
        </w:rPr>
      </w:pPr>
      <w:bookmarkStart w:id="26" w:name="_Toc15377213"/>
      <w:bookmarkStart w:id="27" w:name="_Toc15378460"/>
      <w:bookmarkStart w:id="28" w:name="_Toc15377444"/>
      <w:r>
        <w:rPr>
          <w:rFonts w:hint="eastAsia" w:ascii="仿宋" w:hAnsi="仿宋" w:eastAsia="仿宋"/>
          <w:b/>
          <w:sz w:val="32"/>
          <w:szCs w:val="32"/>
        </w:rPr>
        <w:t>2023年一般公共预算支出决算数为404.48万元</w:t>
      </w:r>
      <w:r>
        <w:rPr>
          <w:rFonts w:hint="eastAsia" w:ascii="仿宋" w:hAnsi="仿宋" w:eastAsia="仿宋"/>
          <w:sz w:val="32"/>
          <w:szCs w:val="32"/>
        </w:rPr>
        <w:t>，</w:t>
      </w:r>
      <w:r>
        <w:rPr>
          <w:rStyle w:val="12"/>
          <w:rFonts w:hint="eastAsia" w:ascii="仿宋" w:hAnsi="仿宋" w:eastAsia="仿宋"/>
          <w:bCs/>
          <w:sz w:val="32"/>
          <w:szCs w:val="32"/>
        </w:rPr>
        <w:t>完成预算100</w:t>
      </w:r>
      <w:r>
        <w:rPr>
          <w:rStyle w:val="12"/>
          <w:rFonts w:ascii="仿宋" w:hAnsi="仿宋" w:eastAsia="仿宋"/>
          <w:bCs/>
          <w:sz w:val="32"/>
          <w:szCs w:val="32"/>
        </w:rPr>
        <w:t>%</w:t>
      </w:r>
      <w:r>
        <w:rPr>
          <w:rStyle w:val="12"/>
          <w:rFonts w:hint="eastAsia" w:ascii="仿宋" w:hAnsi="仿宋" w:eastAsia="仿宋"/>
          <w:bCs/>
          <w:sz w:val="32"/>
          <w:szCs w:val="32"/>
        </w:rPr>
        <w:t>。其中：</w:t>
      </w:r>
      <w:bookmarkEnd w:id="26"/>
      <w:bookmarkEnd w:id="27"/>
      <w:bookmarkEnd w:id="28"/>
    </w:p>
    <w:p w14:paraId="0B62FF2A">
      <w:pPr>
        <w:spacing w:line="600" w:lineRule="exact"/>
        <w:ind w:firstLine="643" w:firstLineChars="200"/>
        <w:rPr>
          <w:rStyle w:val="12"/>
          <w:rFonts w:hint="eastAsia" w:ascii="仿宋" w:hAnsi="仿宋" w:eastAsia="仿宋"/>
          <w:b w:val="0"/>
          <w:bCs/>
          <w:sz w:val="32"/>
          <w:szCs w:val="32"/>
        </w:rPr>
      </w:pPr>
      <w:r>
        <w:rPr>
          <w:rStyle w:val="12"/>
          <w:rFonts w:hint="eastAsia" w:ascii="仿宋" w:hAnsi="仿宋" w:eastAsia="仿宋"/>
          <w:bCs/>
          <w:sz w:val="32"/>
          <w:szCs w:val="32"/>
        </w:rPr>
        <w:t>1</w:t>
      </w:r>
      <w:r>
        <w:rPr>
          <w:rStyle w:val="12"/>
          <w:rFonts w:ascii="仿宋" w:hAnsi="仿宋" w:eastAsia="仿宋"/>
          <w:bCs/>
          <w:sz w:val="32"/>
          <w:szCs w:val="32"/>
        </w:rPr>
        <w:t>.</w:t>
      </w:r>
      <w:r>
        <w:rPr>
          <w:rStyle w:val="12"/>
          <w:rFonts w:hint="eastAsia" w:ascii="仿宋" w:hAnsi="仿宋" w:eastAsia="仿宋"/>
          <w:bCs/>
          <w:sz w:val="32"/>
          <w:szCs w:val="32"/>
        </w:rPr>
        <w:t>教育（类）普通教育（款）学前教育（项）</w:t>
      </w:r>
      <w:r>
        <w:rPr>
          <w:rStyle w:val="12"/>
          <w:rFonts w:ascii="仿宋" w:hAnsi="仿宋" w:eastAsia="仿宋"/>
          <w:bCs/>
          <w:sz w:val="32"/>
          <w:szCs w:val="32"/>
        </w:rPr>
        <w:t>:</w:t>
      </w:r>
      <w:r>
        <w:rPr>
          <w:rStyle w:val="12"/>
          <w:rFonts w:ascii="仿宋" w:hAnsi="仿宋" w:eastAsia="仿宋"/>
          <w:b w:val="0"/>
          <w:bCs/>
          <w:sz w:val="32"/>
          <w:szCs w:val="32"/>
        </w:rPr>
        <w:t xml:space="preserve"> </w:t>
      </w:r>
      <w:r>
        <w:rPr>
          <w:rStyle w:val="12"/>
          <w:rFonts w:hint="eastAsia" w:ascii="仿宋" w:hAnsi="仿宋" w:eastAsia="仿宋"/>
          <w:b w:val="0"/>
          <w:bCs/>
          <w:sz w:val="32"/>
          <w:szCs w:val="32"/>
        </w:rPr>
        <w:t>支出决算为31.22万元，完成预算100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6FE3B417">
      <w:pPr>
        <w:spacing w:line="600" w:lineRule="exact"/>
        <w:ind w:firstLine="643" w:firstLineChars="200"/>
        <w:rPr>
          <w:rStyle w:val="12"/>
          <w:rFonts w:hint="eastAsia" w:ascii="仿宋" w:hAnsi="仿宋" w:eastAsia="仿宋"/>
          <w:b w:val="0"/>
          <w:bCs/>
          <w:sz w:val="32"/>
          <w:szCs w:val="32"/>
        </w:rPr>
      </w:pPr>
      <w:r>
        <w:rPr>
          <w:rStyle w:val="12"/>
          <w:rFonts w:hint="eastAsia" w:ascii="仿宋" w:hAnsi="仿宋" w:eastAsia="仿宋"/>
          <w:bCs/>
          <w:sz w:val="32"/>
          <w:szCs w:val="32"/>
        </w:rPr>
        <w:t>2</w:t>
      </w:r>
      <w:r>
        <w:rPr>
          <w:rStyle w:val="12"/>
          <w:rFonts w:ascii="仿宋" w:hAnsi="仿宋" w:eastAsia="仿宋"/>
          <w:bCs/>
          <w:sz w:val="32"/>
          <w:szCs w:val="32"/>
        </w:rPr>
        <w:t>.</w:t>
      </w:r>
      <w:r>
        <w:rPr>
          <w:rStyle w:val="12"/>
          <w:rFonts w:hint="eastAsia" w:ascii="仿宋" w:hAnsi="仿宋" w:eastAsia="仿宋"/>
          <w:bCs/>
          <w:sz w:val="32"/>
          <w:szCs w:val="32"/>
        </w:rPr>
        <w:t>教育（类）普通教育（款）小学教育（项）</w:t>
      </w:r>
      <w:r>
        <w:rPr>
          <w:rStyle w:val="12"/>
          <w:rFonts w:ascii="仿宋" w:hAnsi="仿宋" w:eastAsia="仿宋"/>
          <w:bCs/>
          <w:sz w:val="32"/>
          <w:szCs w:val="32"/>
        </w:rPr>
        <w:t>:</w:t>
      </w:r>
      <w:r>
        <w:rPr>
          <w:rStyle w:val="12"/>
          <w:rFonts w:ascii="仿宋" w:hAnsi="仿宋" w:eastAsia="仿宋"/>
          <w:b w:val="0"/>
          <w:bCs/>
          <w:sz w:val="32"/>
          <w:szCs w:val="32"/>
        </w:rPr>
        <w:t xml:space="preserve"> </w:t>
      </w:r>
      <w:r>
        <w:rPr>
          <w:rStyle w:val="12"/>
          <w:rFonts w:hint="eastAsia" w:ascii="仿宋" w:hAnsi="仿宋" w:eastAsia="仿宋"/>
          <w:b w:val="0"/>
          <w:bCs/>
          <w:sz w:val="32"/>
          <w:szCs w:val="32"/>
        </w:rPr>
        <w:t>支出决算为298.08万元，完成预算100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0D80BB4A">
      <w:pPr>
        <w:spacing w:line="600" w:lineRule="exact"/>
        <w:ind w:firstLine="643" w:firstLineChars="200"/>
        <w:rPr>
          <w:rFonts w:hint="eastAsia" w:ascii="仿宋" w:hAnsi="仿宋" w:eastAsia="仿宋"/>
          <w:b/>
          <w:sz w:val="32"/>
          <w:szCs w:val="32"/>
        </w:rPr>
      </w:pPr>
      <w:r>
        <w:rPr>
          <w:rStyle w:val="12"/>
          <w:rFonts w:hint="eastAsia" w:ascii="仿宋" w:hAnsi="仿宋" w:eastAsia="仿宋"/>
          <w:bCs/>
          <w:sz w:val="32"/>
          <w:szCs w:val="32"/>
        </w:rPr>
        <w:t>3</w:t>
      </w:r>
      <w:r>
        <w:rPr>
          <w:rStyle w:val="12"/>
          <w:rFonts w:ascii="仿宋" w:hAnsi="仿宋" w:eastAsia="仿宋"/>
          <w:bCs/>
          <w:sz w:val="32"/>
          <w:szCs w:val="32"/>
        </w:rPr>
        <w:t>.</w:t>
      </w:r>
      <w:r>
        <w:rPr>
          <w:rStyle w:val="12"/>
          <w:rFonts w:hint="eastAsia" w:ascii="仿宋" w:hAnsi="仿宋" w:eastAsia="仿宋"/>
          <w:bCs/>
          <w:sz w:val="32"/>
          <w:szCs w:val="32"/>
        </w:rPr>
        <w:t>社会保障和就业（类）行政事业单位养老（款）机关事业单位基本养老保险缴费（项）</w:t>
      </w:r>
      <w:r>
        <w:rPr>
          <w:rStyle w:val="12"/>
          <w:rFonts w:ascii="仿宋" w:hAnsi="仿宋" w:eastAsia="仿宋"/>
          <w:bCs/>
          <w:sz w:val="32"/>
          <w:szCs w:val="32"/>
        </w:rPr>
        <w:t>:</w:t>
      </w:r>
      <w:r>
        <w:rPr>
          <w:rStyle w:val="12"/>
          <w:rFonts w:ascii="仿宋" w:hAnsi="仿宋" w:eastAsia="仿宋"/>
          <w:b w:val="0"/>
          <w:bCs/>
          <w:sz w:val="32"/>
          <w:szCs w:val="32"/>
        </w:rPr>
        <w:t xml:space="preserve"> </w:t>
      </w:r>
      <w:r>
        <w:rPr>
          <w:rStyle w:val="12"/>
          <w:rFonts w:hint="eastAsia" w:ascii="仿宋" w:hAnsi="仿宋" w:eastAsia="仿宋"/>
          <w:b w:val="0"/>
          <w:bCs/>
          <w:sz w:val="32"/>
          <w:szCs w:val="32"/>
        </w:rPr>
        <w:t>支出决算为41.37万元，完成预算100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1E9DACC6">
      <w:pPr>
        <w:spacing w:line="600" w:lineRule="exact"/>
        <w:ind w:firstLine="643" w:firstLineChars="200"/>
      </w:pPr>
      <w:r>
        <w:rPr>
          <w:rStyle w:val="12"/>
          <w:rFonts w:hint="eastAsia" w:ascii="仿宋" w:hAnsi="仿宋" w:eastAsia="仿宋"/>
          <w:bCs/>
          <w:sz w:val="32"/>
          <w:szCs w:val="32"/>
        </w:rPr>
        <w:t>4</w:t>
      </w:r>
      <w:r>
        <w:rPr>
          <w:rStyle w:val="12"/>
          <w:rFonts w:ascii="仿宋" w:hAnsi="仿宋" w:eastAsia="仿宋"/>
          <w:bCs/>
          <w:sz w:val="32"/>
          <w:szCs w:val="32"/>
        </w:rPr>
        <w:t>.</w:t>
      </w:r>
      <w:r>
        <w:rPr>
          <w:rFonts w:hint="eastAsia" w:ascii="仿宋" w:hAnsi="仿宋" w:eastAsia="仿宋"/>
          <w:b/>
          <w:bCs/>
          <w:sz w:val="32"/>
          <w:szCs w:val="32"/>
        </w:rPr>
        <w:t>住房保障</w:t>
      </w:r>
      <w:r>
        <w:rPr>
          <w:rStyle w:val="12"/>
          <w:rFonts w:hint="eastAsia" w:ascii="仿宋" w:hAnsi="仿宋" w:eastAsia="仿宋"/>
          <w:bCs/>
          <w:sz w:val="32"/>
          <w:szCs w:val="32"/>
        </w:rPr>
        <w:t>（类）住房改革（款）住房公积金（项）</w:t>
      </w:r>
      <w:r>
        <w:rPr>
          <w:rStyle w:val="12"/>
          <w:rFonts w:ascii="仿宋" w:hAnsi="仿宋" w:eastAsia="仿宋"/>
          <w:bCs/>
          <w:sz w:val="32"/>
          <w:szCs w:val="32"/>
        </w:rPr>
        <w:t>:</w:t>
      </w:r>
      <w:r>
        <w:rPr>
          <w:rStyle w:val="12"/>
          <w:rFonts w:hint="eastAsia" w:ascii="仿宋" w:hAnsi="仿宋" w:eastAsia="仿宋"/>
          <w:b w:val="0"/>
          <w:bCs/>
          <w:sz w:val="32"/>
          <w:szCs w:val="32"/>
        </w:rPr>
        <w:t>支出决算为21.15万元，完成预算100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21F9E5D3">
      <w:pPr>
        <w:spacing w:line="600" w:lineRule="exact"/>
        <w:ind w:firstLine="643" w:firstLineChars="200"/>
      </w:pPr>
      <w:r>
        <w:rPr>
          <w:rStyle w:val="12"/>
          <w:rFonts w:hint="eastAsia" w:ascii="仿宋" w:hAnsi="仿宋" w:eastAsia="仿宋"/>
          <w:bCs/>
          <w:sz w:val="32"/>
          <w:szCs w:val="32"/>
        </w:rPr>
        <w:t>5</w:t>
      </w:r>
      <w:r>
        <w:rPr>
          <w:rStyle w:val="12"/>
          <w:rFonts w:ascii="仿宋" w:hAnsi="仿宋" w:eastAsia="仿宋"/>
          <w:bCs/>
          <w:sz w:val="32"/>
          <w:szCs w:val="32"/>
        </w:rPr>
        <w:t>.</w:t>
      </w:r>
      <w:r>
        <w:rPr>
          <w:rFonts w:hint="eastAsia" w:ascii="仿宋" w:hAnsi="仿宋" w:eastAsia="仿宋"/>
          <w:b/>
          <w:bCs/>
          <w:sz w:val="32"/>
          <w:szCs w:val="32"/>
        </w:rPr>
        <w:t>卫生健康</w:t>
      </w:r>
      <w:r>
        <w:rPr>
          <w:rStyle w:val="12"/>
          <w:rFonts w:hint="eastAsia" w:ascii="仿宋" w:hAnsi="仿宋" w:eastAsia="仿宋"/>
          <w:bCs/>
          <w:sz w:val="32"/>
          <w:szCs w:val="32"/>
        </w:rPr>
        <w:t>（类）行政事业单位医疗（款）事业单位医疗（项）：</w:t>
      </w:r>
      <w:r>
        <w:rPr>
          <w:rStyle w:val="12"/>
          <w:rFonts w:hint="eastAsia" w:ascii="仿宋" w:hAnsi="仿宋" w:eastAsia="仿宋"/>
          <w:b w:val="0"/>
          <w:bCs/>
          <w:sz w:val="32"/>
          <w:szCs w:val="32"/>
        </w:rPr>
        <w:t>支出决算为12.66万元，完成预算100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0AF2847B">
      <w:pPr>
        <w:tabs>
          <w:tab w:val="right" w:pos="8306"/>
        </w:tabs>
        <w:spacing w:line="600" w:lineRule="exact"/>
        <w:ind w:firstLine="640"/>
        <w:outlineLvl w:val="1"/>
        <w:rPr>
          <w:rStyle w:val="14"/>
        </w:rPr>
      </w:pPr>
      <w:bookmarkStart w:id="29" w:name="_Toc15377214"/>
      <w:bookmarkStart w:id="3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4"/>
          <w:rFonts w:hint="eastAsia" w:ascii="黑体" w:hAnsi="黑体" w:eastAsia="黑体"/>
          <w:b w:val="0"/>
        </w:rPr>
        <w:t>般公共预算财政拨款基本支出决算情况说明</w:t>
      </w:r>
      <w:bookmarkEnd w:id="29"/>
      <w:bookmarkEnd w:id="30"/>
      <w:r>
        <w:rPr>
          <w:rStyle w:val="14"/>
          <w:rFonts w:ascii="黑体" w:hAnsi="黑体" w:eastAsia="黑体"/>
          <w:b w:val="0"/>
        </w:rPr>
        <w:tab/>
      </w:r>
    </w:p>
    <w:p w14:paraId="14D11856">
      <w:pPr>
        <w:spacing w:line="600" w:lineRule="exact"/>
        <w:ind w:firstLine="645"/>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23年一般公共预算财政拨款基本支出360.89万元，其中：</w:t>
      </w:r>
    </w:p>
    <w:p w14:paraId="349F50D1">
      <w:pPr>
        <w:spacing w:line="600" w:lineRule="exact"/>
        <w:ind w:firstLine="645"/>
        <w:rPr>
          <w:rFonts w:hint="eastAsia" w:ascii="仿宋" w:hAnsi="仿宋" w:eastAsia="仿宋"/>
          <w:sz w:val="32"/>
          <w:szCs w:val="32"/>
        </w:rPr>
      </w:pPr>
      <w:r>
        <w:rPr>
          <w:rFonts w:hint="eastAsia" w:ascii="仿宋" w:hAnsi="仿宋" w:eastAsia="仿宋"/>
          <w:sz w:val="32"/>
          <w:szCs w:val="32"/>
        </w:rPr>
        <w:t>人员经费276.68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57.3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EEC36E5">
      <w:pPr>
        <w:spacing w:line="600" w:lineRule="exact"/>
        <w:ind w:firstLine="645"/>
        <w:rPr>
          <w:rFonts w:hint="eastAsia" w:ascii="仿宋" w:hAnsi="仿宋" w:eastAsia="仿宋"/>
          <w:sz w:val="32"/>
          <w:szCs w:val="32"/>
        </w:rPr>
      </w:pPr>
      <w:r>
        <w:rPr>
          <w:rFonts w:hint="eastAsia" w:ascii="仿宋" w:hAnsi="仿宋" w:eastAsia="仿宋"/>
          <w:sz w:val="32"/>
          <w:szCs w:val="32"/>
        </w:rPr>
        <w:t>对个人和家庭的补助经费26.91万元，主要包括：离休费、退休费、退职（役）费、抚恤金、生活补助、救济费、医疗费补助、助学金、奖励金、代缴社会保险费、其他个人和家庭的补助支出等。</w:t>
      </w:r>
    </w:p>
    <w:p w14:paraId="2702C848">
      <w:pPr>
        <w:spacing w:line="600" w:lineRule="exact"/>
        <w:ind w:firstLine="640"/>
        <w:outlineLvl w:val="1"/>
        <w:rPr>
          <w:rStyle w:val="14"/>
          <w:rFonts w:hint="eastAsia" w:ascii="黑体" w:hAnsi="黑体" w:eastAsia="黑体"/>
          <w:b w:val="0"/>
        </w:rPr>
      </w:pPr>
      <w:bookmarkStart w:id="31" w:name="_Toc15396609"/>
      <w:bookmarkStart w:id="32" w:name="_Toc15377215"/>
      <w:r>
        <w:rPr>
          <w:rFonts w:hint="eastAsia" w:ascii="黑体" w:eastAsia="黑体"/>
          <w:sz w:val="32"/>
          <w:szCs w:val="32"/>
        </w:rPr>
        <w:t>七、</w:t>
      </w:r>
      <w:r>
        <w:rPr>
          <w:rStyle w:val="14"/>
          <w:rFonts w:hint="eastAsia" w:ascii="黑体" w:hAnsi="黑体" w:eastAsia="黑体"/>
          <w:b w:val="0"/>
        </w:rPr>
        <w:t>财政拨款</w:t>
      </w:r>
      <w:r>
        <w:rPr>
          <w:rStyle w:val="14"/>
          <w:rFonts w:hint="eastAsia" w:ascii="黑体" w:hAnsi="黑体" w:eastAsia="黑体"/>
        </w:rPr>
        <w:t>“</w:t>
      </w:r>
      <w:r>
        <w:rPr>
          <w:rStyle w:val="14"/>
          <w:rFonts w:hint="eastAsia" w:ascii="黑体" w:hAnsi="黑体" w:eastAsia="黑体"/>
          <w:b w:val="0"/>
        </w:rPr>
        <w:t>三公”经费支出决算情况说明</w:t>
      </w:r>
      <w:bookmarkEnd w:id="31"/>
      <w:bookmarkEnd w:id="32"/>
    </w:p>
    <w:p w14:paraId="30CA4ADF">
      <w:pPr>
        <w:spacing w:line="600" w:lineRule="exact"/>
        <w:ind w:firstLine="640"/>
        <w:outlineLvl w:val="2"/>
        <w:rPr>
          <w:rFonts w:hint="eastAsia" w:ascii="仿宋" w:hAnsi="仿宋" w:eastAsia="仿宋"/>
          <w:b/>
          <w:sz w:val="32"/>
          <w:szCs w:val="32"/>
        </w:rPr>
      </w:pPr>
      <w:bookmarkStart w:id="33" w:name="_Toc15377216"/>
      <w:r>
        <w:rPr>
          <w:rFonts w:hint="eastAsia" w:ascii="仿宋" w:hAnsi="仿宋" w:eastAsia="仿宋"/>
          <w:b/>
          <w:sz w:val="32"/>
          <w:szCs w:val="32"/>
        </w:rPr>
        <w:t>（一）“三公”经费财政拨款支出决算总体情况说明</w:t>
      </w:r>
      <w:bookmarkEnd w:id="33"/>
    </w:p>
    <w:p w14:paraId="5BA7293F">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23年“三公”经费财政拨款支出决算为0万元，</w:t>
      </w:r>
      <w:r>
        <w:rPr>
          <w:rFonts w:hint="eastAsia" w:ascii="仿宋" w:hAnsi="仿宋" w:eastAsia="仿宋"/>
          <w:sz w:val="32"/>
          <w:szCs w:val="32"/>
          <w:lang w:eastAsia="zh-CN"/>
        </w:rPr>
        <w:t>与上年持平</w:t>
      </w:r>
      <w:r>
        <w:rPr>
          <w:rFonts w:hint="eastAsia" w:ascii="仿宋" w:hAnsi="仿宋" w:eastAsia="仿宋"/>
          <w:sz w:val="32"/>
          <w:szCs w:val="32"/>
        </w:rPr>
        <w:t>。</w:t>
      </w:r>
    </w:p>
    <w:p w14:paraId="36E646BB">
      <w:pPr>
        <w:spacing w:line="600" w:lineRule="exact"/>
        <w:ind w:firstLine="640"/>
        <w:outlineLvl w:val="2"/>
        <w:rPr>
          <w:rFonts w:hint="eastAsia" w:ascii="仿宋" w:hAnsi="仿宋" w:eastAsia="仿宋"/>
          <w:b/>
          <w:sz w:val="32"/>
          <w:szCs w:val="32"/>
        </w:rPr>
      </w:pPr>
      <w:bookmarkStart w:id="34" w:name="_Toc15377217"/>
      <w:r>
        <w:rPr>
          <w:rFonts w:hint="eastAsia" w:ascii="仿宋" w:hAnsi="仿宋" w:eastAsia="仿宋"/>
          <w:b/>
          <w:sz w:val="32"/>
          <w:szCs w:val="32"/>
        </w:rPr>
        <w:t>（二）“三公”经费财政拨款支出决算具体情况说明</w:t>
      </w:r>
      <w:bookmarkEnd w:id="34"/>
    </w:p>
    <w:p w14:paraId="3B343C8A">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5E035458">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2"/>
          <w:rFonts w:hint="eastAsia" w:ascii="仿宋" w:hAnsi="仿宋" w:eastAsia="仿宋"/>
          <w:b w:val="0"/>
          <w:bCs/>
          <w:sz w:val="32"/>
          <w:szCs w:val="32"/>
        </w:rPr>
        <w:t>完成预算0</w:t>
      </w:r>
      <w:r>
        <w:rPr>
          <w:rStyle w:val="12"/>
          <w:rFonts w:ascii="仿宋" w:hAnsi="仿宋" w:eastAsia="仿宋"/>
          <w:b w:val="0"/>
          <w:bCs/>
          <w:sz w:val="32"/>
          <w:szCs w:val="32"/>
        </w:rPr>
        <w:t>%</w:t>
      </w:r>
      <w:r>
        <w:rPr>
          <w:rStyle w:val="12"/>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持平</w:t>
      </w:r>
      <w:r>
        <w:rPr>
          <w:rFonts w:hint="eastAsia" w:ascii="仿宋_GB2312" w:eastAsia="仿宋_GB2312"/>
          <w:sz w:val="32"/>
          <w:szCs w:val="32"/>
        </w:rPr>
        <w:t>。</w:t>
      </w:r>
    </w:p>
    <w:p w14:paraId="40C7A87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2"/>
          <w:rFonts w:hint="eastAsia" w:ascii="仿宋" w:hAnsi="仿宋" w:eastAsia="仿宋"/>
          <w:b w:val="0"/>
          <w:bCs/>
          <w:sz w:val="32"/>
          <w:szCs w:val="32"/>
        </w:rPr>
        <w:t>完成预算0</w:t>
      </w:r>
      <w:r>
        <w:rPr>
          <w:rStyle w:val="12"/>
          <w:rFonts w:ascii="仿宋" w:hAnsi="仿宋" w:eastAsia="仿宋"/>
          <w:b w:val="0"/>
          <w:bCs/>
          <w:sz w:val="32"/>
          <w:szCs w:val="32"/>
        </w:rPr>
        <w:t>%</w:t>
      </w:r>
      <w:r>
        <w:rPr>
          <w:rStyle w:val="12"/>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持平</w:t>
      </w:r>
      <w:r>
        <w:rPr>
          <w:rFonts w:hint="eastAsia" w:ascii="仿宋_GB2312" w:eastAsia="仿宋_GB2312"/>
          <w:sz w:val="32"/>
          <w:szCs w:val="32"/>
        </w:rPr>
        <w:t>。</w:t>
      </w:r>
    </w:p>
    <w:p w14:paraId="469761D5">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月底，单位共有公务用车0辆。</w:t>
      </w:r>
    </w:p>
    <w:p w14:paraId="3890F87A">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2C9940D4">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2"/>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持平</w:t>
      </w:r>
      <w:r>
        <w:rPr>
          <w:rFonts w:hint="eastAsia" w:ascii="仿宋_GB2312" w:eastAsia="仿宋_GB2312"/>
          <w:sz w:val="32"/>
          <w:szCs w:val="32"/>
        </w:rPr>
        <w:t>。其中：</w:t>
      </w:r>
    </w:p>
    <w:p w14:paraId="0E58DD0F">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14:paraId="02254C57">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35" w:name="_Toc15396610"/>
      <w:bookmarkStart w:id="36" w:name="_Toc15377218"/>
    </w:p>
    <w:p w14:paraId="6BEE4872">
      <w:pPr>
        <w:spacing w:line="600" w:lineRule="exact"/>
        <w:ind w:firstLine="640"/>
        <w:outlineLvl w:val="1"/>
        <w:rPr>
          <w:rStyle w:val="14"/>
          <w:rFonts w:hint="eastAsia" w:ascii="黑体" w:hAnsi="黑体" w:eastAsia="黑体"/>
        </w:rPr>
      </w:pPr>
      <w:r>
        <w:rPr>
          <w:rFonts w:hint="eastAsia" w:ascii="黑体" w:eastAsia="黑体"/>
          <w:sz w:val="32"/>
          <w:szCs w:val="32"/>
        </w:rPr>
        <w:t>八、</w:t>
      </w:r>
      <w:r>
        <w:rPr>
          <w:rStyle w:val="14"/>
          <w:rFonts w:hint="eastAsia" w:ascii="黑体" w:hAnsi="黑体" w:eastAsia="黑体"/>
          <w:b w:val="0"/>
        </w:rPr>
        <w:t>政府性基金预算支出决算情况说明</w:t>
      </w:r>
      <w:bookmarkEnd w:id="35"/>
      <w:bookmarkEnd w:id="36"/>
    </w:p>
    <w:p w14:paraId="2F5E2904">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14:paraId="4A5842B6">
      <w:pPr>
        <w:numPr>
          <w:ilvl w:val="0"/>
          <w:numId w:val="3"/>
        </w:numPr>
        <w:spacing w:line="600" w:lineRule="exact"/>
        <w:ind w:firstLine="640"/>
        <w:outlineLvl w:val="1"/>
        <w:rPr>
          <w:rStyle w:val="14"/>
          <w:rFonts w:hint="eastAsia" w:ascii="黑体" w:hAnsi="黑体" w:eastAsia="黑体"/>
          <w:b w:val="0"/>
        </w:rPr>
      </w:pPr>
      <w:bookmarkStart w:id="37" w:name="_Toc15377219"/>
      <w:bookmarkStart w:id="38" w:name="_Toc15396611"/>
      <w:r>
        <w:rPr>
          <w:rStyle w:val="14"/>
          <w:rFonts w:hint="eastAsia" w:ascii="黑体" w:hAnsi="黑体" w:eastAsia="黑体"/>
          <w:b w:val="0"/>
        </w:rPr>
        <w:t>国有资本经营预算支出决算情况说明</w:t>
      </w:r>
      <w:bookmarkEnd w:id="37"/>
      <w:bookmarkEnd w:id="38"/>
    </w:p>
    <w:p w14:paraId="37042C2A">
      <w:pPr>
        <w:spacing w:line="600" w:lineRule="exact"/>
        <w:ind w:firstLine="640"/>
        <w:rPr>
          <w:rFonts w:hint="eastAsia"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361F1E40">
      <w:pPr>
        <w:numPr>
          <w:ilvl w:val="0"/>
          <w:numId w:val="3"/>
        </w:numPr>
        <w:spacing w:line="600" w:lineRule="exact"/>
        <w:ind w:firstLine="640"/>
        <w:outlineLvl w:val="1"/>
        <w:rPr>
          <w:rStyle w:val="14"/>
          <w:rFonts w:hint="eastAsia" w:ascii="黑体" w:hAnsi="黑体" w:eastAsia="黑体"/>
          <w:b w:val="0"/>
        </w:rPr>
      </w:pPr>
      <w:bookmarkStart w:id="39" w:name="_Toc15377221"/>
      <w:bookmarkStart w:id="40" w:name="_Toc15396612"/>
      <w:r>
        <w:rPr>
          <w:rStyle w:val="14"/>
          <w:rFonts w:hint="eastAsia" w:ascii="黑体" w:hAnsi="黑体" w:eastAsia="黑体"/>
          <w:b w:val="0"/>
        </w:rPr>
        <w:t>其他重要事项的情况说明</w:t>
      </w:r>
      <w:bookmarkEnd w:id="39"/>
      <w:bookmarkEnd w:id="40"/>
    </w:p>
    <w:p w14:paraId="62D852AB">
      <w:pPr>
        <w:spacing w:line="600" w:lineRule="exact"/>
        <w:ind w:firstLine="643" w:firstLineChars="200"/>
        <w:outlineLvl w:val="2"/>
        <w:rPr>
          <w:rFonts w:hint="eastAsia" w:ascii="仿宋" w:hAnsi="仿宋" w:eastAsia="仿宋"/>
          <w:sz w:val="32"/>
          <w:szCs w:val="32"/>
        </w:rPr>
      </w:pPr>
      <w:bookmarkStart w:id="41" w:name="_Toc15377222"/>
      <w:r>
        <w:rPr>
          <w:rFonts w:hint="eastAsia" w:ascii="仿宋" w:hAnsi="仿宋" w:eastAsia="仿宋"/>
          <w:b/>
          <w:sz w:val="32"/>
          <w:szCs w:val="32"/>
        </w:rPr>
        <w:t>（一）机关运行经费支出情况</w:t>
      </w:r>
      <w:bookmarkEnd w:id="41"/>
    </w:p>
    <w:p w14:paraId="1FE846A9">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23年，本单位机关运行经费支出0万元，与</w:t>
      </w:r>
      <w:r>
        <w:rPr>
          <w:rFonts w:ascii="仿宋_GB2312" w:eastAsia="仿宋_GB2312"/>
          <w:sz w:val="32"/>
          <w:szCs w:val="32"/>
        </w:rPr>
        <w:t>20</w:t>
      </w:r>
      <w:r>
        <w:rPr>
          <w:rFonts w:hint="eastAsia" w:ascii="仿宋_GB2312" w:eastAsia="仿宋_GB2312"/>
          <w:sz w:val="32"/>
          <w:szCs w:val="32"/>
        </w:rPr>
        <w:t>22年决算数持平。</w:t>
      </w:r>
    </w:p>
    <w:p w14:paraId="2CEB8163">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42" w:name="_Toc15377223"/>
      <w:r>
        <w:rPr>
          <w:rFonts w:hint="eastAsia" w:ascii="仿宋" w:hAnsi="仿宋" w:eastAsia="仿宋"/>
          <w:b/>
          <w:sz w:val="32"/>
          <w:szCs w:val="32"/>
        </w:rPr>
        <w:t>（二）政府采购支出情况</w:t>
      </w:r>
      <w:bookmarkEnd w:id="42"/>
    </w:p>
    <w:p w14:paraId="61CF6B16">
      <w:pPr>
        <w:spacing w:line="600" w:lineRule="exact"/>
        <w:ind w:firstLine="640" w:firstLineChars="20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23年，本单位政府采购支出总额0万元。授予中小企业合同金额0万元，占政府采购支出总额的0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7AC75E12">
      <w:pPr>
        <w:pStyle w:val="2"/>
      </w:pPr>
    </w:p>
    <w:p w14:paraId="6D4C06B4">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43" w:name="_Toc15377224"/>
      <w:r>
        <w:rPr>
          <w:rFonts w:hint="eastAsia" w:ascii="仿宋" w:hAnsi="仿宋" w:eastAsia="仿宋"/>
          <w:b/>
          <w:sz w:val="32"/>
          <w:szCs w:val="32"/>
        </w:rPr>
        <w:t>（三）国有资产占有使用情况</w:t>
      </w:r>
      <w:bookmarkEnd w:id="43"/>
    </w:p>
    <w:p w14:paraId="18AA0DD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日，本单位共有车辆0辆。单价50万元以上通用设备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万元以上专用设备0台（套）。</w:t>
      </w:r>
    </w:p>
    <w:p w14:paraId="4EE0F074">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14:paraId="267570B4">
      <w:pPr>
        <w:pStyle w:val="5"/>
        <w:spacing w:before="93"/>
        <w:ind w:firstLine="640" w:firstLineChars="200"/>
        <w:rPr>
          <w:highlight w:val="yellow"/>
        </w:rPr>
      </w:pPr>
      <w:r>
        <w:rPr>
          <w:rFonts w:hint="eastAsia" w:hAnsi="仿宋_GB2312" w:cs="仿宋_GB2312"/>
          <w:sz w:val="32"/>
          <w:szCs w:val="32"/>
        </w:rPr>
        <w:t>根据预算绩效管理要求，本单位在2023年度预算编制阶段，组织对营养餐改善计划、特岗教师、农村教师生活补助等</w:t>
      </w:r>
      <w:r>
        <w:rPr>
          <w:rFonts w:hint="eastAsia" w:hAnsi="仿宋_GB2312" w:cs="仿宋_GB2312"/>
          <w:sz w:val="32"/>
          <w:szCs w:val="32"/>
          <w:lang w:val="en-US" w:eastAsia="zh-CN"/>
        </w:rPr>
        <w:t>32</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32</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32</w:t>
      </w:r>
      <w:r>
        <w:rPr>
          <w:rFonts w:hint="eastAsia" w:hAnsi="仿宋_GB2312" w:cs="仿宋_GB2312"/>
          <w:sz w:val="32"/>
          <w:szCs w:val="32"/>
        </w:rPr>
        <w:t>个项目开展绩效监控，组织对</w:t>
      </w:r>
      <w:r>
        <w:rPr>
          <w:rFonts w:hint="eastAsia" w:hAnsi="仿宋_GB2312" w:cs="仿宋_GB2312"/>
          <w:sz w:val="32"/>
          <w:szCs w:val="32"/>
          <w:lang w:val="en-US" w:eastAsia="zh-CN"/>
        </w:rPr>
        <w:t>32</w:t>
      </w:r>
      <w:r>
        <w:rPr>
          <w:rFonts w:hint="eastAsia" w:hAnsi="仿宋_GB2312" w:cs="仿宋_GB2312"/>
          <w:sz w:val="32"/>
          <w:szCs w:val="32"/>
        </w:rPr>
        <w:t>个项目开展绩效自评，绩效自评表详见第四部分附件。</w:t>
      </w:r>
    </w:p>
    <w:p w14:paraId="027165B6">
      <w:pPr>
        <w:widowControl/>
        <w:jc w:val="left"/>
        <w:rPr>
          <w:rFonts w:ascii="仿宋_GB2312" w:eastAsia="仿宋_GB2312"/>
          <w:b/>
          <w:sz w:val="32"/>
          <w:szCs w:val="32"/>
        </w:rPr>
      </w:pPr>
      <w:r>
        <w:rPr>
          <w:rFonts w:ascii="仿宋_GB2312" w:eastAsia="仿宋_GB2312"/>
          <w:b/>
          <w:sz w:val="32"/>
          <w:szCs w:val="32"/>
        </w:rPr>
        <w:br w:type="page"/>
      </w:r>
    </w:p>
    <w:p w14:paraId="5357B30F">
      <w:pPr>
        <w:numPr>
          <w:ilvl w:val="0"/>
          <w:numId w:val="4"/>
        </w:numPr>
        <w:spacing w:line="600" w:lineRule="exact"/>
        <w:ind w:firstLine="660" w:firstLineChars="150"/>
        <w:jc w:val="center"/>
        <w:outlineLvl w:val="0"/>
        <w:rPr>
          <w:rStyle w:val="13"/>
          <w:rFonts w:hint="eastAsia" w:ascii="黑体" w:hAnsi="黑体" w:eastAsia="黑体"/>
          <w:b w:val="0"/>
        </w:rPr>
      </w:pPr>
      <w:bookmarkStart w:id="44" w:name="_Toc15396613"/>
      <w:bookmarkStart w:id="45" w:name="_Toc15377225"/>
      <w:r>
        <w:rPr>
          <w:rFonts w:hint="eastAsia" w:ascii="黑体" w:hAnsi="黑体" w:eastAsia="黑体"/>
          <w:sz w:val="44"/>
          <w:szCs w:val="44"/>
        </w:rPr>
        <w:t>名</w:t>
      </w:r>
      <w:r>
        <w:rPr>
          <w:rStyle w:val="13"/>
          <w:rFonts w:hint="eastAsia" w:ascii="黑体" w:hAnsi="黑体" w:eastAsia="黑体"/>
          <w:b w:val="0"/>
        </w:rPr>
        <w:t>词解释</w:t>
      </w:r>
      <w:bookmarkEnd w:id="44"/>
      <w:bookmarkEnd w:id="45"/>
    </w:p>
    <w:p w14:paraId="667D2C47">
      <w:pPr>
        <w:spacing w:line="600" w:lineRule="exact"/>
        <w:jc w:val="left"/>
        <w:rPr>
          <w:rFonts w:ascii="宋体"/>
          <w:b/>
          <w:sz w:val="44"/>
          <w:szCs w:val="44"/>
        </w:rPr>
      </w:pPr>
    </w:p>
    <w:p w14:paraId="6B188ADD">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14:paraId="27942FC8">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14:paraId="7AF9C9EB">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14:paraId="5BC43A66">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14:paraId="120148F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6596434">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14:paraId="3E66005F">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14:paraId="6A292269">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14:paraId="471A178C">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9.教育支出（类）教育管理事务（款）行政运行（项）:反映教育行政单位（包括实行公务员管理的事业单位）的基本支出</w:t>
      </w:r>
    </w:p>
    <w:p w14:paraId="4F0623EF">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10. 教育支出（类）教育管理事务（款）一般行政管理事务（项）:反映行政单位（包括实行公务员管理的事业单位）未单独设置项级科目的其它项目支出。</w:t>
      </w:r>
    </w:p>
    <w:p w14:paraId="399D6C01">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11. 教育支出（类）教育管理事务（款）其它教育管理事务支出（项）:反映除上述项目以外其它用户教育管理事务方面的支出。</w:t>
      </w:r>
    </w:p>
    <w:p w14:paraId="67453695">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12. 教育支出（类）普通教育（款）学前教育（项）:反映各部门举办的学前教育支出。</w:t>
      </w:r>
    </w:p>
    <w:p w14:paraId="654BD243">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13. 教育支出（类）普通教育（款）小学教育（项）:反映各部门举办的小学教育支出。政府各部门对社会中介组织等举办的小学的资助，如各类捐赠、补贴等，也在本科目中反映。</w:t>
      </w:r>
    </w:p>
    <w:p w14:paraId="28CE2FE7">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14. 教育支出（类）普通教育（款）初中教育（项）: 反映各部门举办的初中教育支出。政府各部门对社会中介组织等举办的初中教育的资助，如捐赠、补贴等，也在本科目中反映。</w:t>
      </w:r>
    </w:p>
    <w:p w14:paraId="09108969">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15. 教育支出（类）普通教育（款）高中教育（项）: 反映各部门举办的高级中学教育支出。政府各部门对社会中介组织等举办的高级中学的资助，如捐赠、补贴等，也在本科目中反映。</w:t>
      </w:r>
    </w:p>
    <w:p w14:paraId="5A74487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16. 教育支出（类）普通教育（款）其它普通教育（项）: 反映除上述项目以外其他用于普通教育方面的支出。</w:t>
      </w:r>
    </w:p>
    <w:p w14:paraId="3A0D472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17. 教育支出（类）职业教育（款）职业高中教育（项）: 反映各部门举办的职业中学、农业中学（含普通高中改制的）、半工（农）半读中学的支出或补助费</w:t>
      </w:r>
    </w:p>
    <w:p w14:paraId="2A6FDDBE">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18. 教育支出（类）职业教育（款）高等职业教育（项）:反映经国家批准设立的高等职业大学、专科职业教育等方面的支出。</w:t>
      </w:r>
    </w:p>
    <w:p w14:paraId="209A8071">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19. 教育支出（类）特殊教育（款）特殊学校教育（项）: 指各部门举办的盲童学校、聋哑学校、智力落后儿童学校、其它生理缺陷儿童学校的支出。</w:t>
      </w:r>
    </w:p>
    <w:p w14:paraId="623E2E4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20. 教育支出（类）特殊教育（款）工读学校教育（项）:指各部门举办的工读学校的支出。</w:t>
      </w:r>
    </w:p>
    <w:p w14:paraId="0682B26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21. 教育支出（类）教育附加费安排的支出（款）农村中小学校舍建设（项）:反映教育附加费安排用于农村中小学校舍新建、改建、修缮和维护的支出。</w:t>
      </w:r>
    </w:p>
    <w:p w14:paraId="5F0344B4">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22. 教育支出（类）教育附加费安排的支出（款）城市中小学校舍建设（项）: 反映教育附加费安排用于城市中小学校舍新建、改建、修缮和维护的支出。</w:t>
      </w:r>
    </w:p>
    <w:p w14:paraId="1B6F9013">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23. 教育支出（类）教育附加费安排的支出（款）其它教育附加费安排的支出（项）: 指除上述项目以外的教育附加费支出。</w:t>
      </w:r>
    </w:p>
    <w:p w14:paraId="21F6E4D9">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24. 教育支出（类）其它教育支出（款）其他教育支出（项）: 指上述项目以外其他用于教育方面的支出。</w:t>
      </w:r>
    </w:p>
    <w:p w14:paraId="17B6184D">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25. 社会保障和就业支出（类）行政事业单位离退休（款）机关事业单位基本养老保险缴费支出（项）: 指机关事业单位实施养老保险制度由单位缴纳的基本养老保险费支出。</w:t>
      </w:r>
    </w:p>
    <w:p w14:paraId="3FCEEFAE">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26. 社会保障和就业支出（类）行政事业单位离退休（款）机关事业单位职业年金缴费支出（项）: 指机关事业单位实施养老保险制度由单位实际缴纳的职业年金支出。</w:t>
      </w:r>
    </w:p>
    <w:p w14:paraId="00CDB869">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27. 社会保障和就业支出（类）抚恤（款）死亡抚恤（项）: 指按规定用于烈士和牺牲、病故人员家属的一次性和定期抚恤金以及丧葬补助费。</w:t>
      </w:r>
    </w:p>
    <w:p w14:paraId="6F285195">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78CEBF3B">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2E8B3AC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30. 农林水支出（类）扶贫（款）其它扶贫支出（项）: 指除上述项目以外其他用于扶贫方面的支出。</w:t>
      </w:r>
    </w:p>
    <w:p w14:paraId="2E5B10B4">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31. 住房保障支出（类）住房改革支出（款）住房公积金（项）: 指行政事业单位按人力资源和社会保障部、财政部规定的基本工资和津贴补贴以及规定比例为职工缴纳的住房公积金。</w:t>
      </w:r>
    </w:p>
    <w:p w14:paraId="769CA181">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32. 其他支出（类）其他支出（款）其他支出（项）: 指上述项目以外其他不能划分到具体功能科目中的支出项目。</w:t>
      </w:r>
    </w:p>
    <w:p w14:paraId="71ECC314">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14:paraId="2304C1C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34.项目支出：指在基本支出之外为完成特定行政任务和事业发展目标所发生的支出。 </w:t>
      </w:r>
    </w:p>
    <w:p w14:paraId="088B2F0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35.经营支出：指事业单位在专业业务活动及其辅助活动之外开展非独立核算经营活动发生的支出。</w:t>
      </w:r>
    </w:p>
    <w:p w14:paraId="5E983F24">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1BB1DE0">
      <w:pPr>
        <w:pStyle w:val="16"/>
        <w:snapToGrid w:val="0"/>
        <w:spacing w:line="520" w:lineRule="exact"/>
        <w:ind w:firstLine="560" w:firstLineChars="200"/>
        <w:rPr>
          <w:rFonts w:ascii="仿宋_GB2312" w:eastAsia="仿宋_GB2312" w:cs="黑体"/>
          <w:color w:val="auto"/>
          <w:sz w:val="28"/>
          <w:szCs w:val="28"/>
        </w:rPr>
      </w:pPr>
      <w:r>
        <w:rPr>
          <w:rFonts w:hint="eastAsia" w:ascii="仿宋_GB2312" w:eastAsia="仿宋_GB2312"/>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75CD07">
      <w:pPr>
        <w:spacing w:line="600" w:lineRule="exact"/>
        <w:jc w:val="center"/>
        <w:outlineLvl w:val="0"/>
        <w:rPr>
          <w:rStyle w:val="13"/>
          <w:rFonts w:hint="eastAsia" w:ascii="黑体" w:hAnsi="黑体" w:eastAsia="黑体"/>
          <w:b w:val="0"/>
        </w:rPr>
      </w:pPr>
      <w:r>
        <w:rPr>
          <w:rFonts w:ascii="宋体"/>
          <w:b/>
          <w:sz w:val="44"/>
          <w:szCs w:val="44"/>
        </w:rPr>
        <w:br w:type="page"/>
      </w:r>
      <w:bookmarkStart w:id="46" w:name="_Toc15396614"/>
      <w:r>
        <w:rPr>
          <w:rFonts w:hint="eastAsia" w:ascii="黑体" w:hAnsi="黑体" w:eastAsia="黑体"/>
          <w:sz w:val="44"/>
          <w:szCs w:val="44"/>
        </w:rPr>
        <w:t>第</w:t>
      </w:r>
      <w:r>
        <w:rPr>
          <w:rStyle w:val="13"/>
          <w:rFonts w:hint="eastAsia" w:ascii="黑体" w:hAnsi="黑体" w:eastAsia="黑体"/>
          <w:b w:val="0"/>
        </w:rPr>
        <w:t>四部分 附件</w:t>
      </w:r>
      <w:bookmarkEnd w:id="46"/>
    </w:p>
    <w:p w14:paraId="70CCAC52">
      <w:pPr>
        <w:spacing w:line="600" w:lineRule="exact"/>
        <w:ind w:firstLine="560" w:firstLineChars="200"/>
        <w:jc w:val="center"/>
        <w:outlineLvl w:val="0"/>
      </w:pPr>
      <w:r>
        <w:rPr>
          <w:rFonts w:hint="eastAsia" w:ascii="仿宋" w:hAnsi="仿宋" w:eastAsia="仿宋" w:cs="仿宋"/>
          <w:sz w:val="28"/>
          <w:szCs w:val="28"/>
        </w:rPr>
        <w:t>部门预算项目支出绩效自评表（2023年度）</w:t>
      </w:r>
    </w:p>
    <w:p w14:paraId="671D2AB2">
      <w:pPr>
        <w:pStyle w:val="2"/>
        <w:ind w:left="980" w:hanging="560"/>
        <w:rPr>
          <w:rFonts w:hint="eastAsia" w:ascii="仿宋" w:hAnsi="仿宋" w:eastAsia="仿宋" w:cs="仿宋"/>
          <w:sz w:val="28"/>
          <w:szCs w:val="28"/>
          <w:lang w:eastAsia="zh-CN"/>
        </w:rPr>
      </w:pPr>
    </w:p>
    <w:p w14:paraId="39B31EA1"/>
    <w:p w14:paraId="71C2ACF9">
      <w:pPr>
        <w:spacing w:line="600" w:lineRule="exact"/>
        <w:jc w:val="center"/>
        <w:outlineLvl w:val="0"/>
        <w:rPr>
          <w:rFonts w:hint="eastAsia" w:ascii="黑体" w:hAnsi="黑体" w:eastAsia="黑体"/>
          <w:sz w:val="44"/>
          <w:szCs w:val="44"/>
        </w:rPr>
      </w:pPr>
    </w:p>
    <w:p w14:paraId="6026DF7F">
      <w:pPr>
        <w:spacing w:line="600" w:lineRule="exact"/>
        <w:jc w:val="center"/>
        <w:outlineLvl w:val="0"/>
        <w:rPr>
          <w:rFonts w:hint="eastAsia" w:ascii="黑体" w:hAnsi="黑体" w:eastAsia="黑体"/>
          <w:sz w:val="44"/>
          <w:szCs w:val="44"/>
        </w:rPr>
      </w:pPr>
    </w:p>
    <w:p w14:paraId="281CBBC3">
      <w:pPr>
        <w:spacing w:line="600" w:lineRule="exact"/>
        <w:jc w:val="center"/>
        <w:outlineLvl w:val="0"/>
        <w:rPr>
          <w:rFonts w:hint="eastAsia" w:ascii="黑体" w:hAnsi="黑体" w:eastAsia="黑体"/>
          <w:sz w:val="44"/>
          <w:szCs w:val="44"/>
        </w:rPr>
      </w:pPr>
    </w:p>
    <w:p w14:paraId="05D9DC35">
      <w:pPr>
        <w:spacing w:line="600" w:lineRule="exact"/>
        <w:jc w:val="center"/>
        <w:outlineLvl w:val="0"/>
        <w:rPr>
          <w:rFonts w:hint="eastAsia" w:ascii="黑体" w:hAnsi="黑体" w:eastAsia="黑体"/>
          <w:sz w:val="44"/>
          <w:szCs w:val="44"/>
        </w:rPr>
      </w:pPr>
    </w:p>
    <w:p w14:paraId="077E82A6">
      <w:pPr>
        <w:spacing w:line="600" w:lineRule="exact"/>
        <w:jc w:val="center"/>
        <w:outlineLvl w:val="0"/>
        <w:rPr>
          <w:rFonts w:hint="eastAsia" w:ascii="黑体" w:hAnsi="黑体" w:eastAsia="黑体"/>
          <w:sz w:val="44"/>
          <w:szCs w:val="44"/>
        </w:rPr>
      </w:pPr>
    </w:p>
    <w:p w14:paraId="056A9052">
      <w:pPr>
        <w:spacing w:line="600" w:lineRule="exact"/>
        <w:jc w:val="center"/>
        <w:outlineLvl w:val="0"/>
        <w:rPr>
          <w:rFonts w:hint="eastAsia" w:ascii="黑体" w:hAnsi="黑体" w:eastAsia="黑体"/>
          <w:sz w:val="44"/>
          <w:szCs w:val="44"/>
        </w:rPr>
      </w:pPr>
    </w:p>
    <w:p w14:paraId="1DA134BC">
      <w:pPr>
        <w:spacing w:line="600" w:lineRule="exact"/>
        <w:jc w:val="center"/>
        <w:outlineLvl w:val="0"/>
        <w:rPr>
          <w:rFonts w:hint="eastAsia" w:ascii="黑体" w:hAnsi="黑体" w:eastAsia="黑体"/>
          <w:sz w:val="44"/>
          <w:szCs w:val="44"/>
        </w:rPr>
      </w:pPr>
    </w:p>
    <w:p w14:paraId="1F47BDBE">
      <w:pPr>
        <w:spacing w:line="600" w:lineRule="exact"/>
        <w:jc w:val="center"/>
        <w:outlineLvl w:val="0"/>
        <w:rPr>
          <w:rFonts w:hint="eastAsia" w:ascii="黑体" w:hAnsi="黑体" w:eastAsia="黑体"/>
          <w:sz w:val="44"/>
          <w:szCs w:val="44"/>
        </w:rPr>
      </w:pPr>
    </w:p>
    <w:p w14:paraId="5596D362">
      <w:pPr>
        <w:spacing w:line="600" w:lineRule="exact"/>
        <w:jc w:val="center"/>
        <w:outlineLvl w:val="0"/>
        <w:rPr>
          <w:rFonts w:hint="eastAsia" w:ascii="黑体" w:hAnsi="黑体" w:eastAsia="黑体"/>
          <w:sz w:val="44"/>
          <w:szCs w:val="44"/>
        </w:rPr>
      </w:pPr>
    </w:p>
    <w:p w14:paraId="0F004481">
      <w:pPr>
        <w:spacing w:line="600" w:lineRule="exact"/>
        <w:jc w:val="center"/>
        <w:outlineLvl w:val="0"/>
        <w:rPr>
          <w:rFonts w:hint="eastAsia" w:ascii="黑体" w:hAnsi="黑体" w:eastAsia="黑体"/>
          <w:sz w:val="44"/>
          <w:szCs w:val="44"/>
        </w:rPr>
      </w:pPr>
    </w:p>
    <w:p w14:paraId="58DCB523">
      <w:pPr>
        <w:spacing w:line="600" w:lineRule="exact"/>
        <w:jc w:val="center"/>
        <w:outlineLvl w:val="0"/>
        <w:rPr>
          <w:rFonts w:hint="eastAsia" w:ascii="黑体" w:hAnsi="黑体" w:eastAsia="黑体"/>
          <w:sz w:val="44"/>
          <w:szCs w:val="44"/>
        </w:rPr>
      </w:pPr>
    </w:p>
    <w:p w14:paraId="6CBA3648">
      <w:pPr>
        <w:spacing w:line="600" w:lineRule="exact"/>
        <w:jc w:val="center"/>
        <w:outlineLvl w:val="0"/>
        <w:rPr>
          <w:rFonts w:hint="eastAsia" w:ascii="黑体" w:hAnsi="黑体" w:eastAsia="黑体"/>
          <w:sz w:val="44"/>
          <w:szCs w:val="44"/>
        </w:rPr>
      </w:pPr>
    </w:p>
    <w:p w14:paraId="7E8DEFAA">
      <w:pPr>
        <w:spacing w:line="600" w:lineRule="exact"/>
        <w:jc w:val="center"/>
        <w:outlineLvl w:val="0"/>
        <w:rPr>
          <w:rFonts w:hint="eastAsia" w:ascii="黑体" w:hAnsi="黑体" w:eastAsia="黑体"/>
          <w:sz w:val="44"/>
          <w:szCs w:val="44"/>
        </w:rPr>
      </w:pPr>
    </w:p>
    <w:p w14:paraId="2843B679">
      <w:pPr>
        <w:spacing w:line="600" w:lineRule="exact"/>
        <w:jc w:val="center"/>
        <w:outlineLvl w:val="0"/>
        <w:rPr>
          <w:rFonts w:hint="eastAsia" w:ascii="黑体" w:hAnsi="黑体" w:eastAsia="黑体"/>
          <w:sz w:val="44"/>
          <w:szCs w:val="44"/>
        </w:rPr>
      </w:pPr>
    </w:p>
    <w:p w14:paraId="35841DFE">
      <w:pPr>
        <w:spacing w:line="600" w:lineRule="exact"/>
        <w:jc w:val="center"/>
        <w:outlineLvl w:val="0"/>
        <w:rPr>
          <w:rFonts w:hint="eastAsia" w:ascii="黑体" w:hAnsi="黑体" w:eastAsia="黑体"/>
          <w:sz w:val="44"/>
          <w:szCs w:val="44"/>
        </w:rPr>
      </w:pPr>
    </w:p>
    <w:p w14:paraId="09057012">
      <w:pPr>
        <w:spacing w:line="600" w:lineRule="exact"/>
        <w:jc w:val="center"/>
        <w:outlineLvl w:val="0"/>
        <w:rPr>
          <w:rFonts w:hint="eastAsia" w:ascii="黑体" w:hAnsi="黑体" w:eastAsia="黑体"/>
          <w:sz w:val="44"/>
          <w:szCs w:val="44"/>
        </w:rPr>
      </w:pPr>
    </w:p>
    <w:p w14:paraId="6E6889B5">
      <w:pPr>
        <w:spacing w:line="600" w:lineRule="exact"/>
        <w:jc w:val="center"/>
        <w:outlineLvl w:val="0"/>
        <w:rPr>
          <w:rFonts w:hint="eastAsia" w:ascii="黑体" w:hAnsi="黑体" w:eastAsia="黑体"/>
          <w:sz w:val="44"/>
          <w:szCs w:val="44"/>
        </w:rPr>
      </w:pPr>
    </w:p>
    <w:p w14:paraId="1BEFF81A">
      <w:pPr>
        <w:spacing w:line="600" w:lineRule="exact"/>
        <w:jc w:val="center"/>
        <w:outlineLvl w:val="0"/>
        <w:rPr>
          <w:rFonts w:hint="eastAsia" w:ascii="黑体" w:hAnsi="黑体" w:eastAsia="黑体"/>
          <w:sz w:val="44"/>
          <w:szCs w:val="44"/>
        </w:rPr>
      </w:pPr>
    </w:p>
    <w:p w14:paraId="61577B93">
      <w:pPr>
        <w:spacing w:line="600" w:lineRule="exact"/>
        <w:jc w:val="center"/>
        <w:outlineLvl w:val="0"/>
        <w:rPr>
          <w:rFonts w:hint="eastAsia" w:ascii="黑体" w:hAnsi="黑体" w:eastAsia="黑体"/>
          <w:sz w:val="44"/>
          <w:szCs w:val="44"/>
        </w:rPr>
      </w:pPr>
    </w:p>
    <w:p w14:paraId="5FEA6CE6">
      <w:pPr>
        <w:spacing w:line="600" w:lineRule="exact"/>
        <w:jc w:val="center"/>
        <w:outlineLvl w:val="0"/>
        <w:rPr>
          <w:rFonts w:hint="eastAsia" w:ascii="黑体" w:hAnsi="黑体" w:eastAsia="黑体"/>
          <w:sz w:val="44"/>
          <w:szCs w:val="44"/>
        </w:rPr>
      </w:pPr>
    </w:p>
    <w:p w14:paraId="27AAD29E">
      <w:pPr>
        <w:spacing w:line="600" w:lineRule="exact"/>
        <w:jc w:val="center"/>
        <w:outlineLvl w:val="0"/>
        <w:rPr>
          <w:rStyle w:val="13"/>
          <w:rFonts w:hint="eastAsia" w:ascii="黑体" w:hAnsi="黑体" w:eastAsia="黑体"/>
          <w:b w:val="0"/>
        </w:rPr>
      </w:pPr>
      <w:r>
        <w:rPr>
          <w:rFonts w:hint="eastAsia" w:ascii="黑体" w:hAnsi="黑体" w:eastAsia="黑体"/>
          <w:sz w:val="44"/>
          <w:szCs w:val="44"/>
        </w:rPr>
        <w:t>第</w:t>
      </w:r>
      <w:r>
        <w:rPr>
          <w:rStyle w:val="13"/>
          <w:rFonts w:hint="eastAsia" w:ascii="黑体" w:hAnsi="黑体" w:eastAsia="黑体"/>
          <w:b w:val="0"/>
        </w:rPr>
        <w:t>五部分 附件</w:t>
      </w:r>
    </w:p>
    <w:p w14:paraId="50F300D6">
      <w:pPr>
        <w:outlineLvl w:val="1"/>
        <w:rPr>
          <w:rFonts w:eastAsia="仿宋_GB2312"/>
        </w:rPr>
      </w:pPr>
    </w:p>
    <w:p w14:paraId="1573E823">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一、收入支出决算总表</w:t>
      </w:r>
    </w:p>
    <w:p w14:paraId="1A9D4AC1">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二、收入决算表</w:t>
      </w:r>
    </w:p>
    <w:p w14:paraId="1F497EE5">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三、支出决算表</w:t>
      </w:r>
    </w:p>
    <w:p w14:paraId="6195D42E">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4BF9E35E">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五、财政拨款支出决算明细表</w:t>
      </w:r>
    </w:p>
    <w:p w14:paraId="4C947440">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六、一般公共预算财政拨款支出决算表</w:t>
      </w:r>
    </w:p>
    <w:p w14:paraId="763C92B0">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七、一般公共预算财政拨款支出决算明细表</w:t>
      </w:r>
    </w:p>
    <w:p w14:paraId="0CD4692B">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八、一般公共预算财政拨款基本支出决算明细表</w:t>
      </w:r>
    </w:p>
    <w:p w14:paraId="4BD35A95">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九、一般公共预算财政拨款项目支出决算表</w:t>
      </w:r>
    </w:p>
    <w:p w14:paraId="0646D64E">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十、政府性基金预算财政拨款收入支出决算表</w:t>
      </w:r>
    </w:p>
    <w:p w14:paraId="66982F72">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十一、国有资本经营预算财政拨款收入支出决算表</w:t>
      </w:r>
    </w:p>
    <w:p w14:paraId="776122B2">
      <w:pPr>
        <w:pStyle w:val="9"/>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十二、国有资本经营预算财政拨款支出决算表</w:t>
      </w:r>
    </w:p>
    <w:p w14:paraId="707E9689">
      <w:pPr>
        <w:pStyle w:val="9"/>
        <w:adjustRightInd w:val="0"/>
        <w:snapToGrid w:val="0"/>
        <w:spacing w:line="440" w:lineRule="exact"/>
        <w:jc w:val="left"/>
        <w:rPr>
          <w:sz w:val="24"/>
        </w:rPr>
      </w:pPr>
      <w:r>
        <w:rPr>
          <w:rFonts w:hint="eastAsia" w:ascii="仿宋" w:hAnsi="仿宋" w:eastAsia="仿宋" w:cs="仿宋"/>
          <w:sz w:val="28"/>
          <w:szCs w:val="28"/>
        </w:rPr>
        <w:t>十三、财政拨款“三公”经费支出决算表</w:t>
      </w:r>
      <w:bookmarkStart w:id="47" w:name="_GoBack"/>
      <w:bookmarkEnd w:id="47"/>
    </w:p>
    <w:sectPr>
      <w:head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6DA6">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E3E74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1FE3E74C">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5581561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47AA">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882FC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42882FC6">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F92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E24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2A952F4"/>
    <w:multiLevelType w:val="singleLevel"/>
    <w:tmpl w:val="02A952F4"/>
    <w:lvl w:ilvl="0" w:tentative="0">
      <w:start w:val="1"/>
      <w:numFmt w:val="chineseCounting"/>
      <w:suff w:val="nothing"/>
      <w:lvlText w:val="%1、"/>
      <w:lvlJc w:val="left"/>
      <w:pPr>
        <w:ind w:left="0" w:firstLine="420"/>
      </w:pPr>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UxYWJhOGM0ZTY3YzY1ZTZkMWM1MTliNmQ5ZDMifQ=="/>
  </w:docVars>
  <w:rsids>
    <w:rsidRoot w:val="009B15FF"/>
    <w:rsid w:val="00425B33"/>
    <w:rsid w:val="007068C6"/>
    <w:rsid w:val="00863712"/>
    <w:rsid w:val="009B15FF"/>
    <w:rsid w:val="0B4E6C7C"/>
    <w:rsid w:val="0C6B7C81"/>
    <w:rsid w:val="1406266E"/>
    <w:rsid w:val="27CE53A6"/>
    <w:rsid w:val="30D3606F"/>
    <w:rsid w:val="3705501A"/>
    <w:rsid w:val="41055DF9"/>
    <w:rsid w:val="433F0E4B"/>
    <w:rsid w:val="4EAC1FAA"/>
    <w:rsid w:val="544B268E"/>
    <w:rsid w:val="54AE63C6"/>
    <w:rsid w:val="5A1E1882"/>
    <w:rsid w:val="5BB95D06"/>
    <w:rsid w:val="5DEE398E"/>
    <w:rsid w:val="5F585B2A"/>
    <w:rsid w:val="641F050D"/>
    <w:rsid w:val="6508410F"/>
    <w:rsid w:val="71704B1D"/>
    <w:rsid w:val="73F71F01"/>
    <w:rsid w:val="7FEC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rPr>
  </w:style>
  <w:style w:type="paragraph" w:styleId="5">
    <w:name w:val="Body Text"/>
    <w:basedOn w:val="1"/>
    <w:qFormat/>
    <w:uiPriority w:val="99"/>
    <w:pPr>
      <w:spacing w:beforeLines="30"/>
    </w:pPr>
    <w:rPr>
      <w:rFonts w:ascii="仿宋_GB2312" w:eastAsia="仿宋_GB2312"/>
      <w:kern w:val="0"/>
      <w:sz w:val="30"/>
    </w:rPr>
  </w:style>
  <w:style w:type="paragraph" w:styleId="6">
    <w:name w:val="footer"/>
    <w:basedOn w:val="1"/>
    <w:autoRedefine/>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autoRedefine/>
    <w:unhideWhenUsed/>
    <w:qFormat/>
    <w:uiPriority w:val="39"/>
    <w:pPr>
      <w:tabs>
        <w:tab w:val="right" w:leader="dot" w:pos="8296"/>
      </w:tabs>
      <w:ind w:left="420" w:leftChars="200"/>
    </w:pPr>
  </w:style>
  <w:style w:type="character" w:styleId="12">
    <w:name w:val="Strong"/>
    <w:basedOn w:val="11"/>
    <w:qFormat/>
    <w:uiPriority w:val="99"/>
    <w:rPr>
      <w:b/>
    </w:rPr>
  </w:style>
  <w:style w:type="character" w:customStyle="1" w:styleId="13">
    <w:name w:val="标题 1 字符"/>
    <w:basedOn w:val="11"/>
    <w:link w:val="3"/>
    <w:autoRedefine/>
    <w:qFormat/>
    <w:uiPriority w:val="9"/>
    <w:rPr>
      <w:b/>
      <w:bCs/>
      <w:kern w:val="44"/>
      <w:sz w:val="44"/>
      <w:szCs w:val="44"/>
    </w:rPr>
  </w:style>
  <w:style w:type="character" w:customStyle="1" w:styleId="14">
    <w:name w:val="标题 2 字符"/>
    <w:basedOn w:val="11"/>
    <w:link w:val="4"/>
    <w:autoRedefine/>
    <w:qFormat/>
    <w:uiPriority w:val="9"/>
    <w:rPr>
      <w:rFonts w:asciiTheme="majorHAnsi" w:hAnsiTheme="majorHAnsi" w:eastAsiaTheme="majorEastAsia" w:cstheme="majorBidi"/>
      <w:b/>
      <w:bCs/>
      <w:sz w:val="32"/>
      <w:szCs w:val="32"/>
    </w:rPr>
  </w:style>
  <w:style w:type="paragraph" w:styleId="15">
    <w:name w:val="List Paragraph"/>
    <w:basedOn w:val="1"/>
    <w:autoRedefine/>
    <w:qFormat/>
    <w:uiPriority w:val="34"/>
    <w:pPr>
      <w:ind w:firstLine="420" w:firstLineChars="200"/>
    </w:pPr>
  </w:style>
  <w:style w:type="paragraph" w:customStyle="1" w:styleId="1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支出决算情况</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支出决算情况</c:v>
                </c:pt>
              </c:strCache>
            </c:strRef>
          </c:tx>
          <c:spPr/>
          <c:explosion val="0"/>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dPt>
          <c:dPt>
            <c:idx val="3"/>
            <c:bubble3D val="0"/>
            <c:spPr>
              <a:gradFill>
                <a:gsLst>
                  <a:gs pos="100000">
                    <a:schemeClr val="accent4"/>
                  </a:gs>
                  <a:gs pos="0">
                    <a:schemeClr val="accent4">
                      <a:hueOff val="-1670000"/>
                    </a:schemeClr>
                  </a:gs>
                </a:gsLst>
                <a:lin ang="5400000" scaled="0"/>
              </a:gradFill>
              <a:ln>
                <a:gradFill>
                  <a:gsLst>
                    <a:gs pos="100000">
                      <a:schemeClr val="accent4">
                        <a:lumMod val="75000"/>
                      </a:schemeClr>
                    </a:gs>
                    <a:gs pos="0">
                      <a:schemeClr val="accent4">
                        <a:lumMod val="75000"/>
                        <a:hueOff val="-1670000"/>
                      </a:schemeClr>
                    </a:gs>
                  </a:gsLst>
                  <a:lin ang="4620000" scaled="0"/>
                </a:gradFill>
              </a:ln>
              <a:effectLst/>
            </c:spPr>
          </c:dPt>
          <c:dPt>
            <c:idx val="4"/>
            <c:bubble3D val="0"/>
            <c:spPr>
              <a:gradFill>
                <a:gsLst>
                  <a:gs pos="100000">
                    <a:schemeClr val="accent5"/>
                  </a:gs>
                  <a:gs pos="0">
                    <a:schemeClr val="accent5">
                      <a:hueOff val="-1670000"/>
                    </a:schemeClr>
                  </a:gs>
                </a:gsLst>
                <a:lin ang="5400000" scaled="0"/>
              </a:gradFill>
              <a:ln>
                <a:gradFill>
                  <a:gsLst>
                    <a:gs pos="100000">
                      <a:schemeClr val="accent5">
                        <a:lumMod val="75000"/>
                      </a:schemeClr>
                    </a:gs>
                    <a:gs pos="0">
                      <a:schemeClr val="accent5">
                        <a:lumMod val="75000"/>
                        <a:hueOff val="-1670000"/>
                      </a:schemeClr>
                    </a:gs>
                  </a:gsLst>
                  <a:lin ang="4620000" scaled="0"/>
                </a:gra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rPr lang="zh-CN" altLang="en-US"/>
                      <a:t>基本支出</a:t>
                    </a:r>
                    <a:endParaRPr lang="zh-CN" altLang="en-US"/>
                  </a:p>
                  <a:p>
                    <a:pPr defTabSz="914400">
                      <a:defRPr lang="zh-CN" sz="1000" b="0" i="0" u="none" strike="noStrike" kern="1200" baseline="0">
                        <a:solidFill>
                          <a:schemeClr val="dk1">
                            <a:lumMod val="75000"/>
                            <a:lumOff val="25000"/>
                          </a:schemeClr>
                        </a:solidFill>
                        <a:latin typeface="+mn-lt"/>
                        <a:ea typeface="+mn-ea"/>
                        <a:cs typeface="+mn-cs"/>
                      </a:defRPr>
                    </a:pPr>
                    <a:r>
                      <a:rPr lang="en-US" altLang="zh-CN"/>
                      <a:t>87.03%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140764647467726"/>
                      <c:h val="0.152974504249292"/>
                    </c:manualLayout>
                  </c15:layout>
                </c:ext>
              </c:extLst>
            </c:dLbl>
            <c:dLbl>
              <c:idx val="1"/>
              <c:layout>
                <c:manualLayout>
                  <c:x val="0.0721904805360876"/>
                  <c:y val="0.13502066183266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rPr lang="zh-CN" altLang="en-US"/>
                      <a:t>项目支出</a:t>
                    </a:r>
                    <a:r>
                      <a:rPr lang="en-US" altLang="zh-CN"/>
                      <a:t>, 12.97%</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6732869910626"/>
                      <c:h val="0.153541076487252"/>
                    </c:manualLayout>
                  </c15:layout>
                </c:ext>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87.03</c:v>
                </c:pt>
                <c:pt idx="1" c:formatCode="0.00_ ">
                  <c:v>12.97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6509</Words>
  <Characters>6893</Characters>
  <Lines>50</Lines>
  <Paragraphs>14</Paragraphs>
  <TotalTime>3</TotalTime>
  <ScaleCrop>false</ScaleCrop>
  <LinksUpToDate>false</LinksUpToDate>
  <CharactersWithSpaces>6957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2024-09-29T07:45:00Z</dcterms:created>
  <dc:creator>Li</dc:creator>
  <cp:lastModifiedBy>企业用户_271171727</cp:lastModifiedBy>
  <dcterms:modified xsi:type="dcterms:W3CDTF">2024-10-13T05:17:36Z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1A9BCD137D054E658B7F9AEE733719B9_12</vt:lpwstr>
  </property>
</Properties>
</file>