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8DB04">
      <w:pPr>
        <w:spacing w:line="600" w:lineRule="exact"/>
        <w:jc w:val="center"/>
        <w:outlineLvl w:val="0"/>
        <w:rPr>
          <w:rFonts w:ascii="方正小标宋简体" w:hAnsi="宋体" w:eastAsia="方正小标宋简体"/>
          <w:color w:val="auto"/>
          <w:sz w:val="72"/>
          <w:szCs w:val="72"/>
          <w:highlight w:val="none"/>
        </w:rPr>
      </w:pPr>
      <w:bookmarkStart w:id="0" w:name="_Toc15377196"/>
      <w:bookmarkStart w:id="1" w:name="_Toc15396599"/>
    </w:p>
    <w:p w14:paraId="3E80EC39">
      <w:pPr>
        <w:pStyle w:val="5"/>
        <w:rPr>
          <w:rFonts w:ascii="方正小标宋简体" w:hAnsi="宋体" w:eastAsia="方正小标宋简体"/>
          <w:color w:val="auto"/>
          <w:sz w:val="72"/>
          <w:szCs w:val="72"/>
          <w:highlight w:val="none"/>
        </w:rPr>
      </w:pPr>
    </w:p>
    <w:p w14:paraId="6ECCCFEC">
      <w:pPr>
        <w:pStyle w:val="5"/>
        <w:rPr>
          <w:rFonts w:ascii="方正小标宋简体" w:hAnsi="宋体" w:eastAsia="方正小标宋简体"/>
          <w:color w:val="auto"/>
          <w:sz w:val="72"/>
          <w:szCs w:val="72"/>
          <w:highlight w:val="none"/>
        </w:rPr>
      </w:pPr>
    </w:p>
    <w:p w14:paraId="47A5426B">
      <w:pPr>
        <w:spacing w:line="600" w:lineRule="exact"/>
        <w:jc w:val="center"/>
        <w:outlineLvl w:val="0"/>
        <w:rPr>
          <w:rFonts w:ascii="方正小标宋简体" w:hAnsi="宋体" w:eastAsia="方正小标宋简体"/>
          <w:color w:val="auto"/>
          <w:sz w:val="72"/>
          <w:szCs w:val="72"/>
          <w:highlight w:val="none"/>
        </w:rPr>
      </w:pPr>
    </w:p>
    <w:p w14:paraId="4DC61518">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2" w:name="_Toc15377193"/>
      <w:bookmarkStart w:id="3" w:name="_Toc15377425"/>
      <w:bookmarkStart w:id="4" w:name="_Toc15396475"/>
      <w:bookmarkStart w:id="5" w:name="_Toc29235"/>
      <w:bookmarkStart w:id="6" w:name="_Toc15378441"/>
      <w:bookmarkStart w:id="7" w:name="_Toc15396597"/>
      <w:r>
        <w:rPr>
          <w:rFonts w:hint="eastAsia" w:ascii="方正小标宋简体" w:hAnsi="方正小标宋简体" w:eastAsia="方正小标宋简体" w:cs="方正小标宋简体"/>
          <w:color w:val="auto"/>
          <w:sz w:val="70"/>
          <w:szCs w:val="70"/>
          <w:highlight w:val="none"/>
        </w:rPr>
        <w:t>20</w:t>
      </w:r>
      <w:r>
        <w:rPr>
          <w:rFonts w:hint="eastAsia" w:ascii="方正小标宋简体" w:hAnsi="方正小标宋简体" w:eastAsia="方正小标宋简体" w:cs="方正小标宋简体"/>
          <w:color w:val="auto"/>
          <w:sz w:val="70"/>
          <w:szCs w:val="70"/>
          <w:highlight w:val="none"/>
          <w:lang w:val="en-US" w:eastAsia="zh-CN"/>
        </w:rPr>
        <w:t>23</w:t>
      </w:r>
      <w:r>
        <w:rPr>
          <w:rFonts w:hint="eastAsia" w:ascii="方正小标宋简体" w:hAnsi="方正小标宋简体" w:eastAsia="方正小标宋简体" w:cs="方正小标宋简体"/>
          <w:color w:val="auto"/>
          <w:sz w:val="70"/>
          <w:szCs w:val="70"/>
          <w:highlight w:val="none"/>
        </w:rPr>
        <w:t>年度</w:t>
      </w:r>
      <w:bookmarkEnd w:id="2"/>
      <w:bookmarkEnd w:id="3"/>
      <w:bookmarkEnd w:id="4"/>
      <w:bookmarkEnd w:id="5"/>
      <w:bookmarkEnd w:id="6"/>
      <w:bookmarkEnd w:id="7"/>
    </w:p>
    <w:p w14:paraId="2887EFE4">
      <w:pPr>
        <w:adjustRightInd w:val="0"/>
        <w:snapToGrid w:val="0"/>
        <w:spacing w:line="360" w:lineRule="auto"/>
        <w:jc w:val="center"/>
        <w:outlineLvl w:val="0"/>
        <w:rPr>
          <w:rFonts w:hint="default" w:ascii="方正小标宋简体" w:hAnsi="方正小标宋简体" w:eastAsia="方正小标宋简体" w:cs="方正小标宋简体"/>
          <w:color w:val="auto"/>
          <w:sz w:val="70"/>
          <w:szCs w:val="70"/>
          <w:highlight w:val="none"/>
          <w:lang w:val="en-US"/>
        </w:rPr>
      </w:pPr>
      <w:bookmarkStart w:id="8" w:name="_Toc3032"/>
      <w:r>
        <w:rPr>
          <w:rFonts w:hint="eastAsia" w:ascii="方正小标宋简体" w:hAnsi="方正小标宋简体" w:eastAsia="方正小标宋简体" w:cs="方正小标宋简体"/>
          <w:color w:val="auto"/>
          <w:sz w:val="70"/>
          <w:szCs w:val="70"/>
          <w:highlight w:val="none"/>
          <w:lang w:val="en-US" w:eastAsia="zh-CN"/>
        </w:rPr>
        <w:t>广元市利州区宝轮第一小学部门决算</w:t>
      </w:r>
      <w:bookmarkEnd w:id="8"/>
    </w:p>
    <w:p w14:paraId="4D724085">
      <w:pPr>
        <w:rPr>
          <w:rFonts w:ascii="仿宋" w:hAnsi="仿宋" w:eastAsia="仿宋"/>
          <w:b/>
          <w:color w:val="auto"/>
          <w:sz w:val="24"/>
          <w:highlight w:val="none"/>
        </w:rPr>
      </w:pPr>
      <w:r>
        <w:rPr>
          <w:rFonts w:ascii="仿宋" w:hAnsi="仿宋" w:eastAsia="仿宋"/>
          <w:b/>
          <w:color w:val="auto"/>
          <w:sz w:val="24"/>
          <w:highlight w:val="none"/>
        </w:rPr>
        <w:br w:type="page"/>
      </w:r>
    </w:p>
    <w:sdt>
      <w:sdtPr>
        <w:rPr>
          <w:rFonts w:ascii="宋体" w:hAnsi="宋体" w:eastAsia="宋体" w:cs="Times New Roman"/>
          <w:color w:val="auto"/>
          <w:kern w:val="2"/>
          <w:sz w:val="21"/>
          <w:szCs w:val="24"/>
          <w:lang w:val="en-US" w:eastAsia="zh-CN" w:bidi="ar-SA"/>
        </w:rPr>
        <w:id w:val="147467499"/>
        <w15:color w:val="DBDBDB"/>
        <w:docPartObj>
          <w:docPartGallery w:val="Table of Contents"/>
          <w:docPartUnique/>
        </w:docPartObj>
      </w:sdtPr>
      <w:sdtEndPr>
        <w:rPr>
          <w:rFonts w:ascii="宋体" w:hAnsi="宋体" w:eastAsia="宋体" w:cs="Times New Roman"/>
          <w:b/>
          <w:color w:val="auto"/>
          <w:kern w:val="2"/>
          <w:sz w:val="21"/>
          <w:szCs w:val="24"/>
          <w:lang w:val="en-US" w:eastAsia="zh-CN" w:bidi="ar-SA"/>
        </w:rPr>
      </w:sdtEndPr>
      <w:sdtContent>
        <w:p w14:paraId="1E12C505">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14:paraId="14F117C0">
          <w:pPr>
            <w:pStyle w:val="10"/>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bookmarkStart w:id="72" w:name="_GoBack"/>
          <w:bookmarkEnd w:id="72"/>
          <w:r>
            <w:rPr>
              <w:rFonts w:hint="eastAsia"/>
              <w:color w:val="auto"/>
              <w:highlight w:val="none"/>
            </w:rPr>
            <w:t>日</w:t>
          </w:r>
          <w:r>
            <w:rPr>
              <w:color w:val="auto"/>
            </w:rPr>
            <w:fldChar w:fldCharType="begin"/>
          </w:r>
          <w:r>
            <w:rPr>
              <w:color w:val="auto"/>
            </w:rPr>
            <w:instrText xml:space="preserve">TOC \o "1-2" \h \u </w:instrText>
          </w:r>
          <w:r>
            <w:rPr>
              <w:color w:val="auto"/>
            </w:rPr>
            <w:fldChar w:fldCharType="separate"/>
          </w:r>
        </w:p>
        <w:p w14:paraId="722B0449">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_Toc31849 </w:instrText>
          </w:r>
          <w:r>
            <w:rPr>
              <w:sz w:val="32"/>
              <w:szCs w:val="32"/>
            </w:rPr>
            <w:fldChar w:fldCharType="separate"/>
          </w: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bCs w:val="0"/>
              <w:sz w:val="32"/>
              <w:szCs w:val="32"/>
              <w:highlight w:val="none"/>
            </w:rPr>
            <w:t>概况</w:t>
          </w:r>
          <w:r>
            <w:rPr>
              <w:color w:val="auto"/>
              <w:sz w:val="32"/>
              <w:szCs w:val="32"/>
            </w:rPr>
            <w:fldChar w:fldCharType="end"/>
          </w:r>
        </w:p>
        <w:p w14:paraId="4703A224">
          <w:pPr>
            <w:pStyle w:val="11"/>
            <w:tabs>
              <w:tab w:val="right" w:leader="dot" w:pos="8845"/>
              <w:tab w:val="clear" w:pos="8296"/>
            </w:tabs>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_Toc15206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一、机构设置</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········································································1</w:t>
          </w:r>
        </w:p>
        <w:p w14:paraId="0C0CEBEC">
          <w:pPr>
            <w:pStyle w:val="11"/>
            <w:tabs>
              <w:tab w:val="right" w:leader="dot" w:pos="8845"/>
              <w:tab w:val="clear" w:pos="8296"/>
            </w:tabs>
            <w:rPr>
              <w:sz w:val="32"/>
              <w:szCs w:val="32"/>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_Toc12498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val="en-US" w:eastAsia="zh-CN"/>
            </w:rPr>
            <w:fldChar w:fldCharType="end"/>
          </w:r>
          <w:r>
            <w:rPr>
              <w:rFonts w:hint="eastAsia" w:ascii="仿宋" w:hAnsi="仿宋" w:eastAsia="仿宋"/>
              <w:sz w:val="32"/>
              <w:szCs w:val="32"/>
              <w:highlight w:val="none"/>
              <w:lang w:val="en-US" w:eastAsia="zh-CN"/>
            </w:rPr>
            <w:t>职能简介</w:t>
          </w:r>
          <w:r>
            <w:rPr>
              <w:rFonts w:hint="eastAsia" w:ascii="微软雅黑" w:hAnsi="微软雅黑" w:eastAsia="微软雅黑" w:cs="微软雅黑"/>
              <w:sz w:val="32"/>
              <w:szCs w:val="32"/>
              <w:highlight w:val="none"/>
              <w:lang w:val="en-US" w:eastAsia="zh-CN"/>
            </w:rPr>
            <w:t>········································································1</w:t>
          </w:r>
        </w:p>
        <w:p w14:paraId="5898AC0C">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_Toc19471 </w:instrText>
          </w:r>
          <w:r>
            <w:rPr>
              <w:sz w:val="32"/>
              <w:szCs w:val="32"/>
            </w:rPr>
            <w:fldChar w:fldCharType="separate"/>
          </w:r>
          <w:r>
            <w:rPr>
              <w:rFonts w:hint="eastAsia" w:ascii="黑体" w:hAnsi="黑体" w:eastAsia="黑体"/>
              <w:bCs/>
              <w:sz w:val="32"/>
              <w:szCs w:val="32"/>
              <w:highlight w:val="none"/>
            </w:rPr>
            <w:t xml:space="preserve">第二部分 </w:t>
          </w:r>
          <w:r>
            <w:rPr>
              <w:rFonts w:hint="eastAsia" w:ascii="黑体" w:hAnsi="黑体" w:eastAsia="黑体"/>
              <w:bCs/>
              <w:sz w:val="32"/>
              <w:szCs w:val="32"/>
              <w:highlight w:val="none"/>
              <w:lang w:val="en-US" w:eastAsia="zh-CN"/>
            </w:rPr>
            <w:t>2023年度</w:t>
          </w:r>
          <w:r>
            <w:rPr>
              <w:rFonts w:hint="eastAsia" w:ascii="黑体" w:hAnsi="黑体" w:eastAsia="黑体"/>
              <w:bCs/>
              <w:sz w:val="32"/>
              <w:szCs w:val="32"/>
              <w:highlight w:val="none"/>
              <w:lang w:eastAsia="zh-CN"/>
            </w:rPr>
            <w:t>单位</w:t>
          </w:r>
          <w:r>
            <w:rPr>
              <w:rFonts w:hint="eastAsia" w:ascii="黑体" w:hAnsi="黑体" w:eastAsia="黑体"/>
              <w:bCs/>
              <w:sz w:val="32"/>
              <w:szCs w:val="32"/>
              <w:highlight w:val="none"/>
            </w:rPr>
            <w:t>决算情况说明</w:t>
          </w:r>
          <w:r>
            <w:rPr>
              <w:color w:val="auto"/>
              <w:sz w:val="32"/>
              <w:szCs w:val="32"/>
            </w:rPr>
            <w:fldChar w:fldCharType="end"/>
          </w:r>
        </w:p>
        <w:p w14:paraId="03A31829">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_Toc4037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一、收入支出决算总体情况说明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·······································3</w:t>
          </w:r>
        </w:p>
        <w:p w14:paraId="7E1AA530">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_Toc11408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二、收入决算情况说明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·······················································3</w:t>
          </w:r>
        </w:p>
        <w:p w14:paraId="3B03B5BF">
          <w:pPr>
            <w:pStyle w:val="11"/>
            <w:tabs>
              <w:tab w:val="right" w:leader="dot" w:pos="8845"/>
              <w:tab w:val="clear" w:pos="8296"/>
            </w:tabs>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_Toc26078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三、支出决算情况说明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·······················································4</w:t>
          </w:r>
        </w:p>
        <w:p w14:paraId="78B19F4B">
          <w:pPr>
            <w:pStyle w:val="11"/>
            <w:tabs>
              <w:tab w:val="right" w:leader="dot" w:pos="8845"/>
              <w:tab w:val="clear" w:pos="8296"/>
            </w:tabs>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_Toc29848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四、财政拨款收入支出决算总体情况说明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······················5</w:t>
          </w:r>
        </w:p>
        <w:p w14:paraId="318C842D">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_Toc7022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五、一般公共预算财政拨款支出决算情况说明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··············6</w:t>
          </w:r>
        </w:p>
        <w:p w14:paraId="25064CB0">
          <w:pPr>
            <w:pStyle w:val="11"/>
            <w:tabs>
              <w:tab w:val="right" w:leader="dot" w:pos="8845"/>
              <w:tab w:val="clear" w:pos="8296"/>
            </w:tabs>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_Toc25871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六、一般公共预算财政拨款基本支出决算情况说明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······8</w:t>
          </w:r>
        </w:p>
        <w:p w14:paraId="4DF55B7A">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_Toc26671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七、“三公”经费财政拨款支出决算情况说明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··············9</w:t>
          </w:r>
        </w:p>
        <w:p w14:paraId="516FD292">
          <w:pPr>
            <w:pStyle w:val="11"/>
            <w:tabs>
              <w:tab w:val="right" w:leader="dot" w:pos="8845"/>
              <w:tab w:val="clear" w:pos="8296"/>
            </w:tabs>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_Toc21937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八、政府性基金预算支出决算情况说明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·························10</w:t>
          </w:r>
        </w:p>
        <w:p w14:paraId="4D26D2C9">
          <w:pPr>
            <w:pStyle w:val="11"/>
            <w:tabs>
              <w:tab w:val="right" w:leader="dot" w:pos="8845"/>
              <w:tab w:val="clear" w:pos="8296"/>
            </w:tabs>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_Toc25869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九、 国有资本经营预算支出决算情况说明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··················10</w:t>
          </w:r>
        </w:p>
        <w:p w14:paraId="6B4716D0">
          <w:pPr>
            <w:pStyle w:val="11"/>
            <w:tabs>
              <w:tab w:val="right" w:leader="dot" w:pos="8845"/>
              <w:tab w:val="clear" w:pos="8296"/>
            </w:tabs>
            <w:rPr>
              <w:sz w:val="32"/>
              <w:szCs w:val="32"/>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\l _Toc3617 </w:instrText>
          </w:r>
          <w:r>
            <w:rPr>
              <w:rFonts w:hint="eastAsia" w:ascii="仿宋" w:hAnsi="仿宋" w:eastAsia="仿宋"/>
              <w:sz w:val="32"/>
              <w:szCs w:val="32"/>
              <w:highlight w:val="none"/>
              <w:lang w:val="en-US" w:eastAsia="zh-CN"/>
            </w:rPr>
            <w:fldChar w:fldCharType="separate"/>
          </w:r>
          <w:r>
            <w:rPr>
              <w:rFonts w:hint="eastAsia" w:ascii="仿宋" w:hAnsi="仿宋" w:eastAsia="仿宋"/>
              <w:sz w:val="32"/>
              <w:szCs w:val="32"/>
              <w:highlight w:val="none"/>
              <w:lang w:val="en-US" w:eastAsia="zh-CN"/>
            </w:rPr>
            <w:t>十、 其他重要事项的情况说明</w:t>
          </w:r>
          <w:r>
            <w:rPr>
              <w:rFonts w:hint="eastAsia" w:ascii="仿宋" w:hAnsi="仿宋" w:eastAsia="仿宋"/>
              <w:sz w:val="32"/>
              <w:szCs w:val="32"/>
              <w:highlight w:val="none"/>
              <w:lang w:val="en-US" w:eastAsia="zh-CN"/>
            </w:rPr>
            <w:fldChar w:fldCharType="end"/>
          </w:r>
          <w:r>
            <w:rPr>
              <w:rFonts w:hint="eastAsia" w:ascii="微软雅黑" w:hAnsi="微软雅黑" w:eastAsia="微软雅黑" w:cs="微软雅黑"/>
              <w:sz w:val="32"/>
              <w:szCs w:val="32"/>
              <w:highlight w:val="none"/>
              <w:lang w:val="en-US" w:eastAsia="zh-CN"/>
            </w:rPr>
            <w:t>·······································10</w:t>
          </w:r>
        </w:p>
        <w:p w14:paraId="69318FFD">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_Toc13602 </w:instrText>
          </w:r>
          <w:r>
            <w:rPr>
              <w:sz w:val="32"/>
              <w:szCs w:val="32"/>
            </w:rPr>
            <w:fldChar w:fldCharType="separate"/>
          </w:r>
          <w:r>
            <w:rPr>
              <w:rFonts w:hint="eastAsia" w:ascii="黑体" w:hAnsi="黑体" w:eastAsia="黑体" w:cs="黑体"/>
              <w:sz w:val="32"/>
              <w:szCs w:val="32"/>
            </w:rPr>
            <w:t xml:space="preserve">第三部分 </w:t>
          </w:r>
          <w:r>
            <w:rPr>
              <w:rFonts w:hint="eastAsia" w:ascii="黑体" w:hAnsi="黑体" w:eastAsia="黑体"/>
              <w:sz w:val="32"/>
              <w:szCs w:val="32"/>
              <w:highlight w:val="none"/>
            </w:rPr>
            <w:t>名词解释</w:t>
          </w:r>
          <w:r>
            <w:rPr>
              <w:color w:val="auto"/>
              <w:sz w:val="32"/>
              <w:szCs w:val="32"/>
            </w:rPr>
            <w:fldChar w:fldCharType="end"/>
          </w:r>
        </w:p>
        <w:p w14:paraId="56080E19">
          <w:pPr>
            <w:pStyle w:val="10"/>
            <w:tabs>
              <w:tab w:val="right" w:leader="dot" w:pos="8845"/>
              <w:tab w:val="clear" w:pos="8296"/>
            </w:tabs>
            <w:jc w:val="left"/>
            <w:rPr>
              <w:sz w:val="32"/>
              <w:szCs w:val="32"/>
            </w:rPr>
          </w:pPr>
          <w:r>
            <w:rPr>
              <w:color w:val="auto"/>
              <w:sz w:val="32"/>
              <w:szCs w:val="32"/>
            </w:rPr>
            <w:fldChar w:fldCharType="begin"/>
          </w:r>
          <w:r>
            <w:rPr>
              <w:sz w:val="32"/>
              <w:szCs w:val="32"/>
            </w:rPr>
            <w:instrText xml:space="preserve"> HYPERLINK \l _Toc8790 </w:instrText>
          </w:r>
          <w:r>
            <w:rPr>
              <w:sz w:val="32"/>
              <w:szCs w:val="32"/>
            </w:rPr>
            <w:fldChar w:fldCharType="separate"/>
          </w:r>
          <w:r>
            <w:rPr>
              <w:rFonts w:hint="eastAsia" w:ascii="黑体" w:hAnsi="黑体" w:eastAsia="黑体" w:cs="黑体"/>
              <w:sz w:val="32"/>
              <w:szCs w:val="32"/>
            </w:rPr>
            <w:t xml:space="preserve">第四部分 </w:t>
          </w:r>
          <w:r>
            <w:rPr>
              <w:rFonts w:hint="eastAsia" w:ascii="黑体" w:hAnsi="黑体" w:eastAsia="黑体"/>
              <w:sz w:val="32"/>
              <w:szCs w:val="32"/>
              <w:highlight w:val="none"/>
            </w:rPr>
            <w:t>附件</w:t>
          </w:r>
          <w:r>
            <w:rPr>
              <w:color w:val="auto"/>
              <w:sz w:val="32"/>
              <w:szCs w:val="32"/>
            </w:rPr>
            <w:fldChar w:fldCharType="end"/>
          </w:r>
        </w:p>
        <w:p w14:paraId="7FEDD057">
          <w:pPr>
            <w:pStyle w:val="11"/>
            <w:tabs>
              <w:tab w:val="right" w:leader="dot" w:pos="8845"/>
              <w:tab w:val="clear" w:pos="8296"/>
            </w:tabs>
            <w:rPr>
              <w:sz w:val="32"/>
              <w:szCs w:val="32"/>
            </w:rPr>
          </w:pPr>
          <w:r>
            <w:rPr>
              <w:rFonts w:hint="eastAsia" w:ascii="仿宋" w:hAnsi="仿宋" w:eastAsia="仿宋"/>
              <w:sz w:val="32"/>
              <w:szCs w:val="32"/>
              <w:highlight w:val="none"/>
              <w:lang w:val="zh-CN" w:eastAsia="zh-CN"/>
            </w:rPr>
            <w:fldChar w:fldCharType="begin"/>
          </w:r>
          <w:r>
            <w:rPr>
              <w:rFonts w:hint="eastAsia" w:ascii="仿宋" w:hAnsi="仿宋" w:eastAsia="仿宋"/>
              <w:sz w:val="32"/>
              <w:szCs w:val="32"/>
              <w:highlight w:val="none"/>
              <w:lang w:val="zh-CN" w:eastAsia="zh-CN"/>
            </w:rPr>
            <w:instrText xml:space="preserve"> HYPERLINK \l _Toc6467 </w:instrText>
          </w:r>
          <w:r>
            <w:rPr>
              <w:rFonts w:hint="eastAsia" w:ascii="仿宋" w:hAnsi="仿宋" w:eastAsia="仿宋"/>
              <w:sz w:val="32"/>
              <w:szCs w:val="32"/>
              <w:highlight w:val="none"/>
              <w:lang w:val="zh-CN" w:eastAsia="zh-CN"/>
            </w:rPr>
            <w:fldChar w:fldCharType="separate"/>
          </w:r>
          <w:r>
            <w:rPr>
              <w:rFonts w:hint="eastAsia" w:ascii="仿宋" w:hAnsi="仿宋" w:eastAsia="仿宋"/>
              <w:sz w:val="32"/>
              <w:szCs w:val="32"/>
              <w:highlight w:val="none"/>
              <w:lang w:val="en-US" w:eastAsia="zh-CN"/>
            </w:rPr>
            <w:t>附件：</w:t>
          </w:r>
          <w:r>
            <w:rPr>
              <w:rFonts w:hint="eastAsia" w:ascii="仿宋" w:hAnsi="仿宋" w:eastAsia="仿宋"/>
              <w:sz w:val="32"/>
              <w:szCs w:val="32"/>
              <w:highlight w:val="none"/>
              <w:lang w:val="zh-CN" w:eastAsia="zh-CN"/>
            </w:rPr>
            <w:fldChar w:fldCharType="end"/>
          </w:r>
          <w:r>
            <w:rPr>
              <w:rFonts w:hint="eastAsia" w:ascii="仿宋" w:hAnsi="仿宋" w:eastAsia="仿宋"/>
              <w:sz w:val="32"/>
              <w:szCs w:val="32"/>
              <w:highlight w:val="none"/>
              <w:lang w:val="zh-CN" w:eastAsia="zh-CN"/>
            </w:rPr>
            <w:t>部门预算项目支出绩效自评表（2023年度）</w:t>
          </w:r>
        </w:p>
        <w:p w14:paraId="1BB8C1B9">
          <w:pPr>
            <w:pStyle w:val="11"/>
            <w:tabs>
              <w:tab w:val="right" w:leader="dot" w:pos="8845"/>
              <w:tab w:val="clear" w:pos="8296"/>
            </w:tabs>
            <w:rPr>
              <w:sz w:val="32"/>
              <w:szCs w:val="32"/>
            </w:rPr>
          </w:pPr>
        </w:p>
        <w:p w14:paraId="539862CA">
          <w:pPr>
            <w:pStyle w:val="10"/>
            <w:tabs>
              <w:tab w:val="right" w:leader="dot" w:pos="8845"/>
              <w:tab w:val="clear" w:pos="8296"/>
            </w:tabs>
            <w:jc w:val="left"/>
            <w:rPr>
              <w:sz w:val="32"/>
              <w:szCs w:val="32"/>
            </w:rPr>
          </w:pPr>
          <w:r>
            <w:rPr>
              <w:rFonts w:hint="eastAsia"/>
              <w:color w:val="auto"/>
              <w:sz w:val="32"/>
              <w:szCs w:val="32"/>
              <w:lang w:val="en-US" w:eastAsia="zh-CN"/>
            </w:rPr>
            <w:t xml:space="preserve">  </w:t>
          </w:r>
          <w:r>
            <w:rPr>
              <w:color w:val="auto"/>
              <w:sz w:val="32"/>
              <w:szCs w:val="32"/>
            </w:rPr>
            <w:fldChar w:fldCharType="begin"/>
          </w:r>
          <w:r>
            <w:rPr>
              <w:sz w:val="32"/>
              <w:szCs w:val="32"/>
            </w:rPr>
            <w:instrText xml:space="preserve"> HYPERLINK \l _Toc21571 </w:instrText>
          </w:r>
          <w:r>
            <w:rPr>
              <w:sz w:val="32"/>
              <w:szCs w:val="32"/>
            </w:rPr>
            <w:fldChar w:fldCharType="separate"/>
          </w:r>
          <w:r>
            <w:rPr>
              <w:rFonts w:hint="eastAsia" w:ascii="黑体" w:hAnsi="黑体" w:eastAsia="黑体"/>
              <w:sz w:val="32"/>
              <w:szCs w:val="32"/>
              <w:highlight w:val="none"/>
            </w:rPr>
            <w:t>第五部分 附表</w:t>
          </w:r>
          <w:r>
            <w:rPr>
              <w:color w:val="auto"/>
              <w:sz w:val="32"/>
              <w:szCs w:val="32"/>
            </w:rPr>
            <w:fldChar w:fldCharType="end"/>
          </w:r>
        </w:p>
        <w:p w14:paraId="0BB9572F">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_Toc2168 </w:instrText>
          </w:r>
          <w:r>
            <w:rPr>
              <w:sz w:val="32"/>
              <w:szCs w:val="32"/>
            </w:rPr>
            <w:fldChar w:fldCharType="separate"/>
          </w:r>
          <w:r>
            <w:rPr>
              <w:rFonts w:hint="eastAsia" w:ascii="仿宋" w:hAnsi="仿宋" w:eastAsia="仿宋"/>
              <w:sz w:val="32"/>
              <w:szCs w:val="32"/>
              <w:highlight w:val="none"/>
            </w:rPr>
            <w:t>一、GK01收入支出决算总表</w:t>
          </w:r>
          <w:r>
            <w:rPr>
              <w:color w:val="auto"/>
              <w:sz w:val="32"/>
              <w:szCs w:val="32"/>
            </w:rPr>
            <w:fldChar w:fldCharType="end"/>
          </w:r>
        </w:p>
        <w:p w14:paraId="3354C569">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_Toc22077 </w:instrText>
          </w:r>
          <w:r>
            <w:rPr>
              <w:sz w:val="32"/>
              <w:szCs w:val="32"/>
            </w:rPr>
            <w:fldChar w:fldCharType="separate"/>
          </w:r>
          <w:r>
            <w:rPr>
              <w:rFonts w:hint="eastAsia" w:ascii="仿宋" w:hAnsi="仿宋" w:eastAsia="仿宋"/>
              <w:sz w:val="32"/>
              <w:szCs w:val="32"/>
              <w:highlight w:val="none"/>
            </w:rPr>
            <w:t>二、GK02收入决算表</w:t>
          </w:r>
          <w:r>
            <w:rPr>
              <w:color w:val="auto"/>
              <w:sz w:val="32"/>
              <w:szCs w:val="32"/>
            </w:rPr>
            <w:fldChar w:fldCharType="end"/>
          </w:r>
        </w:p>
        <w:p w14:paraId="4F46D1D8">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_Toc5751 </w:instrText>
          </w:r>
          <w:r>
            <w:rPr>
              <w:sz w:val="32"/>
              <w:szCs w:val="32"/>
            </w:rPr>
            <w:fldChar w:fldCharType="separate"/>
          </w:r>
          <w:r>
            <w:rPr>
              <w:rFonts w:hint="eastAsia" w:ascii="仿宋" w:hAnsi="仿宋" w:eastAsia="仿宋"/>
              <w:bCs w:val="0"/>
              <w:sz w:val="32"/>
              <w:szCs w:val="32"/>
              <w:highlight w:val="none"/>
            </w:rPr>
            <w:t>三、</w:t>
          </w:r>
          <w:r>
            <w:rPr>
              <w:rFonts w:hint="eastAsia" w:ascii="仿宋" w:hAnsi="仿宋" w:eastAsia="仿宋"/>
              <w:sz w:val="32"/>
              <w:szCs w:val="32"/>
              <w:highlight w:val="none"/>
            </w:rPr>
            <w:t>GK03支出决算表</w:t>
          </w:r>
          <w:r>
            <w:rPr>
              <w:color w:val="auto"/>
              <w:sz w:val="32"/>
              <w:szCs w:val="32"/>
            </w:rPr>
            <w:fldChar w:fldCharType="end"/>
          </w:r>
        </w:p>
        <w:p w14:paraId="49F64C68">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_Toc24351 </w:instrText>
          </w:r>
          <w:r>
            <w:rPr>
              <w:sz w:val="32"/>
              <w:szCs w:val="32"/>
            </w:rPr>
            <w:fldChar w:fldCharType="separate"/>
          </w:r>
          <w:r>
            <w:rPr>
              <w:rFonts w:hint="eastAsia" w:ascii="仿宋" w:hAnsi="仿宋" w:eastAsia="仿宋"/>
              <w:bCs w:val="0"/>
              <w:sz w:val="32"/>
              <w:szCs w:val="32"/>
              <w:highlight w:val="none"/>
            </w:rPr>
            <w:t>四、</w:t>
          </w:r>
          <w:r>
            <w:rPr>
              <w:rFonts w:hint="eastAsia" w:ascii="仿宋" w:hAnsi="仿宋" w:eastAsia="仿宋"/>
              <w:sz w:val="32"/>
              <w:szCs w:val="32"/>
              <w:highlight w:val="none"/>
            </w:rPr>
            <w:t>GK04财政拨款收入支出决算总表</w:t>
          </w:r>
          <w:r>
            <w:rPr>
              <w:color w:val="auto"/>
              <w:sz w:val="32"/>
              <w:szCs w:val="32"/>
            </w:rPr>
            <w:fldChar w:fldCharType="end"/>
          </w:r>
        </w:p>
        <w:p w14:paraId="4287BAD6">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_Toc5973 </w:instrText>
          </w:r>
          <w:r>
            <w:rPr>
              <w:sz w:val="32"/>
              <w:szCs w:val="32"/>
            </w:rPr>
            <w:fldChar w:fldCharType="separate"/>
          </w:r>
          <w:r>
            <w:rPr>
              <w:rFonts w:hint="eastAsia" w:ascii="仿宋" w:hAnsi="仿宋" w:eastAsia="仿宋"/>
              <w:bCs w:val="0"/>
              <w:sz w:val="32"/>
              <w:szCs w:val="32"/>
              <w:highlight w:val="none"/>
            </w:rPr>
            <w:t>五、</w:t>
          </w:r>
          <w:r>
            <w:rPr>
              <w:rFonts w:hint="eastAsia" w:ascii="仿宋" w:hAnsi="仿宋" w:eastAsia="仿宋"/>
              <w:sz w:val="32"/>
              <w:szCs w:val="32"/>
              <w:highlight w:val="none"/>
            </w:rPr>
            <w:t>GK05财政拨款支出决算明细表</w:t>
          </w:r>
          <w:r>
            <w:rPr>
              <w:color w:val="auto"/>
              <w:sz w:val="32"/>
              <w:szCs w:val="32"/>
            </w:rPr>
            <w:fldChar w:fldCharType="end"/>
          </w:r>
        </w:p>
        <w:p w14:paraId="5DDE7157">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_Toc28054 </w:instrText>
          </w:r>
          <w:r>
            <w:rPr>
              <w:sz w:val="32"/>
              <w:szCs w:val="32"/>
            </w:rPr>
            <w:fldChar w:fldCharType="separate"/>
          </w:r>
          <w:r>
            <w:rPr>
              <w:rFonts w:hint="eastAsia" w:ascii="仿宋" w:hAnsi="仿宋" w:eastAsia="仿宋"/>
              <w:bCs w:val="0"/>
              <w:sz w:val="32"/>
              <w:szCs w:val="32"/>
              <w:highlight w:val="none"/>
            </w:rPr>
            <w:t>六、</w:t>
          </w:r>
          <w:r>
            <w:rPr>
              <w:rFonts w:hint="eastAsia" w:ascii="仿宋" w:hAnsi="仿宋" w:eastAsia="仿宋"/>
              <w:sz w:val="32"/>
              <w:szCs w:val="32"/>
              <w:highlight w:val="none"/>
            </w:rPr>
            <w:t>GK06一般公共预算财政拨款支出决算表</w:t>
          </w:r>
          <w:r>
            <w:rPr>
              <w:color w:val="auto"/>
              <w:sz w:val="32"/>
              <w:szCs w:val="32"/>
            </w:rPr>
            <w:fldChar w:fldCharType="end"/>
          </w:r>
        </w:p>
        <w:p w14:paraId="01A0B399">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_Toc3541 </w:instrText>
          </w:r>
          <w:r>
            <w:rPr>
              <w:sz w:val="32"/>
              <w:szCs w:val="32"/>
            </w:rPr>
            <w:fldChar w:fldCharType="separate"/>
          </w:r>
          <w:r>
            <w:rPr>
              <w:rFonts w:hint="eastAsia" w:ascii="仿宋" w:hAnsi="仿宋" w:eastAsia="仿宋"/>
              <w:bCs w:val="0"/>
              <w:sz w:val="32"/>
              <w:szCs w:val="32"/>
              <w:highlight w:val="none"/>
            </w:rPr>
            <w:t>七、</w:t>
          </w:r>
          <w:r>
            <w:rPr>
              <w:rFonts w:hint="eastAsia" w:ascii="仿宋" w:hAnsi="仿宋" w:eastAsia="仿宋"/>
              <w:sz w:val="32"/>
              <w:szCs w:val="32"/>
              <w:highlight w:val="none"/>
            </w:rPr>
            <w:t>GK07 一般公共预算财政拨款支出决算明细表</w:t>
          </w:r>
          <w:r>
            <w:rPr>
              <w:color w:val="auto"/>
              <w:sz w:val="32"/>
              <w:szCs w:val="32"/>
            </w:rPr>
            <w:fldChar w:fldCharType="end"/>
          </w:r>
        </w:p>
        <w:p w14:paraId="081CF231">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_Toc9470 </w:instrText>
          </w:r>
          <w:r>
            <w:rPr>
              <w:sz w:val="32"/>
              <w:szCs w:val="32"/>
            </w:rPr>
            <w:fldChar w:fldCharType="separate"/>
          </w:r>
          <w:r>
            <w:rPr>
              <w:rFonts w:hint="eastAsia" w:ascii="仿宋" w:hAnsi="仿宋" w:eastAsia="仿宋"/>
              <w:bCs w:val="0"/>
              <w:sz w:val="32"/>
              <w:szCs w:val="32"/>
              <w:highlight w:val="none"/>
            </w:rPr>
            <w:t>八、</w:t>
          </w:r>
          <w:r>
            <w:rPr>
              <w:rFonts w:hint="eastAsia" w:ascii="仿宋" w:hAnsi="仿宋" w:eastAsia="仿宋"/>
              <w:sz w:val="32"/>
              <w:szCs w:val="32"/>
              <w:highlight w:val="none"/>
            </w:rPr>
            <w:t>GK08一般公共预算财政拨款基本支出决算明细表</w:t>
          </w:r>
          <w:r>
            <w:rPr>
              <w:color w:val="auto"/>
              <w:sz w:val="32"/>
              <w:szCs w:val="32"/>
            </w:rPr>
            <w:fldChar w:fldCharType="end"/>
          </w:r>
        </w:p>
        <w:p w14:paraId="2D2D14E6">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_Toc5378 </w:instrText>
          </w:r>
          <w:r>
            <w:rPr>
              <w:sz w:val="32"/>
              <w:szCs w:val="32"/>
            </w:rPr>
            <w:fldChar w:fldCharType="separate"/>
          </w:r>
          <w:r>
            <w:rPr>
              <w:rFonts w:hint="eastAsia" w:ascii="仿宋" w:hAnsi="仿宋" w:eastAsia="仿宋"/>
              <w:bCs w:val="0"/>
              <w:sz w:val="32"/>
              <w:szCs w:val="32"/>
              <w:highlight w:val="none"/>
            </w:rPr>
            <w:t>九、</w:t>
          </w:r>
          <w:r>
            <w:rPr>
              <w:rFonts w:hint="eastAsia" w:ascii="仿宋" w:hAnsi="仿宋" w:eastAsia="仿宋"/>
              <w:sz w:val="32"/>
              <w:szCs w:val="32"/>
              <w:highlight w:val="none"/>
            </w:rPr>
            <w:t>GK09一般公共预算财政拨款项目支出决算表</w:t>
          </w:r>
          <w:r>
            <w:rPr>
              <w:color w:val="auto"/>
              <w:sz w:val="32"/>
              <w:szCs w:val="32"/>
            </w:rPr>
            <w:fldChar w:fldCharType="end"/>
          </w:r>
        </w:p>
        <w:p w14:paraId="1327F920">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_Toc3305 </w:instrText>
          </w:r>
          <w:r>
            <w:rPr>
              <w:sz w:val="32"/>
              <w:szCs w:val="32"/>
            </w:rPr>
            <w:fldChar w:fldCharType="separate"/>
          </w:r>
          <w:r>
            <w:rPr>
              <w:rFonts w:hint="eastAsia" w:ascii="仿宋" w:hAnsi="仿宋" w:eastAsia="仿宋"/>
              <w:bCs w:val="0"/>
              <w:sz w:val="32"/>
              <w:szCs w:val="32"/>
              <w:highlight w:val="none"/>
            </w:rPr>
            <w:t>十、</w:t>
          </w:r>
          <w:r>
            <w:rPr>
              <w:rFonts w:hint="eastAsia" w:ascii="仿宋" w:hAnsi="仿宋" w:eastAsia="仿宋"/>
              <w:sz w:val="32"/>
              <w:szCs w:val="32"/>
              <w:highlight w:val="none"/>
            </w:rPr>
            <w:t>GK10政府性基金预算财政拨款收入支出决算表</w:t>
          </w:r>
          <w:r>
            <w:rPr>
              <w:color w:val="auto"/>
              <w:sz w:val="32"/>
              <w:szCs w:val="32"/>
            </w:rPr>
            <w:fldChar w:fldCharType="end"/>
          </w:r>
        </w:p>
        <w:p w14:paraId="034BE333">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_Toc21518 </w:instrText>
          </w:r>
          <w:r>
            <w:rPr>
              <w:sz w:val="32"/>
              <w:szCs w:val="32"/>
            </w:rPr>
            <w:fldChar w:fldCharType="separate"/>
          </w:r>
          <w:r>
            <w:rPr>
              <w:rFonts w:hint="eastAsia" w:ascii="仿宋" w:hAnsi="仿宋" w:eastAsia="仿宋"/>
              <w:bCs w:val="0"/>
              <w:sz w:val="32"/>
              <w:szCs w:val="32"/>
              <w:highlight w:val="none"/>
            </w:rPr>
            <w:t>十一、</w:t>
          </w:r>
          <w:r>
            <w:rPr>
              <w:rFonts w:hint="eastAsia" w:ascii="仿宋" w:hAnsi="仿宋" w:eastAsia="仿宋"/>
              <w:sz w:val="32"/>
              <w:szCs w:val="32"/>
              <w:highlight w:val="none"/>
            </w:rPr>
            <w:t>GK11国有资本经营预算财政拨款收入支出决算表</w:t>
          </w:r>
          <w:r>
            <w:rPr>
              <w:color w:val="auto"/>
              <w:sz w:val="32"/>
              <w:szCs w:val="32"/>
            </w:rPr>
            <w:fldChar w:fldCharType="end"/>
          </w:r>
        </w:p>
        <w:p w14:paraId="64B4AC8D">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_Toc7681 </w:instrText>
          </w:r>
          <w:r>
            <w:rPr>
              <w:sz w:val="32"/>
              <w:szCs w:val="32"/>
            </w:rPr>
            <w:fldChar w:fldCharType="separate"/>
          </w:r>
          <w:r>
            <w:rPr>
              <w:rFonts w:hint="eastAsia" w:ascii="仿宋" w:hAnsi="仿宋" w:eastAsia="仿宋"/>
              <w:bCs w:val="0"/>
              <w:sz w:val="32"/>
              <w:szCs w:val="32"/>
              <w:highlight w:val="none"/>
            </w:rPr>
            <w:t>十二、</w:t>
          </w:r>
          <w:r>
            <w:rPr>
              <w:rFonts w:hint="eastAsia" w:ascii="仿宋" w:hAnsi="仿宋" w:eastAsia="仿宋"/>
              <w:sz w:val="32"/>
              <w:szCs w:val="32"/>
              <w:highlight w:val="none"/>
            </w:rPr>
            <w:t>GK12国有资本经营预算财政拨款支出决算表</w:t>
          </w:r>
          <w:r>
            <w:rPr>
              <w:color w:val="auto"/>
              <w:sz w:val="32"/>
              <w:szCs w:val="32"/>
            </w:rPr>
            <w:fldChar w:fldCharType="end"/>
          </w:r>
        </w:p>
        <w:p w14:paraId="132B0C10">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_Toc7733 </w:instrText>
          </w:r>
          <w:r>
            <w:rPr>
              <w:sz w:val="32"/>
              <w:szCs w:val="32"/>
            </w:rPr>
            <w:fldChar w:fldCharType="separate"/>
          </w:r>
          <w:r>
            <w:rPr>
              <w:rFonts w:hint="eastAsia" w:ascii="仿宋" w:hAnsi="仿宋" w:eastAsia="仿宋"/>
              <w:bCs w:val="0"/>
              <w:sz w:val="32"/>
              <w:szCs w:val="32"/>
              <w:highlight w:val="none"/>
            </w:rPr>
            <w:t>十三、</w:t>
          </w:r>
          <w:r>
            <w:rPr>
              <w:rFonts w:hint="eastAsia" w:ascii="仿宋" w:hAnsi="仿宋" w:eastAsia="仿宋"/>
              <w:sz w:val="32"/>
              <w:szCs w:val="32"/>
              <w:highlight w:val="none"/>
            </w:rPr>
            <w:t>GK13财政拨款“三公”经费支出决算表</w:t>
          </w:r>
          <w:r>
            <w:rPr>
              <w:color w:val="auto"/>
              <w:sz w:val="32"/>
              <w:szCs w:val="32"/>
            </w:rPr>
            <w:fldChar w:fldCharType="end"/>
          </w:r>
        </w:p>
        <w:p w14:paraId="170145BC">
          <w:pPr>
            <w:pStyle w:val="11"/>
            <w:tabs>
              <w:tab w:val="right" w:leader="dot" w:pos="8845"/>
              <w:tab w:val="clear" w:pos="8296"/>
            </w:tabs>
          </w:pPr>
        </w:p>
        <w:p w14:paraId="0577E8E7">
          <w:pPr>
            <w:rPr>
              <w:color w:val="auto"/>
            </w:rPr>
          </w:pPr>
          <w:r>
            <w:rPr>
              <w:color w:val="auto"/>
            </w:rPr>
            <w:fldChar w:fldCharType="end"/>
          </w:r>
        </w:p>
      </w:sdtContent>
    </w:sdt>
    <w:p w14:paraId="5BFDFCAF">
      <w:pPr>
        <w:pStyle w:val="11"/>
        <w:keepNext w:val="0"/>
        <w:keepLines w:val="0"/>
        <w:pageBreakBefore w:val="0"/>
        <w:kinsoku/>
        <w:wordWrap/>
        <w:overflowPunct/>
        <w:topLinePunct w:val="0"/>
        <w:autoSpaceDE/>
        <w:autoSpaceDN/>
        <w:bidi w:val="0"/>
        <w:adjustRightInd w:val="0"/>
        <w:snapToGrid w:val="0"/>
        <w:spacing w:line="520" w:lineRule="exact"/>
        <w:ind w:firstLine="723" w:firstLineChars="300"/>
        <w:jc w:val="left"/>
        <w:textAlignment w:val="auto"/>
        <w:outlineLvl w:val="9"/>
        <w:rPr>
          <w:rFonts w:ascii="仿宋" w:hAnsi="仿宋" w:eastAsia="仿宋"/>
          <w:b/>
          <w:color w:val="auto"/>
          <w:sz w:val="24"/>
          <w:highlight w:val="none"/>
        </w:rPr>
      </w:pPr>
      <w:r>
        <w:rPr>
          <w:rFonts w:ascii="仿宋" w:hAnsi="仿宋" w:eastAsia="仿宋"/>
          <w:b/>
          <w:color w:val="auto"/>
          <w:sz w:val="24"/>
          <w:highlight w:val="none"/>
        </w:rPr>
        <w:br w:type="page"/>
      </w:r>
    </w:p>
    <w:p w14:paraId="6E8DDEFF">
      <w:pPr>
        <w:pStyle w:val="5"/>
        <w:outlineLvl w:val="9"/>
        <w:rPr>
          <w:color w:val="auto"/>
        </w:rPr>
        <w:sectPr>
          <w:headerReference r:id="rId3" w:type="default"/>
          <w:footerReference r:id="rId4" w:type="default"/>
          <w:pgSz w:w="11906" w:h="16838"/>
          <w:pgMar w:top="1701" w:right="1474" w:bottom="1701" w:left="1587" w:header="851" w:footer="1304" w:gutter="0"/>
          <w:pgNumType w:start="1"/>
          <w:cols w:space="0" w:num="1"/>
          <w:rtlGutter w:val="0"/>
          <w:docGrid w:type="lines" w:linePitch="312" w:charSpace="0"/>
        </w:sectPr>
      </w:pPr>
    </w:p>
    <w:p w14:paraId="14169457">
      <w:pPr>
        <w:pStyle w:val="2"/>
        <w:jc w:val="center"/>
        <w:outlineLvl w:val="0"/>
        <w:rPr>
          <w:rStyle w:val="24"/>
          <w:rFonts w:ascii="黑体" w:hAnsi="黑体" w:eastAsia="黑体"/>
          <w:b/>
          <w:bCs w:val="0"/>
          <w:color w:val="auto"/>
          <w:highlight w:val="none"/>
        </w:rPr>
      </w:pPr>
      <w:bookmarkStart w:id="9" w:name="_Toc3184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0"/>
      <w:bookmarkEnd w:id="1"/>
      <w:bookmarkEnd w:id="9"/>
    </w:p>
    <w:p w14:paraId="5FDEFC13">
      <w:pPr>
        <w:pStyle w:val="4"/>
        <w:pageBreakBefore w:val="0"/>
        <w:widowControl w:val="0"/>
        <w:numPr>
          <w:ilvl w:val="0"/>
          <w:numId w:val="0"/>
        </w:numPr>
        <w:kinsoku/>
        <w:wordWrap/>
        <w:overflowPunct/>
        <w:topLinePunct w:val="0"/>
        <w:autoSpaceDE/>
        <w:autoSpaceDN/>
        <w:bidi w:val="0"/>
        <w:adjustRightInd/>
        <w:snapToGrid w:val="0"/>
        <w:spacing w:before="0" w:after="0" w:line="560" w:lineRule="exact"/>
        <w:ind w:firstLine="640" w:firstLineChars="200"/>
        <w:jc w:val="both"/>
        <w:textAlignment w:val="auto"/>
        <w:outlineLvl w:val="1"/>
        <w:rPr>
          <w:rStyle w:val="25"/>
          <w:rFonts w:hint="eastAsia" w:ascii="黑体" w:hAnsi="黑体" w:eastAsia="黑体"/>
          <w:b w:val="0"/>
          <w:bCs w:val="0"/>
          <w:color w:val="auto"/>
          <w:highlight w:val="none"/>
          <w:lang w:eastAsia="zh-CN"/>
        </w:rPr>
      </w:pPr>
      <w:bookmarkStart w:id="10" w:name="_Toc15206"/>
      <w:bookmarkStart w:id="11" w:name="_Toc15377197"/>
      <w:bookmarkStart w:id="12" w:name="_Toc15396600"/>
      <w:r>
        <w:rPr>
          <w:rStyle w:val="25"/>
          <w:rFonts w:hint="eastAsia" w:ascii="黑体" w:hAnsi="黑体" w:eastAsia="黑体"/>
          <w:b w:val="0"/>
          <w:bCs w:val="0"/>
          <w:color w:val="auto"/>
          <w:highlight w:val="none"/>
          <w:lang w:eastAsia="zh-CN"/>
        </w:rPr>
        <w:t>一、机构设置</w:t>
      </w:r>
      <w:bookmarkEnd w:id="10"/>
    </w:p>
    <w:p w14:paraId="326DBCD1">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广元市利州区宝轮第一小学隶属</w:t>
      </w:r>
      <w:r>
        <w:rPr>
          <w:rFonts w:hint="eastAsia" w:ascii="仿宋" w:hAnsi="仿宋" w:eastAsia="仿宋" w:cs="仿宋"/>
          <w:color w:val="000000"/>
          <w:sz w:val="32"/>
          <w:szCs w:val="32"/>
        </w:rPr>
        <w:t>广元市利州区教育局下属二级预算单位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编制</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名，其中事业编制</w:t>
      </w:r>
      <w:r>
        <w:rPr>
          <w:rFonts w:hint="eastAsia" w:ascii="仿宋" w:hAnsi="仿宋" w:eastAsia="仿宋" w:cs="仿宋"/>
          <w:color w:val="000000"/>
          <w:sz w:val="32"/>
          <w:szCs w:val="32"/>
          <w:lang w:val="en-US" w:eastAsia="zh-CN"/>
        </w:rPr>
        <w:t>75</w:t>
      </w:r>
      <w:r>
        <w:rPr>
          <w:rFonts w:hint="eastAsia" w:ascii="仿宋" w:hAnsi="仿宋" w:eastAsia="仿宋" w:cs="仿宋"/>
          <w:color w:val="000000"/>
          <w:sz w:val="32"/>
          <w:szCs w:val="32"/>
        </w:rPr>
        <w:t>名。在职人员总数</w:t>
      </w:r>
      <w:r>
        <w:rPr>
          <w:rFonts w:hint="eastAsia" w:ascii="仿宋" w:hAnsi="仿宋" w:eastAsia="仿宋" w:cs="仿宋"/>
          <w:color w:val="000000"/>
          <w:sz w:val="32"/>
          <w:szCs w:val="32"/>
          <w:lang w:val="en-US" w:eastAsia="zh-CN"/>
        </w:rPr>
        <w:t>77</w:t>
      </w:r>
      <w:r>
        <w:rPr>
          <w:rFonts w:hint="eastAsia" w:ascii="仿宋" w:hAnsi="仿宋" w:eastAsia="仿宋" w:cs="仿宋"/>
          <w:color w:val="000000"/>
          <w:sz w:val="32"/>
          <w:szCs w:val="32"/>
        </w:rPr>
        <w:t>人，其中事业人员</w:t>
      </w:r>
      <w:r>
        <w:rPr>
          <w:rFonts w:hint="eastAsia" w:ascii="仿宋" w:hAnsi="仿宋" w:eastAsia="仿宋" w:cs="仿宋"/>
          <w:color w:val="000000"/>
          <w:sz w:val="32"/>
          <w:szCs w:val="32"/>
          <w:lang w:val="en-US" w:eastAsia="zh-CN"/>
        </w:rPr>
        <w:t>77</w:t>
      </w:r>
      <w:r>
        <w:rPr>
          <w:rFonts w:hint="eastAsia" w:ascii="仿宋" w:hAnsi="仿宋" w:eastAsia="仿宋" w:cs="仿宋"/>
          <w:color w:val="000000"/>
          <w:sz w:val="32"/>
          <w:szCs w:val="32"/>
        </w:rPr>
        <w:t>人（含特岗</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人），退休人员</w:t>
      </w:r>
      <w:r>
        <w:rPr>
          <w:rFonts w:hint="eastAsia" w:ascii="仿宋" w:hAnsi="仿宋" w:eastAsia="仿宋" w:cs="仿宋"/>
          <w:color w:val="000000"/>
          <w:sz w:val="32"/>
          <w:szCs w:val="32"/>
          <w:lang w:val="en-US" w:eastAsia="zh-CN"/>
        </w:rPr>
        <w:t>63</w:t>
      </w:r>
      <w:r>
        <w:rPr>
          <w:rFonts w:hint="eastAsia" w:ascii="仿宋" w:hAnsi="仿宋" w:eastAsia="仿宋" w:cs="仿宋"/>
          <w:color w:val="000000"/>
          <w:sz w:val="32"/>
          <w:szCs w:val="32"/>
        </w:rPr>
        <w:t>人。</w:t>
      </w:r>
    </w:p>
    <w:p w14:paraId="4FFDC3BA">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学校设置</w:t>
      </w:r>
      <w:r>
        <w:rPr>
          <w:rFonts w:hint="eastAsia" w:ascii="仿宋" w:hAnsi="仿宋" w:eastAsia="仿宋" w:cs="仿宋"/>
          <w:color w:val="000000"/>
          <w:sz w:val="32"/>
          <w:szCs w:val="32"/>
          <w:lang w:val="en-US" w:eastAsia="zh-CN"/>
        </w:rPr>
        <w:t>5个</w:t>
      </w:r>
      <w:r>
        <w:rPr>
          <w:rFonts w:hint="eastAsia" w:ascii="仿宋" w:hAnsi="仿宋" w:eastAsia="仿宋" w:cs="仿宋"/>
          <w:color w:val="000000"/>
          <w:sz w:val="32"/>
          <w:szCs w:val="32"/>
          <w:lang w:eastAsia="zh-CN"/>
        </w:rPr>
        <w:t>下级管理科室，分别是办公室、德育处、总务处、技装室、安全管理办公室。</w:t>
      </w:r>
    </w:p>
    <w:p w14:paraId="6F44FD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lang w:eastAsia="zh-CN"/>
        </w:rPr>
      </w:pPr>
      <w:r>
        <w:rPr>
          <w:rFonts w:hint="eastAsia" w:ascii="黑体" w:hAnsi="黑体" w:eastAsia="黑体"/>
          <w:color w:val="auto"/>
          <w:sz w:val="32"/>
          <w:szCs w:val="32"/>
          <w:highlight w:val="none"/>
          <w:lang w:val="en-US" w:eastAsia="zh-CN"/>
        </w:rPr>
        <w:t>二、</w:t>
      </w:r>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p>
    <w:p w14:paraId="41E68B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负责贯彻党的教育方针，坚持社会主义办学方向，对学生进行德育、智育、体育、美育和劳动教育等方面的教育。</w:t>
      </w:r>
    </w:p>
    <w:p w14:paraId="2A7773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负责配合各级人民政府依法动员适龄儿童、少年入学，严格控制学生辍学，依法保证适龄儿童、少年接受义务教育。</w:t>
      </w:r>
    </w:p>
    <w:p w14:paraId="73AF45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负责制定学校教育发展规划，并抓好组织实施和落实工作。</w:t>
      </w:r>
    </w:p>
    <w:p w14:paraId="096EF3D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 xml:space="preserve">负责按照教育主管部门发布的指导性教学计划、教学大纲，组织实施教育教学活动。 </w:t>
      </w:r>
    </w:p>
    <w:p w14:paraId="19EED3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决定和实施本校的教学计划，组织教学评比、集体备课，对学生进行统一考核、考试等。负责依据国家主管部门有关教学计划、课程设置等方面的规定。</w:t>
      </w:r>
    </w:p>
    <w:p w14:paraId="42C4C5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 xml:space="preserve">负责学籍管理。 </w:t>
      </w:r>
    </w:p>
    <w:p w14:paraId="472878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 xml:space="preserve">负责聘任、培训、考核教师，依法奖励或处分有关教师和职工。 </w:t>
      </w:r>
    </w:p>
    <w:p w14:paraId="0FF88B1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负责科学管理、合理使用学校的设施和经费，并积极筹措资金，改善办学条件。</w:t>
      </w:r>
    </w:p>
    <w:p w14:paraId="6F86F7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 xml:space="preserve">负责维护学校、师生的合法权益，有权拒绝任何组织和个人对教育教学活动进行非法干涉。 </w:t>
      </w:r>
    </w:p>
    <w:p w14:paraId="3A585B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依法接受各级教育行政部门的检查指导和人民群众的监督。</w:t>
      </w:r>
    </w:p>
    <w:bookmarkEnd w:id="11"/>
    <w:bookmarkEnd w:id="12"/>
    <w:p w14:paraId="71957D07">
      <w:pPr>
        <w:pStyle w:val="2"/>
        <w:ind w:right="440"/>
        <w:jc w:val="center"/>
        <w:outlineLvl w:val="0"/>
        <w:rPr>
          <w:rFonts w:hint="eastAsia" w:ascii="黑体" w:hAnsi="黑体" w:eastAsia="黑体"/>
          <w:b w:val="0"/>
          <w:bCs/>
          <w:color w:val="auto"/>
          <w:highlight w:val="none"/>
        </w:rPr>
      </w:pPr>
      <w:bookmarkStart w:id="13" w:name="_Toc15396602"/>
      <w:bookmarkStart w:id="14" w:name="_Toc15377204"/>
      <w:bookmarkStart w:id="15" w:name="_Toc19471"/>
    </w:p>
    <w:p w14:paraId="30B5DF64">
      <w:pPr>
        <w:rPr>
          <w:rFonts w:hint="eastAsia" w:ascii="黑体" w:hAnsi="黑体" w:eastAsia="黑体"/>
          <w:b w:val="0"/>
          <w:bCs/>
          <w:color w:val="auto"/>
          <w:highlight w:val="none"/>
        </w:rPr>
      </w:pPr>
    </w:p>
    <w:p w14:paraId="78A23136">
      <w:pPr>
        <w:rPr>
          <w:rFonts w:hint="eastAsia" w:ascii="黑体" w:hAnsi="黑体" w:eastAsia="黑体"/>
          <w:b w:val="0"/>
          <w:bCs/>
          <w:color w:val="auto"/>
          <w:highlight w:val="none"/>
        </w:rPr>
      </w:pPr>
    </w:p>
    <w:p w14:paraId="2DB6D7E5">
      <w:pPr>
        <w:rPr>
          <w:rFonts w:hint="eastAsia" w:ascii="黑体" w:hAnsi="黑体" w:eastAsia="黑体"/>
          <w:b w:val="0"/>
          <w:bCs/>
          <w:color w:val="auto"/>
          <w:highlight w:val="none"/>
        </w:rPr>
      </w:pPr>
    </w:p>
    <w:p w14:paraId="26CCA2B3">
      <w:pPr>
        <w:pStyle w:val="2"/>
        <w:ind w:right="440"/>
        <w:jc w:val="center"/>
        <w:outlineLvl w:val="0"/>
        <w:rPr>
          <w:rFonts w:hint="eastAsia" w:ascii="黑体" w:hAnsi="黑体" w:eastAsia="黑体"/>
          <w:b w:val="0"/>
          <w:bCs/>
          <w:color w:val="auto"/>
          <w:highlight w:val="none"/>
        </w:rPr>
      </w:pPr>
    </w:p>
    <w:p w14:paraId="02346795">
      <w:pPr>
        <w:pStyle w:val="2"/>
        <w:ind w:right="440"/>
        <w:jc w:val="center"/>
        <w:outlineLvl w:val="0"/>
        <w:rPr>
          <w:rFonts w:hint="eastAsia" w:ascii="黑体" w:hAnsi="黑体" w:eastAsia="黑体"/>
          <w:b w:val="0"/>
          <w:bCs/>
          <w:color w:val="auto"/>
          <w:highlight w:val="none"/>
        </w:rPr>
      </w:pPr>
    </w:p>
    <w:p w14:paraId="01FF8E30">
      <w:pPr>
        <w:pStyle w:val="2"/>
        <w:ind w:right="440"/>
        <w:jc w:val="center"/>
        <w:outlineLvl w:val="0"/>
        <w:rPr>
          <w:rFonts w:hint="eastAsia" w:ascii="黑体" w:hAnsi="黑体" w:eastAsia="黑体"/>
          <w:b w:val="0"/>
          <w:bCs/>
          <w:color w:val="auto"/>
          <w:highlight w:val="none"/>
        </w:rPr>
      </w:pPr>
    </w:p>
    <w:p w14:paraId="03210925">
      <w:pPr>
        <w:pStyle w:val="2"/>
        <w:ind w:right="440"/>
        <w:jc w:val="center"/>
        <w:outlineLvl w:val="0"/>
        <w:rPr>
          <w:rFonts w:hint="eastAsia" w:ascii="黑体" w:hAnsi="黑体" w:eastAsia="黑体"/>
          <w:b w:val="0"/>
          <w:bCs/>
          <w:color w:val="auto"/>
          <w:highlight w:val="none"/>
        </w:rPr>
      </w:pPr>
    </w:p>
    <w:p w14:paraId="1C706277">
      <w:pPr>
        <w:rPr>
          <w:rFonts w:hint="eastAsia" w:ascii="黑体" w:hAnsi="黑体" w:eastAsia="黑体"/>
          <w:b w:val="0"/>
          <w:bCs/>
          <w:color w:val="auto"/>
          <w:highlight w:val="none"/>
        </w:rPr>
      </w:pPr>
    </w:p>
    <w:p w14:paraId="07C8827D">
      <w:pPr>
        <w:rPr>
          <w:rFonts w:hint="eastAsia" w:ascii="黑体" w:hAnsi="黑体" w:eastAsia="黑体"/>
          <w:b w:val="0"/>
          <w:bCs/>
          <w:color w:val="auto"/>
          <w:highlight w:val="none"/>
        </w:rPr>
      </w:pPr>
    </w:p>
    <w:p w14:paraId="4CA74862">
      <w:pPr>
        <w:rPr>
          <w:rFonts w:hint="eastAsia" w:ascii="黑体" w:hAnsi="黑体" w:eastAsia="黑体"/>
          <w:b w:val="0"/>
          <w:bCs/>
          <w:color w:val="auto"/>
          <w:highlight w:val="none"/>
        </w:rPr>
      </w:pPr>
    </w:p>
    <w:p w14:paraId="16F909D8">
      <w:pPr>
        <w:pStyle w:val="2"/>
        <w:ind w:right="440"/>
        <w:jc w:val="both"/>
        <w:outlineLvl w:val="0"/>
        <w:rPr>
          <w:rFonts w:hint="eastAsia" w:ascii="黑体" w:hAnsi="黑体" w:eastAsia="黑体"/>
          <w:b w:val="0"/>
          <w:bCs/>
          <w:color w:val="auto"/>
          <w:highlight w:val="none"/>
        </w:rPr>
      </w:pPr>
    </w:p>
    <w:p w14:paraId="60101080">
      <w:pPr>
        <w:pStyle w:val="2"/>
        <w:ind w:right="440"/>
        <w:jc w:val="center"/>
        <w:outlineLvl w:val="0"/>
        <w:rPr>
          <w:rStyle w:val="2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3"/>
      <w:bookmarkEnd w:id="14"/>
      <w:bookmarkEnd w:id="15"/>
    </w:p>
    <w:p w14:paraId="769E84E4">
      <w:pPr>
        <w:outlineLvl w:val="9"/>
        <w:rPr>
          <w:color w:val="auto"/>
          <w:highlight w:val="none"/>
        </w:rPr>
      </w:pPr>
    </w:p>
    <w:p w14:paraId="3F74666F">
      <w:pPr>
        <w:pStyle w:val="23"/>
        <w:numPr>
          <w:ilvl w:val="0"/>
          <w:numId w:val="0"/>
        </w:numPr>
        <w:spacing w:line="600" w:lineRule="exact"/>
        <w:ind w:left="640" w:leftChars="0"/>
        <w:outlineLvl w:val="1"/>
        <w:rPr>
          <w:rStyle w:val="25"/>
          <w:rFonts w:ascii="黑体" w:hAnsi="黑体" w:eastAsia="黑体"/>
          <w:b w:val="0"/>
          <w:color w:val="auto"/>
          <w:highlight w:val="none"/>
        </w:rPr>
      </w:pPr>
      <w:bookmarkStart w:id="16" w:name="_Toc15396603"/>
      <w:bookmarkStart w:id="17" w:name="_Toc4037"/>
      <w:bookmarkStart w:id="18" w:name="_Toc15377205"/>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6"/>
      <w:bookmarkEnd w:id="17"/>
      <w:bookmarkEnd w:id="18"/>
    </w:p>
    <w:p w14:paraId="661BBD64">
      <w:pPr>
        <w:spacing w:line="600" w:lineRule="exact"/>
        <w:ind w:firstLine="640" w:firstLineChars="200"/>
        <w:outlineLvl w:val="2"/>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2,576.31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2605.47万元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减少29.16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减少1.12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项目资金减少</w:t>
      </w:r>
      <w:r>
        <w:rPr>
          <w:rStyle w:val="14"/>
          <w:rFonts w:hint="eastAsia" w:ascii="仿宋" w:hAnsi="仿宋" w:eastAsia="仿宋" w:cstheme="minorBidi"/>
          <w:b w:val="0"/>
          <w:bCs/>
          <w:color w:val="auto"/>
          <w:sz w:val="32"/>
          <w:szCs w:val="32"/>
          <w:highlight w:val="none"/>
          <w:lang w:val="en-US" w:eastAsia="zh-CN"/>
        </w:rPr>
        <w:t>。</w:t>
      </w:r>
    </w:p>
    <w:p w14:paraId="4D2475B3">
      <w:pPr>
        <w:spacing w:line="600" w:lineRule="exact"/>
        <w:ind w:firstLine="640" w:firstLineChars="200"/>
        <w:outlineLvl w:val="2"/>
        <w:rPr>
          <w:rFonts w:hint="eastAsia"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59264" behindDoc="1" locked="0" layoutInCell="1" allowOverlap="1">
            <wp:simplePos x="0" y="0"/>
            <wp:positionH relativeFrom="column">
              <wp:posOffset>260985</wp:posOffset>
            </wp:positionH>
            <wp:positionV relativeFrom="paragraph">
              <wp:posOffset>217805</wp:posOffset>
            </wp:positionV>
            <wp:extent cx="5175250" cy="3942080"/>
            <wp:effectExtent l="4445" t="4445" r="20955" b="15875"/>
            <wp:wrapTight wrapText="bothSides">
              <wp:wrapPolygon>
                <wp:start x="-19" y="-24"/>
                <wp:lineTo x="-19" y="21478"/>
                <wp:lineTo x="21528" y="21478"/>
                <wp:lineTo x="21528" y="-24"/>
                <wp:lineTo x="-19" y="-2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37DB3E99">
      <w:pPr>
        <w:spacing w:line="600" w:lineRule="exact"/>
        <w:ind w:firstLine="640" w:firstLineChars="200"/>
        <w:jc w:val="left"/>
        <w:outlineLvl w:val="1"/>
        <w:rPr>
          <w:rStyle w:val="25"/>
          <w:rFonts w:ascii="黑体" w:hAnsi="黑体" w:eastAsia="黑体"/>
          <w:b w:val="0"/>
          <w:color w:val="auto"/>
          <w:highlight w:val="none"/>
        </w:rPr>
      </w:pPr>
      <w:bookmarkStart w:id="19" w:name="_Toc11408"/>
      <w:bookmarkStart w:id="20" w:name="_Toc15377206"/>
      <w:bookmarkStart w:id="21" w:name="_Toc15396604"/>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19"/>
      <w:bookmarkEnd w:id="20"/>
      <w:bookmarkEnd w:id="21"/>
    </w:p>
    <w:p w14:paraId="53EA9269">
      <w:pPr>
        <w:spacing w:line="600" w:lineRule="exact"/>
        <w:ind w:firstLine="640" w:firstLineChars="20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2576.31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2416.09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93.78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160.22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7E3C615">
      <w:pPr>
        <w:spacing w:line="600" w:lineRule="exact"/>
        <w:ind w:left="0" w:leftChars="0" w:firstLine="0" w:firstLineChars="0"/>
        <w:jc w:val="center"/>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0288" behindDoc="0" locked="0" layoutInCell="1" allowOverlap="1">
            <wp:simplePos x="0" y="0"/>
            <wp:positionH relativeFrom="column">
              <wp:posOffset>28575</wp:posOffset>
            </wp:positionH>
            <wp:positionV relativeFrom="paragraph">
              <wp:posOffset>142875</wp:posOffset>
            </wp:positionV>
            <wp:extent cx="5502275" cy="3714750"/>
            <wp:effectExtent l="4445" t="4445" r="1778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14:paraId="73528417">
      <w:pPr>
        <w:pStyle w:val="23"/>
        <w:numPr>
          <w:ilvl w:val="0"/>
          <w:numId w:val="0"/>
        </w:numPr>
        <w:spacing w:line="600" w:lineRule="exact"/>
        <w:ind w:left="640" w:leftChars="0"/>
        <w:outlineLvl w:val="1"/>
        <w:rPr>
          <w:rStyle w:val="25"/>
          <w:rFonts w:ascii="黑体" w:hAnsi="黑体" w:eastAsia="黑体"/>
          <w:b w:val="0"/>
          <w:color w:val="auto"/>
          <w:highlight w:val="none"/>
        </w:rPr>
      </w:pPr>
      <w:bookmarkStart w:id="22" w:name="_Toc15377207"/>
      <w:bookmarkStart w:id="23" w:name="_Toc15396605"/>
      <w:bookmarkStart w:id="24" w:name="_Toc26078"/>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bookmarkEnd w:id="24"/>
    </w:p>
    <w:p w14:paraId="1F99B954">
      <w:pPr>
        <w:spacing w:line="600" w:lineRule="exact"/>
        <w:ind w:firstLine="640" w:firstLineChars="20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2576.31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1514.17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58.77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1062.14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B503296">
      <w:pPr>
        <w:spacing w:line="600" w:lineRule="exact"/>
        <w:ind w:firstLine="640"/>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1312" behindDoc="0" locked="0" layoutInCell="1" allowOverlap="1">
            <wp:simplePos x="0" y="0"/>
            <wp:positionH relativeFrom="column">
              <wp:posOffset>95250</wp:posOffset>
            </wp:positionH>
            <wp:positionV relativeFrom="paragraph">
              <wp:posOffset>83185</wp:posOffset>
            </wp:positionV>
            <wp:extent cx="5413375" cy="2339975"/>
            <wp:effectExtent l="4445" t="4445" r="11430" b="177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（图3：支出决算结构图）（饼状图）</w:t>
      </w:r>
    </w:p>
    <w:p w14:paraId="3AC1683C">
      <w:pPr>
        <w:spacing w:line="600" w:lineRule="exact"/>
        <w:ind w:firstLine="640" w:firstLineChars="200"/>
        <w:outlineLvl w:val="1"/>
        <w:rPr>
          <w:rStyle w:val="25"/>
          <w:rFonts w:ascii="黑体" w:hAnsi="黑体" w:eastAsia="黑体"/>
          <w:b w:val="0"/>
          <w:color w:val="auto"/>
          <w:highlight w:val="none"/>
        </w:rPr>
      </w:pPr>
      <w:bookmarkStart w:id="25" w:name="_Toc15396606"/>
      <w:bookmarkStart w:id="26" w:name="_Toc29848"/>
      <w:bookmarkStart w:id="27"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5"/>
      <w:bookmarkEnd w:id="26"/>
      <w:bookmarkEnd w:id="27"/>
    </w:p>
    <w:p w14:paraId="799E1B98">
      <w:pPr>
        <w:spacing w:line="600" w:lineRule="exact"/>
        <w:ind w:firstLine="640" w:firstLineChars="200"/>
        <w:outlineLvl w:val="2"/>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2416.09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2,605.27万元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相比，财政拨款收、支总计</w:t>
      </w:r>
      <w:r>
        <w:rPr>
          <w:rFonts w:hint="eastAsia" w:ascii="仿宋" w:hAnsi="仿宋" w:eastAsia="仿宋"/>
          <w:color w:val="auto"/>
          <w:sz w:val="32"/>
          <w:szCs w:val="32"/>
          <w:highlight w:val="none"/>
          <w:lang w:val="en-US" w:eastAsia="zh-CN"/>
        </w:rPr>
        <w:t>减少189.18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减少7.26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项目资金减少</w:t>
      </w:r>
      <w:r>
        <w:rPr>
          <w:rStyle w:val="14"/>
          <w:rFonts w:hint="eastAsia" w:ascii="仿宋" w:hAnsi="仿宋" w:eastAsia="仿宋" w:cstheme="minorBidi"/>
          <w:b w:val="0"/>
          <w:bCs/>
          <w:color w:val="auto"/>
          <w:sz w:val="32"/>
          <w:szCs w:val="32"/>
          <w:highlight w:val="none"/>
          <w:lang w:val="en-US" w:eastAsia="zh-CN"/>
        </w:rPr>
        <w:t>。</w:t>
      </w:r>
    </w:p>
    <w:p w14:paraId="4092D518">
      <w:pPr>
        <w:pStyle w:val="5"/>
        <w:outlineLvl w:val="2"/>
        <w:rPr>
          <w:rFonts w:hint="eastAsia"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2336" behindDoc="1" locked="0" layoutInCell="1" allowOverlap="1">
            <wp:simplePos x="0" y="0"/>
            <wp:positionH relativeFrom="column">
              <wp:posOffset>22860</wp:posOffset>
            </wp:positionH>
            <wp:positionV relativeFrom="paragraph">
              <wp:posOffset>49530</wp:posOffset>
            </wp:positionV>
            <wp:extent cx="5318760" cy="3231515"/>
            <wp:effectExtent l="4445" t="5080" r="10795" b="20955"/>
            <wp:wrapTight wrapText="bothSides">
              <wp:wrapPolygon>
                <wp:start x="-18" y="-34"/>
                <wp:lineTo x="-18" y="21485"/>
                <wp:lineTo x="21566" y="21485"/>
                <wp:lineTo x="21566" y="-34"/>
                <wp:lineTo x="-18" y="-34"/>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bookmarkStart w:id="28" w:name="_Toc15396607"/>
      <w:bookmarkStart w:id="29" w:name="_Toc7022"/>
      <w:bookmarkStart w:id="30" w:name="_Toc15377209"/>
    </w:p>
    <w:p w14:paraId="0F08C51D">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8"/>
      <w:bookmarkEnd w:id="29"/>
      <w:bookmarkEnd w:id="30"/>
    </w:p>
    <w:p w14:paraId="323D7630">
      <w:pPr>
        <w:spacing w:line="600" w:lineRule="exact"/>
        <w:ind w:firstLine="640" w:firstLineChars="200"/>
        <w:outlineLvl w:val="2"/>
        <w:rPr>
          <w:rFonts w:hint="eastAsia" w:ascii="楷体" w:hAnsi="楷体" w:eastAsia="楷体" w:cs="楷体"/>
          <w:b w:val="0"/>
          <w:bCs/>
          <w:color w:val="auto"/>
          <w:sz w:val="32"/>
          <w:szCs w:val="32"/>
          <w:highlight w:val="none"/>
        </w:rPr>
      </w:pPr>
      <w:bookmarkStart w:id="31" w:name="_Toc15377210"/>
      <w:r>
        <w:rPr>
          <w:rFonts w:hint="eastAsia" w:ascii="楷体" w:hAnsi="楷体" w:eastAsia="楷体" w:cs="楷体"/>
          <w:b w:val="0"/>
          <w:bCs/>
          <w:color w:val="auto"/>
          <w:sz w:val="32"/>
          <w:szCs w:val="32"/>
          <w:highlight w:val="none"/>
        </w:rPr>
        <w:t>（一）一般公共预算财政拨款支出决算总体情况</w:t>
      </w:r>
      <w:bookmarkEnd w:id="31"/>
    </w:p>
    <w:p w14:paraId="2ED829FB">
      <w:pPr>
        <w:spacing w:line="600" w:lineRule="exact"/>
        <w:ind w:firstLine="640" w:firstLineChars="200"/>
        <w:outlineLvl w:val="2"/>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2416.09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93.78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2,605.27万元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增加189.18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减少7.26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是项目资金减少。</w:t>
      </w:r>
    </w:p>
    <w:p w14:paraId="531F59C6">
      <w:pPr>
        <w:spacing w:line="600" w:lineRule="exact"/>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3360" behindDoc="1" locked="0" layoutInCell="1" allowOverlap="1">
            <wp:simplePos x="0" y="0"/>
            <wp:positionH relativeFrom="column">
              <wp:posOffset>119380</wp:posOffset>
            </wp:positionH>
            <wp:positionV relativeFrom="paragraph">
              <wp:posOffset>22860</wp:posOffset>
            </wp:positionV>
            <wp:extent cx="5614035" cy="3251200"/>
            <wp:effectExtent l="4445" t="4445" r="20320" b="20955"/>
            <wp:wrapTight wrapText="bothSides">
              <wp:wrapPolygon>
                <wp:start x="-17" y="-30"/>
                <wp:lineTo x="-17" y="21486"/>
                <wp:lineTo x="21532" y="21486"/>
                <wp:lineTo x="21532" y="-30"/>
                <wp:lineTo x="-17" y="-3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（图5：一般公共预算财政拨款支出决算变动情况）（柱状图）</w:t>
      </w:r>
    </w:p>
    <w:p w14:paraId="77833BA5">
      <w:pPr>
        <w:spacing w:line="600" w:lineRule="exact"/>
        <w:ind w:firstLine="640" w:firstLineChars="200"/>
        <w:outlineLvl w:val="2"/>
        <w:rPr>
          <w:rFonts w:hint="eastAsia" w:ascii="楷体" w:hAnsi="楷体" w:eastAsia="楷体" w:cs="楷体"/>
          <w:b w:val="0"/>
          <w:bCs/>
          <w:color w:val="auto"/>
          <w:sz w:val="32"/>
          <w:szCs w:val="32"/>
          <w:highlight w:val="none"/>
        </w:rPr>
      </w:pPr>
      <w:bookmarkStart w:id="32" w:name="_Toc15377211"/>
      <w:r>
        <w:rPr>
          <w:rFonts w:hint="eastAsia" w:ascii="楷体" w:hAnsi="楷体" w:eastAsia="楷体" w:cs="楷体"/>
          <w:b w:val="0"/>
          <w:bCs/>
          <w:color w:val="auto"/>
          <w:sz w:val="32"/>
          <w:szCs w:val="32"/>
          <w:highlight w:val="none"/>
        </w:rPr>
        <w:t>（二）一般公共预算财政拨款支出决算结构情况</w:t>
      </w:r>
      <w:bookmarkEnd w:id="32"/>
    </w:p>
    <w:p w14:paraId="1433464C">
      <w:pPr>
        <w:spacing w:line="600" w:lineRule="exact"/>
        <w:ind w:firstLine="640"/>
        <w:outlineLvl w:val="2"/>
        <w:rPr>
          <w:rFonts w:hint="default" w:ascii="仿宋" w:hAnsi="仿宋" w:eastAsia="仿宋"/>
          <w:b/>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2416.09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2367.60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97.99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支出36.03万元，占</w:t>
      </w:r>
      <w:r>
        <w:rPr>
          <w:rFonts w:hint="eastAsia" w:ascii="仿宋" w:hAnsi="仿宋" w:eastAsia="仿宋"/>
          <w:color w:val="auto"/>
          <w:sz w:val="32"/>
          <w:szCs w:val="32"/>
          <w:highlight w:val="none"/>
          <w:lang w:val="en-US" w:eastAsia="zh-CN"/>
        </w:rPr>
        <w:t>1.49</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lang w:eastAsia="zh-CN"/>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lang w:val="en-US" w:eastAsia="zh-CN"/>
        </w:rPr>
        <w:t>支出5.04万元，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0.20</w:t>
      </w:r>
      <w:r>
        <w:rPr>
          <w:rFonts w:ascii="仿宋" w:hAnsi="仿宋" w:eastAsia="仿宋"/>
          <w:color w:val="auto"/>
          <w:sz w:val="32"/>
          <w:szCs w:val="32"/>
          <w:highlight w:val="none"/>
        </w:rPr>
        <w:t>%</w:t>
      </w:r>
      <w:r>
        <w:rPr>
          <w:rFonts w:hint="eastAsia" w:ascii="仿宋" w:hAnsi="仿宋" w:eastAsia="仿宋"/>
          <w:b/>
          <w:color w:val="auto"/>
          <w:sz w:val="32"/>
          <w:szCs w:val="32"/>
          <w:highlight w:val="none"/>
          <w:lang w:val="en-US" w:eastAsia="zh-CN"/>
        </w:rPr>
        <w:t>；</w:t>
      </w:r>
      <w:r>
        <w:rPr>
          <w:rFonts w:hint="eastAsia" w:ascii="仿宋" w:hAnsi="仿宋" w:eastAsia="仿宋"/>
          <w:b/>
          <w:color w:val="auto"/>
          <w:sz w:val="32"/>
          <w:szCs w:val="32"/>
          <w:highlight w:val="none"/>
          <w:lang w:eastAsia="zh-CN"/>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lang w:eastAsia="zh-CN"/>
        </w:rPr>
        <w:t>支出7</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eastAsia="zh-CN"/>
        </w:rPr>
        <w:t>4</w:t>
      </w:r>
      <w:r>
        <w:rPr>
          <w:rFonts w:hint="eastAsia" w:ascii="仿宋" w:hAnsi="仿宋" w:eastAsia="仿宋"/>
          <w:color w:val="auto"/>
          <w:sz w:val="32"/>
          <w:szCs w:val="32"/>
          <w:highlight w:val="none"/>
          <w:lang w:val="en-US" w:eastAsia="zh-CN"/>
        </w:rPr>
        <w:t>2万元，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0.32</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14:paraId="35603DD7">
      <w:pPr>
        <w:spacing w:line="600" w:lineRule="exact"/>
        <w:ind w:firstLine="640" w:firstLineChars="200"/>
        <w:outlineLvl w:val="2"/>
        <w:rPr>
          <w:rFonts w:ascii="仿宋" w:hAnsi="仿宋" w:eastAsia="仿宋"/>
          <w:color w:val="auto"/>
          <w:sz w:val="32"/>
          <w:szCs w:val="32"/>
          <w:highlight w:val="none"/>
        </w:rPr>
      </w:pPr>
      <w:r>
        <w:rPr>
          <w:rFonts w:ascii="仿宋_GB2312" w:eastAsia="仿宋_GB2312"/>
          <w:color w:val="auto"/>
          <w:sz w:val="32"/>
          <w:szCs w:val="32"/>
        </w:rPr>
        <w:drawing>
          <wp:anchor distT="0" distB="0" distL="114300" distR="114300" simplePos="0" relativeHeight="251664384" behindDoc="0" locked="0" layoutInCell="1" allowOverlap="1">
            <wp:simplePos x="0" y="0"/>
            <wp:positionH relativeFrom="column">
              <wp:posOffset>40640</wp:posOffset>
            </wp:positionH>
            <wp:positionV relativeFrom="paragraph">
              <wp:posOffset>54610</wp:posOffset>
            </wp:positionV>
            <wp:extent cx="5298440" cy="3072765"/>
            <wp:effectExtent l="4445" t="4445" r="1206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（图6：一般公共预算财政拨款支出决算结构）（饼状图）</w:t>
      </w:r>
    </w:p>
    <w:p w14:paraId="5D2573D3">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2"/>
        <w:rPr>
          <w:rFonts w:hint="eastAsia" w:ascii="楷体" w:hAnsi="楷体" w:eastAsia="楷体" w:cs="楷体"/>
          <w:b w:val="0"/>
          <w:bCs/>
          <w:color w:val="auto"/>
          <w:sz w:val="32"/>
          <w:szCs w:val="32"/>
          <w:highlight w:val="none"/>
        </w:rPr>
      </w:pPr>
      <w:bookmarkStart w:id="33" w:name="_Toc15377212"/>
      <w:r>
        <w:rPr>
          <w:rFonts w:hint="eastAsia" w:ascii="楷体" w:hAnsi="楷体" w:eastAsia="楷体" w:cs="楷体"/>
          <w:b w:val="0"/>
          <w:bCs/>
          <w:color w:val="auto"/>
          <w:sz w:val="32"/>
          <w:szCs w:val="32"/>
          <w:highlight w:val="none"/>
        </w:rPr>
        <w:t>（三）一般公共预算财政拨款支出决算具体情况</w:t>
      </w:r>
      <w:bookmarkEnd w:id="33"/>
    </w:p>
    <w:p w14:paraId="76D374E5">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ascii="仿宋" w:hAnsi="仿宋" w:eastAsia="仿宋"/>
          <w:color w:val="auto"/>
          <w:sz w:val="32"/>
          <w:szCs w:val="32"/>
          <w:highlight w:val="none"/>
        </w:rPr>
      </w:pPr>
      <w:bookmarkStart w:id="34" w:name="_Toc15377213"/>
      <w:bookmarkStart w:id="35" w:name="_Toc15377444"/>
      <w:bookmarkStart w:id="36"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2416.09</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4"/>
      <w:bookmarkEnd w:id="35"/>
      <w:bookmarkEnd w:id="36"/>
    </w:p>
    <w:p w14:paraId="2342ABBE">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hint="default" w:ascii="仿宋" w:hAnsi="仿宋" w:eastAsia="仿宋"/>
          <w:b/>
          <w:color w:val="auto"/>
          <w:sz w:val="32"/>
          <w:szCs w:val="32"/>
          <w:highlight w:val="none"/>
          <w:lang w:val="en-US"/>
        </w:rPr>
      </w:pPr>
      <w:r>
        <w:rPr>
          <w:rStyle w:val="14"/>
          <w:rFonts w:hint="eastAsia" w:ascii="仿宋" w:hAnsi="仿宋" w:eastAsia="仿宋" w:cstheme="minorBidi"/>
          <w:bCs/>
          <w:color w:val="auto"/>
          <w:kern w:val="2"/>
          <w:sz w:val="32"/>
          <w:szCs w:val="32"/>
          <w:highlight w:val="none"/>
          <w:lang w:val="en-US" w:eastAsia="zh-CN" w:bidi="ar-SA"/>
        </w:rPr>
        <w:t>1.教育支出（类）普通教育（款）小学教育（项）</w:t>
      </w:r>
      <w:r>
        <w:rPr>
          <w:rStyle w:val="14"/>
          <w:rFonts w:ascii="仿宋" w:hAnsi="仿宋" w:eastAsia="仿宋" w:cstheme="minorBidi"/>
          <w:bCs/>
          <w:color w:val="auto"/>
          <w:kern w:val="2"/>
          <w:sz w:val="32"/>
          <w:szCs w:val="32"/>
          <w:highlight w:val="none"/>
          <w:lang w:val="en-US" w:eastAsia="zh-CN" w:bidi="ar-SA"/>
        </w:rPr>
        <w:t>:</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2367.60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cstheme="minorBidi"/>
          <w:b w:val="0"/>
          <w:bCs/>
          <w:color w:val="auto"/>
          <w:kern w:val="0"/>
          <w:sz w:val="32"/>
          <w:szCs w:val="32"/>
          <w:highlight w:val="none"/>
          <w:lang w:val="en-US" w:eastAsia="zh-CN" w:bidi="ar-SA"/>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14:paraId="4A3F43D4">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color w:val="auto"/>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其他社会保障和就业</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其他社会保障和就业</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w:t>
      </w:r>
      <w:r>
        <w:rPr>
          <w:rFonts w:hint="eastAsia" w:ascii="仿宋" w:hAnsi="仿宋" w:eastAsia="仿宋"/>
          <w:color w:val="auto"/>
          <w:sz w:val="32"/>
          <w:szCs w:val="32"/>
          <w:highlight w:val="none"/>
        </w:rPr>
        <w:t>54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14:paraId="45ED75ED">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color w:val="auto"/>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29.02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14:paraId="49D8E2CD">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hint="default"/>
          <w:lang w:val="en-US"/>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机关事业单位职业年金缴费支出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6.47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14:paraId="0E434BCE">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ascii="仿宋" w:hAnsi="仿宋" w:eastAsia="仿宋"/>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事业单位医疗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5.04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14:paraId="6B11B9B7">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ascii="仿宋" w:hAnsi="仿宋" w:eastAsia="仿宋"/>
          <w:color w:val="auto"/>
          <w:sz w:val="32"/>
          <w:szCs w:val="32"/>
          <w:highlight w:val="none"/>
        </w:rPr>
      </w:pPr>
      <w:r>
        <w:rPr>
          <w:rStyle w:val="14"/>
          <w:rFonts w:hint="eastAsia" w:ascii="仿宋" w:hAnsi="仿宋" w:eastAsia="仿宋"/>
          <w:bCs/>
          <w:color w:val="auto"/>
          <w:sz w:val="32"/>
          <w:szCs w:val="32"/>
          <w:highlight w:val="none"/>
          <w:lang w:val="en-US" w:eastAsia="zh-CN"/>
        </w:rPr>
        <w:t>6.住房保障（类）</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kern w:val="0"/>
          <w:sz w:val="32"/>
          <w:szCs w:val="32"/>
          <w:highlight w:val="none"/>
          <w:lang w:val="en-US" w:eastAsia="zh-CN" w:bidi="ar-SA"/>
        </w:rPr>
        <w:t>年初预算根据实际编列，</w:t>
      </w:r>
      <w:r>
        <w:rPr>
          <w:rStyle w:val="14"/>
          <w:rFonts w:hint="eastAsia" w:ascii="仿宋" w:hAnsi="仿宋" w:eastAsia="仿宋"/>
          <w:b w:val="0"/>
          <w:bCs/>
          <w:color w:val="auto"/>
          <w:sz w:val="32"/>
          <w:szCs w:val="32"/>
          <w:highlight w:val="none"/>
          <w:lang w:val="en-US" w:eastAsia="zh-CN"/>
        </w:rPr>
        <w:t>项目实施中及时根据支出情况调整预算。</w:t>
      </w:r>
    </w:p>
    <w:p w14:paraId="1C97EAA3">
      <w:pPr>
        <w:keepNext w:val="0"/>
        <w:keepLines w:val="0"/>
        <w:pageBreakBefore w:val="0"/>
        <w:widowControl w:val="0"/>
        <w:tabs>
          <w:tab w:val="right" w:pos="8306"/>
        </w:tabs>
        <w:kinsoku/>
        <w:wordWrap/>
        <w:overflowPunct/>
        <w:topLinePunct w:val="0"/>
        <w:autoSpaceDE/>
        <w:autoSpaceDN/>
        <w:bidi w:val="0"/>
        <w:adjustRightInd/>
        <w:snapToGrid w:val="0"/>
        <w:spacing w:line="550" w:lineRule="exact"/>
        <w:ind w:firstLine="640"/>
        <w:textAlignment w:val="auto"/>
        <w:outlineLvl w:val="1"/>
        <w:rPr>
          <w:rStyle w:val="25"/>
          <w:color w:val="auto"/>
          <w:highlight w:val="none"/>
        </w:rPr>
      </w:pPr>
      <w:bookmarkStart w:id="37" w:name="_Toc25871"/>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7"/>
      <w:bookmarkEnd w:id="38"/>
      <w:bookmarkEnd w:id="39"/>
      <w:r>
        <w:rPr>
          <w:rStyle w:val="25"/>
          <w:rFonts w:ascii="黑体" w:hAnsi="黑体" w:eastAsia="黑体"/>
          <w:b w:val="0"/>
          <w:color w:val="auto"/>
          <w:highlight w:val="none"/>
        </w:rPr>
        <w:tab/>
      </w:r>
    </w:p>
    <w:p w14:paraId="2491E5AB">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w:t>
      </w:r>
      <w:r>
        <w:rPr>
          <w:rFonts w:ascii="仿宋" w:hAnsi="仿宋" w:eastAsia="仿宋"/>
          <w:color w:val="auto"/>
          <w:spacing w:val="-6"/>
          <w:sz w:val="32"/>
          <w:szCs w:val="32"/>
          <w:highlight w:val="none"/>
        </w:rPr>
        <w:t>0</w:t>
      </w:r>
      <w:r>
        <w:rPr>
          <w:rFonts w:hint="eastAsia" w:ascii="仿宋" w:hAnsi="仿宋" w:eastAsia="仿宋"/>
          <w:color w:val="auto"/>
          <w:spacing w:val="-6"/>
          <w:sz w:val="32"/>
          <w:szCs w:val="32"/>
          <w:highlight w:val="none"/>
          <w:lang w:val="en-US" w:eastAsia="zh-CN"/>
        </w:rPr>
        <w:t>23</w:t>
      </w:r>
      <w:r>
        <w:rPr>
          <w:rFonts w:hint="eastAsia" w:ascii="仿宋" w:hAnsi="仿宋" w:eastAsia="仿宋"/>
          <w:color w:val="auto"/>
          <w:spacing w:val="-6"/>
          <w:sz w:val="32"/>
          <w:szCs w:val="32"/>
          <w:highlight w:val="none"/>
        </w:rPr>
        <w:t>年一般公共预算财政拨款基本支出</w:t>
      </w:r>
      <w:r>
        <w:rPr>
          <w:rFonts w:hint="eastAsia" w:ascii="仿宋" w:hAnsi="仿宋" w:eastAsia="仿宋"/>
          <w:color w:val="auto"/>
          <w:spacing w:val="-6"/>
          <w:sz w:val="32"/>
          <w:szCs w:val="32"/>
          <w:highlight w:val="none"/>
          <w:lang w:val="en-US" w:eastAsia="zh-CN"/>
        </w:rPr>
        <w:t>1515.06</w:t>
      </w:r>
      <w:r>
        <w:rPr>
          <w:rFonts w:hint="eastAsia" w:ascii="仿宋" w:hAnsi="仿宋" w:eastAsia="仿宋"/>
          <w:color w:val="auto"/>
          <w:spacing w:val="-6"/>
          <w:sz w:val="32"/>
          <w:szCs w:val="32"/>
          <w:highlight w:val="none"/>
        </w:rPr>
        <w:t>万元，其中：</w:t>
      </w:r>
    </w:p>
    <w:p w14:paraId="064DCBE1">
      <w:pPr>
        <w:keepNext w:val="0"/>
        <w:keepLines w:val="0"/>
        <w:pageBreakBefore w:val="0"/>
        <w:widowControl w:val="0"/>
        <w:kinsoku/>
        <w:wordWrap/>
        <w:overflowPunct/>
        <w:topLinePunct w:val="0"/>
        <w:autoSpaceDE/>
        <w:autoSpaceDN/>
        <w:bidi w:val="0"/>
        <w:adjustRightInd/>
        <w:snapToGrid w:val="0"/>
        <w:spacing w:line="550" w:lineRule="exact"/>
        <w:textAlignment w:val="auto"/>
        <w:outlineLvl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pacing w:val="-6"/>
          <w:sz w:val="32"/>
          <w:szCs w:val="32"/>
          <w:highlight w:val="none"/>
          <w:lang w:val="en-US" w:eastAsia="zh-CN"/>
        </w:rPr>
        <w:t>1315.55</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7A52C4D2">
      <w:pPr>
        <w:keepNext w:val="0"/>
        <w:keepLines w:val="0"/>
        <w:pageBreakBefore w:val="0"/>
        <w:widowControl w:val="0"/>
        <w:kinsoku/>
        <w:wordWrap/>
        <w:overflowPunct/>
        <w:topLinePunct w:val="0"/>
        <w:autoSpaceDE/>
        <w:autoSpaceDN/>
        <w:bidi w:val="0"/>
        <w:adjustRightInd/>
        <w:snapToGrid w:val="0"/>
        <w:spacing w:line="550" w:lineRule="exact"/>
        <w:ind w:firstLine="645"/>
        <w:textAlignment w:val="auto"/>
        <w:outlineLvl w:val="2"/>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198.62</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712C9F1">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1"/>
        <w:rPr>
          <w:rStyle w:val="25"/>
          <w:rFonts w:ascii="黑体" w:hAnsi="黑体" w:eastAsia="黑体"/>
          <w:b w:val="0"/>
          <w:color w:val="auto"/>
          <w:highlight w:val="none"/>
        </w:rPr>
      </w:pPr>
      <w:bookmarkStart w:id="40" w:name="_Toc15377215"/>
      <w:bookmarkStart w:id="41" w:name="_Toc26671"/>
      <w:bookmarkStart w:id="42"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0"/>
      <w:bookmarkEnd w:id="41"/>
      <w:bookmarkEnd w:id="42"/>
    </w:p>
    <w:p w14:paraId="02024033">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auto"/>
          <w:sz w:val="32"/>
          <w:szCs w:val="32"/>
          <w:highlight w:val="none"/>
        </w:rPr>
      </w:pPr>
      <w:bookmarkStart w:id="43" w:name="_Toc15377216"/>
      <w:r>
        <w:rPr>
          <w:rFonts w:hint="eastAsia" w:ascii="楷体" w:hAnsi="楷体" w:eastAsia="楷体" w:cs="楷体"/>
          <w:b w:val="0"/>
          <w:bCs/>
          <w:color w:val="auto"/>
          <w:sz w:val="32"/>
          <w:szCs w:val="32"/>
          <w:highlight w:val="none"/>
        </w:rPr>
        <w:t>（一）“三公”经费财政拨款支出决算总体情况说明</w:t>
      </w:r>
      <w:bookmarkEnd w:id="43"/>
    </w:p>
    <w:p w14:paraId="75C7CED1">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037DB27">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hint="eastAsia" w:ascii="楷体" w:hAnsi="楷体" w:eastAsia="楷体" w:cs="楷体"/>
          <w:b w:val="0"/>
          <w:bCs/>
          <w:color w:val="auto"/>
          <w:sz w:val="32"/>
          <w:szCs w:val="32"/>
          <w:highlight w:val="none"/>
        </w:rPr>
      </w:pPr>
      <w:bookmarkStart w:id="44" w:name="_Toc15377217"/>
      <w:r>
        <w:rPr>
          <w:rFonts w:hint="eastAsia" w:ascii="楷体" w:hAnsi="楷体" w:eastAsia="楷体" w:cs="楷体"/>
          <w:b w:val="0"/>
          <w:bCs/>
          <w:color w:val="auto"/>
          <w:sz w:val="32"/>
          <w:szCs w:val="32"/>
          <w:highlight w:val="none"/>
        </w:rPr>
        <w:t>（二）“三公”经费财政拨款支出决算具体情况说明</w:t>
      </w:r>
      <w:bookmarkEnd w:id="44"/>
    </w:p>
    <w:p w14:paraId="5C162FB7">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646CD493">
      <w:pPr>
        <w:spacing w:line="600" w:lineRule="exact"/>
        <w:ind w:firstLine="640"/>
        <w:outlineLvl w:val="9"/>
        <w:rPr>
          <w:rFonts w:hint="eastAsia" w:ascii="仿宋" w:hAnsi="仿宋" w:eastAsia="仿宋"/>
          <w:color w:val="auto"/>
          <w:sz w:val="32"/>
          <w:szCs w:val="32"/>
          <w:highlight w:val="none"/>
        </w:rPr>
      </w:pPr>
      <w:r>
        <w:rPr>
          <w:rFonts w:ascii="仿宋" w:hAnsi="仿宋" w:eastAsia="仿宋"/>
          <w:color w:val="auto"/>
          <w:sz w:val="32"/>
          <w:szCs w:val="32"/>
        </w:rPr>
        <w:drawing>
          <wp:anchor distT="0" distB="0" distL="114300" distR="114300" simplePos="0" relativeHeight="251665408" behindDoc="0" locked="0" layoutInCell="1" allowOverlap="1">
            <wp:simplePos x="0" y="0"/>
            <wp:positionH relativeFrom="column">
              <wp:posOffset>167005</wp:posOffset>
            </wp:positionH>
            <wp:positionV relativeFrom="paragraph">
              <wp:posOffset>115570</wp:posOffset>
            </wp:positionV>
            <wp:extent cx="5073650" cy="2635250"/>
            <wp:effectExtent l="4445" t="4445" r="8255" b="82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4021373">
      <w:pPr>
        <w:spacing w:line="600" w:lineRule="exact"/>
        <w:ind w:firstLine="640"/>
        <w:outlineLvl w:val="9"/>
        <w:rPr>
          <w:rFonts w:hint="eastAsia" w:ascii="仿宋" w:hAnsi="仿宋" w:eastAsia="仿宋"/>
          <w:color w:val="auto"/>
          <w:sz w:val="32"/>
          <w:szCs w:val="32"/>
          <w:highlight w:val="none"/>
        </w:rPr>
      </w:pPr>
    </w:p>
    <w:p w14:paraId="1722AFA2">
      <w:pPr>
        <w:spacing w:line="600" w:lineRule="exact"/>
        <w:ind w:firstLine="640"/>
        <w:outlineLvl w:val="9"/>
        <w:rPr>
          <w:rFonts w:hint="eastAsia" w:ascii="仿宋" w:hAnsi="仿宋" w:eastAsia="仿宋"/>
          <w:color w:val="auto"/>
          <w:sz w:val="32"/>
          <w:szCs w:val="32"/>
          <w:highlight w:val="none"/>
        </w:rPr>
      </w:pPr>
    </w:p>
    <w:p w14:paraId="7D935088">
      <w:pPr>
        <w:spacing w:line="600" w:lineRule="exact"/>
        <w:ind w:firstLine="640"/>
        <w:outlineLvl w:val="9"/>
        <w:rPr>
          <w:rFonts w:hint="eastAsia" w:ascii="仿宋" w:hAnsi="仿宋" w:eastAsia="仿宋"/>
          <w:color w:val="auto"/>
          <w:sz w:val="32"/>
          <w:szCs w:val="32"/>
          <w:highlight w:val="none"/>
        </w:rPr>
      </w:pPr>
    </w:p>
    <w:p w14:paraId="1C40AE51">
      <w:pPr>
        <w:spacing w:line="600" w:lineRule="exact"/>
        <w:ind w:firstLine="640"/>
        <w:outlineLvl w:val="9"/>
        <w:rPr>
          <w:rFonts w:hint="eastAsia" w:ascii="仿宋" w:hAnsi="仿宋" w:eastAsia="仿宋"/>
          <w:color w:val="auto"/>
          <w:sz w:val="32"/>
          <w:szCs w:val="32"/>
          <w:highlight w:val="none"/>
        </w:rPr>
      </w:pPr>
    </w:p>
    <w:p w14:paraId="1615DD44">
      <w:pPr>
        <w:spacing w:line="600" w:lineRule="exact"/>
        <w:ind w:firstLine="640"/>
        <w:outlineLvl w:val="9"/>
        <w:rPr>
          <w:rFonts w:hint="eastAsia" w:ascii="仿宋" w:hAnsi="仿宋" w:eastAsia="仿宋"/>
          <w:color w:val="auto"/>
          <w:sz w:val="32"/>
          <w:szCs w:val="32"/>
          <w:highlight w:val="none"/>
        </w:rPr>
      </w:pPr>
    </w:p>
    <w:p w14:paraId="03DCFEC7">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仿宋" w:hAnsi="仿宋" w:eastAsia="仿宋"/>
          <w:color w:val="auto"/>
          <w:sz w:val="32"/>
          <w:szCs w:val="32"/>
          <w:highlight w:val="none"/>
        </w:rPr>
      </w:pPr>
    </w:p>
    <w:p w14:paraId="3F8FC40D">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hint="eastAsia" w:ascii="仿宋" w:hAnsi="仿宋" w:eastAsia="仿宋"/>
          <w:color w:val="auto"/>
          <w:sz w:val="32"/>
          <w:szCs w:val="32"/>
          <w:highlight w:val="none"/>
        </w:rPr>
      </w:pPr>
    </w:p>
    <w:p w14:paraId="371F313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1"/>
        <w:rPr>
          <w:rFonts w:ascii="仿宋" w:hAnsi="仿宋" w:eastAsia="仿宋"/>
          <w:color w:val="auto"/>
          <w:sz w:val="32"/>
          <w:szCs w:val="32"/>
          <w:highlight w:val="none"/>
        </w:rPr>
      </w:pPr>
      <w:bookmarkStart w:id="45" w:name="_Toc12146"/>
      <w:bookmarkStart w:id="46" w:name="_Toc1682"/>
      <w:r>
        <w:rPr>
          <w:rFonts w:hint="eastAsia" w:ascii="仿宋" w:hAnsi="仿宋" w:eastAsia="仿宋"/>
          <w:color w:val="auto"/>
          <w:sz w:val="32"/>
          <w:szCs w:val="32"/>
          <w:highlight w:val="none"/>
        </w:rPr>
        <w:t>（图7：“三公”经费财政拨款支出结构）（饼状图）</w:t>
      </w:r>
      <w:bookmarkEnd w:id="45"/>
      <w:bookmarkEnd w:id="46"/>
    </w:p>
    <w:p w14:paraId="480CEECB">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lang w:eastAsia="zh-CN"/>
        </w:rPr>
        <w:t>，</w:t>
      </w:r>
      <w:r>
        <w:rPr>
          <w:rFonts w:hint="eastAsia" w:ascii="仿宋_GB2312" w:eastAsia="仿宋_GB2312"/>
          <w:color w:val="auto"/>
          <w:sz w:val="32"/>
          <w:szCs w:val="32"/>
          <w:highlight w:val="none"/>
          <w:lang w:val="en-US" w:eastAsia="zh-CN"/>
        </w:rPr>
        <w:t>本年度未安排因公出国</w:t>
      </w:r>
      <w:r>
        <w:rPr>
          <w:rFonts w:hint="eastAsia" w:ascii="仿宋_GB2312" w:eastAsia="仿宋_GB2312"/>
          <w:color w:val="auto"/>
          <w:sz w:val="32"/>
          <w:szCs w:val="32"/>
          <w:highlight w:val="none"/>
        </w:rPr>
        <w:t>。</w:t>
      </w:r>
    </w:p>
    <w:p w14:paraId="445FA689">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172944A2">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b/>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bookmarkStart w:id="47" w:name="_Toc21937"/>
      <w:bookmarkStart w:id="48" w:name="_Toc15396610"/>
      <w:bookmarkStart w:id="49" w:name="_Toc15377218"/>
      <w:r>
        <w:rPr>
          <w:rFonts w:hint="eastAsia" w:ascii="仿宋_GB2312" w:eastAsia="仿宋_GB2312"/>
          <w:color w:val="auto"/>
          <w:sz w:val="32"/>
          <w:szCs w:val="32"/>
          <w:highlight w:val="none"/>
        </w:rPr>
        <w:t>。</w:t>
      </w:r>
    </w:p>
    <w:p w14:paraId="59ABD156">
      <w:pPr>
        <w:keepNext w:val="0"/>
        <w:keepLines w:val="0"/>
        <w:pageBreakBefore w:val="0"/>
        <w:widowControl w:val="0"/>
        <w:kinsoku/>
        <w:wordWrap/>
        <w:overflowPunct/>
        <w:topLinePunct w:val="0"/>
        <w:bidi w:val="0"/>
        <w:snapToGrid/>
        <w:spacing w:line="560" w:lineRule="exact"/>
        <w:ind w:firstLine="640"/>
        <w:textAlignment w:val="auto"/>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7"/>
      <w:bookmarkEnd w:id="48"/>
      <w:bookmarkEnd w:id="49"/>
    </w:p>
    <w:p w14:paraId="6F08100C">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5E731E17">
      <w:pPr>
        <w:keepNext w:val="0"/>
        <w:keepLines w:val="0"/>
        <w:pageBreakBefore w:val="0"/>
        <w:widowControl w:val="0"/>
        <w:numPr>
          <w:ilvl w:val="0"/>
          <w:numId w:val="1"/>
        </w:numPr>
        <w:kinsoku/>
        <w:wordWrap/>
        <w:overflowPunct/>
        <w:topLinePunct w:val="0"/>
        <w:bidi w:val="0"/>
        <w:snapToGrid/>
        <w:spacing w:line="560" w:lineRule="exact"/>
        <w:ind w:firstLine="640"/>
        <w:textAlignment w:val="auto"/>
        <w:outlineLvl w:val="1"/>
        <w:rPr>
          <w:rStyle w:val="25"/>
          <w:rFonts w:ascii="黑体" w:hAnsi="黑体" w:eastAsia="黑体"/>
          <w:b w:val="0"/>
          <w:color w:val="auto"/>
          <w:highlight w:val="none"/>
        </w:rPr>
      </w:pPr>
      <w:bookmarkStart w:id="50" w:name="_Toc15396611"/>
      <w:bookmarkStart w:id="51" w:name="_Toc25869"/>
      <w:bookmarkStart w:id="52" w:name="_Toc15377219"/>
      <w:r>
        <w:rPr>
          <w:rStyle w:val="25"/>
          <w:rFonts w:hint="eastAsia" w:ascii="黑体" w:hAnsi="黑体" w:eastAsia="黑体"/>
          <w:b w:val="0"/>
          <w:color w:val="auto"/>
          <w:highlight w:val="none"/>
        </w:rPr>
        <w:t>国有资本经营预算支出决算情况说明</w:t>
      </w:r>
      <w:bookmarkEnd w:id="50"/>
      <w:bookmarkEnd w:id="51"/>
      <w:bookmarkEnd w:id="52"/>
    </w:p>
    <w:p w14:paraId="53E6CD40">
      <w:pPr>
        <w:keepNext w:val="0"/>
        <w:keepLines w:val="0"/>
        <w:pageBreakBefore w:val="0"/>
        <w:widowControl w:val="0"/>
        <w:kinsoku/>
        <w:wordWrap/>
        <w:overflowPunct/>
        <w:topLinePunct w:val="0"/>
        <w:bidi w:val="0"/>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69D1BE49">
      <w:pPr>
        <w:keepNext w:val="0"/>
        <w:keepLines w:val="0"/>
        <w:pageBreakBefore w:val="0"/>
        <w:widowControl w:val="0"/>
        <w:numPr>
          <w:ilvl w:val="0"/>
          <w:numId w:val="1"/>
        </w:numPr>
        <w:kinsoku/>
        <w:wordWrap/>
        <w:overflowPunct/>
        <w:topLinePunct w:val="0"/>
        <w:bidi w:val="0"/>
        <w:snapToGrid/>
        <w:spacing w:line="560" w:lineRule="exact"/>
        <w:ind w:firstLine="640"/>
        <w:textAlignment w:val="auto"/>
        <w:outlineLvl w:val="1"/>
        <w:rPr>
          <w:rStyle w:val="25"/>
          <w:rFonts w:hint="eastAsia" w:ascii="黑体" w:hAnsi="黑体" w:eastAsia="黑体"/>
          <w:b w:val="0"/>
          <w:color w:val="auto"/>
          <w:highlight w:val="none"/>
        </w:rPr>
      </w:pPr>
      <w:bookmarkStart w:id="53" w:name="_Toc15396612"/>
      <w:bookmarkStart w:id="54" w:name="_Toc15377221"/>
      <w:bookmarkStart w:id="55" w:name="_Toc3617"/>
      <w:r>
        <w:rPr>
          <w:rStyle w:val="25"/>
          <w:rFonts w:hint="eastAsia" w:ascii="黑体" w:hAnsi="黑体" w:eastAsia="黑体"/>
          <w:b w:val="0"/>
          <w:color w:val="auto"/>
          <w:highlight w:val="none"/>
        </w:rPr>
        <w:t>其他重要事项的情况说明</w:t>
      </w:r>
      <w:bookmarkEnd w:id="53"/>
      <w:bookmarkEnd w:id="54"/>
      <w:bookmarkEnd w:id="55"/>
    </w:p>
    <w:p w14:paraId="01928A27">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6" w:name="_Toc15377222"/>
      <w:r>
        <w:rPr>
          <w:rFonts w:hint="eastAsia" w:ascii="楷体" w:hAnsi="楷体" w:eastAsia="楷体" w:cs="楷体"/>
          <w:b w:val="0"/>
          <w:bCs/>
          <w:color w:val="auto"/>
          <w:sz w:val="32"/>
          <w:szCs w:val="32"/>
          <w:highlight w:val="none"/>
        </w:rPr>
        <w:t>（一）机关运行经费支出情况</w:t>
      </w:r>
      <w:bookmarkEnd w:id="56"/>
    </w:p>
    <w:p w14:paraId="673358AE">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广元市利州区宝轮第一小学</w:t>
      </w:r>
      <w:r>
        <w:rPr>
          <w:rFonts w:hint="eastAsia" w:ascii="仿宋_GB2312" w:eastAsia="仿宋_GB2312"/>
          <w:color w:val="auto"/>
          <w:sz w:val="32"/>
          <w:szCs w:val="32"/>
          <w:highlight w:val="none"/>
        </w:rPr>
        <w:t>机关运行经费支出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p>
    <w:p w14:paraId="1FF1CD3C">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7" w:name="_Toc15377223"/>
      <w:r>
        <w:rPr>
          <w:rFonts w:hint="eastAsia" w:ascii="楷体" w:hAnsi="楷体" w:eastAsia="楷体" w:cs="楷体"/>
          <w:b w:val="0"/>
          <w:bCs/>
          <w:color w:val="auto"/>
          <w:sz w:val="32"/>
          <w:szCs w:val="32"/>
          <w:highlight w:val="none"/>
        </w:rPr>
        <w:t>（二）政府采购支出情况</w:t>
      </w:r>
      <w:bookmarkEnd w:id="57"/>
    </w:p>
    <w:p w14:paraId="12B97EEF">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广元市利州区宝轮第一小学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19CD309B">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8" w:name="_Toc15377224"/>
      <w:r>
        <w:rPr>
          <w:rFonts w:hint="eastAsia" w:ascii="楷体" w:hAnsi="楷体" w:eastAsia="楷体" w:cs="楷体"/>
          <w:b w:val="0"/>
          <w:bCs/>
          <w:color w:val="auto"/>
          <w:sz w:val="32"/>
          <w:szCs w:val="32"/>
          <w:highlight w:val="none"/>
        </w:rPr>
        <w:t>（三）国有资产占有使用情况</w:t>
      </w:r>
      <w:bookmarkEnd w:id="58"/>
    </w:p>
    <w:p w14:paraId="7525314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广元市利州区宝轮第一小学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1345B767">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rPr>
        <w:t>（四）预算绩效管理情况</w:t>
      </w:r>
    </w:p>
    <w:p w14:paraId="23FC7F2C">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义务教育营养餐改善</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25个项目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2023年特定目标类部门预算项目绩效目标自评表见附件（第四部分）</w:t>
      </w:r>
      <w:r>
        <w:rPr>
          <w:rFonts w:hint="eastAsia" w:ascii="仿宋_GB2312" w:hAnsi="仿宋_GB2312" w:eastAsia="仿宋_GB2312" w:cs="仿宋_GB2312"/>
          <w:color w:val="auto"/>
          <w:sz w:val="32"/>
          <w:szCs w:val="32"/>
          <w:highlight w:val="none"/>
        </w:rPr>
        <w:t>。</w:t>
      </w:r>
    </w:p>
    <w:p w14:paraId="0F7D2005">
      <w:pPr>
        <w:widowControl/>
        <w:jc w:val="left"/>
        <w:outlineLvl w:val="9"/>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F7BFAD1">
      <w:pPr>
        <w:numPr>
          <w:ilvl w:val="0"/>
          <w:numId w:val="2"/>
        </w:numPr>
        <w:spacing w:line="600" w:lineRule="exact"/>
        <w:ind w:firstLine="660" w:firstLineChars="150"/>
        <w:jc w:val="center"/>
        <w:outlineLvl w:val="0"/>
        <w:rPr>
          <w:rStyle w:val="24"/>
          <w:rFonts w:ascii="黑体" w:hAnsi="黑体" w:eastAsia="黑体"/>
          <w:b w:val="0"/>
          <w:color w:val="auto"/>
          <w:highlight w:val="none"/>
        </w:rPr>
      </w:pPr>
      <w:bookmarkStart w:id="59" w:name="_Toc13602"/>
      <w:bookmarkStart w:id="60" w:name="_Toc15377225"/>
      <w:bookmarkStart w:id="61"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9"/>
      <w:bookmarkEnd w:id="60"/>
      <w:bookmarkEnd w:id="61"/>
    </w:p>
    <w:p w14:paraId="6CCC2DA8">
      <w:pPr>
        <w:keepNext w:val="0"/>
        <w:keepLines w:val="0"/>
        <w:pageBreakBefore w:val="0"/>
        <w:widowControl w:val="0"/>
        <w:kinsoku/>
        <w:wordWrap/>
        <w:overflowPunct/>
        <w:topLinePunct w:val="0"/>
        <w:bidi w:val="0"/>
        <w:snapToGrid w:val="0"/>
        <w:spacing w:line="560" w:lineRule="exact"/>
        <w:jc w:val="left"/>
        <w:textAlignment w:val="auto"/>
        <w:outlineLvl w:val="9"/>
        <w:rPr>
          <w:rFonts w:ascii="宋体"/>
          <w:b/>
          <w:color w:val="auto"/>
          <w:sz w:val="44"/>
          <w:szCs w:val="44"/>
          <w:highlight w:val="none"/>
        </w:rPr>
      </w:pPr>
    </w:p>
    <w:p w14:paraId="006857D0">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2"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62"/>
    </w:p>
    <w:p w14:paraId="08B7685A">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3" w:name="_Toc18447"/>
      <w:r>
        <w:rPr>
          <w:rFonts w:hint="eastAsia" w:ascii="仿宋_GB2312" w:eastAsia="仿宋_GB2312"/>
          <w:color w:val="auto"/>
          <w:sz w:val="32"/>
          <w:szCs w:val="32"/>
        </w:rPr>
        <w:t>2.事业收入：指事业单位开展专业业务活动及辅助活动取得的收入。</w:t>
      </w:r>
      <w:bookmarkEnd w:id="63"/>
    </w:p>
    <w:p w14:paraId="04CC5B23">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3.经营收入：指事业单位在专业业务活动及其辅助活动之外开展非独立核算经营活动取得的收入。。</w:t>
      </w:r>
    </w:p>
    <w:p w14:paraId="22E9FBE6">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14:paraId="204F4825">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709EBC50">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4" w:name="_Toc20496"/>
      <w:r>
        <w:rPr>
          <w:rFonts w:hint="eastAsia" w:ascii="仿宋_GB2312" w:eastAsia="仿宋_GB2312"/>
          <w:color w:val="auto"/>
          <w:sz w:val="32"/>
          <w:szCs w:val="32"/>
        </w:rPr>
        <w:t>6.年初结转和结余：指以前年度尚未完成、结转到本年按有关规定继续使用的资金。</w:t>
      </w:r>
      <w:bookmarkEnd w:id="64"/>
      <w:r>
        <w:rPr>
          <w:rFonts w:hint="eastAsia" w:ascii="仿宋_GB2312" w:eastAsia="仿宋_GB2312"/>
          <w:color w:val="auto"/>
          <w:sz w:val="32"/>
          <w:szCs w:val="32"/>
        </w:rPr>
        <w:t xml:space="preserve"> </w:t>
      </w:r>
    </w:p>
    <w:p w14:paraId="151513A8">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7.结余分配：指事业单位按照事业单位会计制度的规定从非财政补助结余中分配的事业基金和职工福利基金等。</w:t>
      </w:r>
    </w:p>
    <w:p w14:paraId="155925B6">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ascii="仿宋_GB2312" w:eastAsia="仿宋_GB2312"/>
          <w:color w:val="auto"/>
          <w:sz w:val="32"/>
          <w:szCs w:val="32"/>
        </w:rPr>
      </w:pPr>
      <w:bookmarkStart w:id="65" w:name="_Toc1650"/>
      <w:r>
        <w:rPr>
          <w:rFonts w:hint="eastAsia" w:ascii="仿宋_GB2312" w:eastAsia="仿宋_GB2312"/>
          <w:color w:val="auto"/>
          <w:sz w:val="32"/>
          <w:szCs w:val="32"/>
        </w:rPr>
        <w:t>8、年末结转和结余：指单位按有关规定结转到下年或以后年度继续使用的资金。</w:t>
      </w:r>
      <w:bookmarkEnd w:id="65"/>
    </w:p>
    <w:p w14:paraId="3C06DCA4">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9.教育支出（类）教育管理事务（款）行政运行（项）:反映教育行政单位（包括实行公务员管理的事业单位）的基本支出</w:t>
      </w:r>
    </w:p>
    <w:p w14:paraId="15A7D319">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10. 教育支出（类）教育管理事务（款）一般行政管理事务（项）:反映行政单位（包括实行公务员管理的事业单位）未单独设置项级科目的其它项目支出。</w:t>
      </w:r>
    </w:p>
    <w:p w14:paraId="770BF57F">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11. 教育支出（类）教育管理事务（款）其它教育管理事务支出（项）:反映除上述项目以外其它用户教育管理事务方面的支出。</w:t>
      </w:r>
    </w:p>
    <w:p w14:paraId="26D53094">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12. 教育支出（类）普通教育（款）学前教育（项）:反映各部门举办的学前教育支出。</w:t>
      </w:r>
    </w:p>
    <w:p w14:paraId="507150BE">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13. 教育支出（类）普通教育（款）小学教育（项）:反映各部门举办的小学教育支出。政府各部门对社会中介组织等举办的小学的资助，如各类捐赠、补贴等，也在本科目中反映。</w:t>
      </w:r>
    </w:p>
    <w:p w14:paraId="1CA84A36">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14. 教育支出（类）普通教育（款）初中教育（项）: 反映各部门举办的初中教育支出。政府各部门对社会中介组织等举办的初中教育的资助，如捐赠、补贴等，也在本科目中反映。</w:t>
      </w:r>
    </w:p>
    <w:p w14:paraId="77D41F49">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15. 教育支出（类）普通教育（款）高中教育（项）: 反映各部门举办的高级中学教育支出。政府各部门对社会中介组织等举办的高级中学的资助，如捐赠、补贴等，也在本科目中反映。</w:t>
      </w:r>
    </w:p>
    <w:p w14:paraId="1204B2D1">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16. 教育支出（类）普通教育（款）其它普通教育（项）: 反映除上述项目以外其他用于普通教育方面的支出。</w:t>
      </w:r>
    </w:p>
    <w:p w14:paraId="34D5FEE5">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17. 教育支出（类）职业教育（款）职业高中教育（项）: 反映各部门举办的职业中学、农业中学（含普通高中改制的）、半工（农）半读中学的支出或补助费</w:t>
      </w:r>
    </w:p>
    <w:p w14:paraId="0704FF77">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18. 教育</w:t>
      </w:r>
      <w:r>
        <w:rPr>
          <w:rFonts w:hint="eastAsia" w:ascii="仿宋_GB2312" w:eastAsia="仿宋_GB2312"/>
          <w:color w:val="auto"/>
          <w:spacing w:val="-6"/>
          <w:sz w:val="32"/>
          <w:szCs w:val="32"/>
        </w:rPr>
        <w:t>支出（类）职业教育（款）高等职业教育（项）:反映经国家批准设立的高等职业大学、专科职业教育等方面的</w:t>
      </w:r>
      <w:r>
        <w:rPr>
          <w:rFonts w:hint="eastAsia" w:ascii="仿宋_GB2312" w:eastAsia="仿宋_GB2312"/>
          <w:color w:val="auto"/>
          <w:sz w:val="32"/>
          <w:szCs w:val="32"/>
        </w:rPr>
        <w:t>支出。</w:t>
      </w:r>
    </w:p>
    <w:p w14:paraId="3D9D8389">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19. 教育支出（类）特殊教育（款）特殊学校教育（项）: 指各部门举办的盲童学校、聋哑学校、智力落后儿童学校、其它生理缺陷儿童学校的支出。</w:t>
      </w:r>
    </w:p>
    <w:p w14:paraId="109164D3">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20. 教育支出（类）特殊教育（款）工读学校教育（项）:指各部门举办的工读学校的支出。</w:t>
      </w:r>
    </w:p>
    <w:p w14:paraId="228D6866">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21. 教育支出（类）教育附加费安排的支出（款）农村中小学校舍建设（项）:反映教育附加费安排用于农村中小学校舍新建、改建、修缮和维护的支出。</w:t>
      </w:r>
    </w:p>
    <w:p w14:paraId="4AF20E88">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22. 教育支出（类）教育附加费安排的支出（款）城市中小学校舍建设（项）: 反映教育附加费安排用于城市中小学校舍新建、改建、修缮和维护的支出。</w:t>
      </w:r>
    </w:p>
    <w:p w14:paraId="6A9CFF29">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23. 教育支出（类）教育附加费安排的支出（款）其它教育附加费安排的支出（项）: 指除上述项目以外的教育附加费支出。</w:t>
      </w:r>
    </w:p>
    <w:p w14:paraId="63060081">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24. 教育支出（类）其它教育支出（款）其他教育支出（项）: 指上述项目以外其他用于教育方面的支出。</w:t>
      </w:r>
    </w:p>
    <w:p w14:paraId="3B193A02">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25. 社会保障和就业支出（类）行政事业单位离退休（款）机关事业单位基本养老保险缴费支出（项）: 指机关事业单位实施养老保险制度由单位缴纳的基本养老保险费支出。</w:t>
      </w:r>
    </w:p>
    <w:p w14:paraId="7D7D0714">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26. 社会保障和就业支出（类）行政事业单位离退休（款）机关事业单位职业年金缴费支出（项）: 指机关事业单位实施养老保险制度由单位实际缴纳的职业年金支出。</w:t>
      </w:r>
    </w:p>
    <w:p w14:paraId="4CA3F531">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27. 社会保障和就业支出（类）抚恤（款）死亡抚恤（项）: 指按规定用于烈士和牺牲、病故人员家属的一次性和定期抚恤金以及丧葬补助费。</w:t>
      </w:r>
    </w:p>
    <w:p w14:paraId="45071E40">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0187A12C">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0248277E">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30. 农林水支出（类）扶贫（款）其它扶贫支出（项）: 指除上述项目以外其他用于扶贫方面的支出。</w:t>
      </w:r>
    </w:p>
    <w:p w14:paraId="62069B83">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31. 住房保障支出（类）住房改革支出（款）住房公积金（项）: 指行政事业单位按人力资源和社会保障部、财政部规定的基本工资和津贴补贴以及规定比例为职工缴纳的住房公积金。</w:t>
      </w:r>
    </w:p>
    <w:p w14:paraId="51EE5613">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32. 其他支出（类）其他支出（款）其他支出（项）: 指上述项目以外其他不能划分到具体功能科目中的支出项目。</w:t>
      </w:r>
    </w:p>
    <w:p w14:paraId="64668A4B">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33.</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基本支出：指为保障机构正常运转、完成日常工作任务而发生的人员支出和公用支出。</w:t>
      </w:r>
    </w:p>
    <w:p w14:paraId="47A7C59A">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34.</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项目支出：指在基本支出之外为完成特定行政任务和事业发展目标所发生的支出。 </w:t>
      </w:r>
    </w:p>
    <w:p w14:paraId="48A335F5">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35.</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经营支出：指事业单位在专业业务活动及其辅助活动之外开展非独立核算经营活动发生的支出。</w:t>
      </w:r>
    </w:p>
    <w:p w14:paraId="2C6886C4">
      <w:pPr>
        <w:pStyle w:val="22"/>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36.</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8ACAF0D">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r>
        <w:rPr>
          <w:rFonts w:hint="eastAsia" w:ascii="仿宋_GB2312" w:eastAsia="仿宋_GB2312"/>
          <w:color w:val="auto"/>
          <w:sz w:val="32"/>
          <w:szCs w:val="32"/>
        </w:rPr>
        <w:t>37.</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AB5996">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48365369">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4FFD5A86">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113AF615">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6376A64B">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1DEC90AB">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46C7EF6D">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4FAD059A">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243B4C93">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5C32F7E2">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2C95BD53">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3769804B">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hint="eastAsia" w:ascii="仿宋_GB2312" w:eastAsia="仿宋_GB2312"/>
          <w:color w:val="auto"/>
          <w:sz w:val="32"/>
          <w:szCs w:val="32"/>
        </w:rPr>
      </w:pPr>
    </w:p>
    <w:p w14:paraId="1F7FF38C">
      <w:pPr>
        <w:numPr>
          <w:ilvl w:val="0"/>
          <w:numId w:val="2"/>
        </w:numPr>
        <w:spacing w:line="600" w:lineRule="exact"/>
        <w:ind w:left="0" w:leftChars="0" w:firstLine="0" w:firstLineChars="0"/>
        <w:jc w:val="center"/>
        <w:outlineLvl w:val="0"/>
        <w:rPr>
          <w:rStyle w:val="24"/>
          <w:rFonts w:hint="eastAsia" w:ascii="黑体" w:hAnsi="黑体" w:eastAsia="黑体"/>
          <w:b w:val="0"/>
          <w:color w:val="auto"/>
          <w:highlight w:val="none"/>
        </w:rPr>
      </w:pPr>
      <w:bookmarkStart w:id="66" w:name="_Toc15396614"/>
      <w:bookmarkStart w:id="67" w:name="_Toc8790"/>
      <w:bookmarkStart w:id="68" w:name="_Toc15377226"/>
      <w:r>
        <w:rPr>
          <w:rStyle w:val="24"/>
          <w:rFonts w:hint="eastAsia" w:ascii="黑体" w:hAnsi="黑体" w:eastAsia="黑体"/>
          <w:b w:val="0"/>
          <w:color w:val="auto"/>
          <w:highlight w:val="none"/>
        </w:rPr>
        <w:t>附件</w:t>
      </w:r>
      <w:bookmarkEnd w:id="66"/>
      <w:bookmarkEnd w:id="67"/>
    </w:p>
    <w:p w14:paraId="532470DE">
      <w:pPr>
        <w:pStyle w:val="5"/>
        <w:rPr>
          <w:rFonts w:hint="eastAsia"/>
        </w:rPr>
      </w:pPr>
    </w:p>
    <w:p w14:paraId="221AAB23">
      <w:pPr>
        <w:spacing w:line="600" w:lineRule="exact"/>
        <w:jc w:val="center"/>
        <w:outlineLvl w:val="9"/>
        <w:rPr>
          <w:rFonts w:hint="eastAsia" w:ascii="黑体" w:hAnsi="黑体" w:eastAsia="黑体"/>
          <w:color w:val="auto"/>
          <w:sz w:val="44"/>
          <w:szCs w:val="44"/>
          <w:highlight w:val="none"/>
        </w:rPr>
      </w:pPr>
      <w:bookmarkStart w:id="69" w:name="_Toc15396618"/>
      <w:r>
        <w:rPr>
          <w:rFonts w:hint="eastAsia" w:ascii="宋体" w:hAnsi="宋体" w:cs="宋体"/>
          <w:color w:val="auto"/>
          <w:kern w:val="0"/>
          <w:sz w:val="32"/>
          <w:szCs w:val="32"/>
          <w:highlight w:val="none"/>
          <w:lang w:val="en-US" w:eastAsia="zh-CN" w:bidi="ar-SA"/>
        </w:rPr>
        <w:t>详见</w:t>
      </w:r>
      <w:r>
        <w:rPr>
          <w:rFonts w:hint="eastAsia" w:ascii="宋体" w:hAnsi="宋体" w:eastAsia="宋体" w:cs="宋体"/>
          <w:color w:val="auto"/>
          <w:kern w:val="0"/>
          <w:sz w:val="32"/>
          <w:szCs w:val="32"/>
          <w:highlight w:val="none"/>
          <w:lang w:val="en-US" w:eastAsia="zh-CN" w:bidi="ar-SA"/>
        </w:rPr>
        <w:t>部门</w:t>
      </w:r>
      <w:r>
        <w:rPr>
          <w:rFonts w:hint="eastAsia" w:ascii="宋体" w:hAnsi="宋体" w:cs="宋体"/>
          <w:color w:val="auto"/>
          <w:kern w:val="0"/>
          <w:sz w:val="32"/>
          <w:szCs w:val="32"/>
          <w:highlight w:val="none"/>
          <w:lang w:val="en-US" w:eastAsia="zh-CN" w:bidi="ar-SA"/>
        </w:rPr>
        <w:t>预算</w:t>
      </w:r>
      <w:r>
        <w:rPr>
          <w:rFonts w:hint="eastAsia" w:ascii="宋体" w:hAnsi="宋体" w:eastAsia="宋体" w:cs="宋体"/>
          <w:color w:val="auto"/>
          <w:kern w:val="0"/>
          <w:sz w:val="32"/>
          <w:szCs w:val="32"/>
          <w:highlight w:val="none"/>
          <w:lang w:val="en-US" w:eastAsia="zh-CN" w:bidi="ar-SA"/>
        </w:rPr>
        <w:t>项目支出绩效</w:t>
      </w:r>
      <w:r>
        <w:rPr>
          <w:rFonts w:hint="eastAsia" w:ascii="宋体" w:hAnsi="宋体" w:cs="宋体"/>
          <w:color w:val="auto"/>
          <w:kern w:val="0"/>
          <w:sz w:val="32"/>
          <w:szCs w:val="32"/>
          <w:highlight w:val="none"/>
          <w:lang w:val="en-US" w:eastAsia="zh-CN" w:bidi="ar-SA"/>
        </w:rPr>
        <w:t>自评</w:t>
      </w:r>
      <w:r>
        <w:rPr>
          <w:rFonts w:hint="eastAsia" w:ascii="宋体" w:hAnsi="宋体" w:eastAsia="宋体" w:cs="宋体"/>
          <w:color w:val="auto"/>
          <w:kern w:val="0"/>
          <w:sz w:val="32"/>
          <w:szCs w:val="32"/>
          <w:highlight w:val="none"/>
          <w:lang w:val="en-US" w:eastAsia="zh-CN" w:bidi="ar-SA"/>
        </w:rPr>
        <w:t>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14:paraId="7DD3AE65">
      <w:pPr>
        <w:spacing w:line="600" w:lineRule="exact"/>
        <w:jc w:val="center"/>
        <w:outlineLvl w:val="0"/>
        <w:rPr>
          <w:rFonts w:hint="eastAsia" w:ascii="黑体" w:hAnsi="黑体" w:eastAsia="黑体"/>
          <w:color w:val="auto"/>
          <w:sz w:val="44"/>
          <w:szCs w:val="44"/>
          <w:highlight w:val="none"/>
        </w:rPr>
      </w:pPr>
      <w:bookmarkStart w:id="70" w:name="_Toc21571"/>
    </w:p>
    <w:p w14:paraId="590890D9">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68"/>
      <w:bookmarkEnd w:id="69"/>
      <w:bookmarkEnd w:id="70"/>
      <w:bookmarkStart w:id="71" w:name="_Toc15396619"/>
    </w:p>
    <w:p w14:paraId="2951BCCC">
      <w:pPr>
        <w:pStyle w:val="4"/>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 w:hAnsi="仿宋" w:eastAsia="仿宋"/>
          <w:b w:val="0"/>
          <w:color w:val="auto"/>
          <w:highlight w:val="none"/>
        </w:rPr>
      </w:pPr>
    </w:p>
    <w:bookmarkEnd w:id="71"/>
    <w:p w14:paraId="241513CC">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_Toc2168 </w:instrText>
      </w:r>
      <w:r>
        <w:rPr>
          <w:sz w:val="32"/>
          <w:szCs w:val="32"/>
        </w:rPr>
        <w:fldChar w:fldCharType="separate"/>
      </w:r>
      <w:r>
        <w:rPr>
          <w:rFonts w:hint="eastAsia" w:ascii="仿宋" w:hAnsi="仿宋" w:eastAsia="仿宋"/>
          <w:sz w:val="32"/>
          <w:szCs w:val="32"/>
          <w:highlight w:val="none"/>
        </w:rPr>
        <w:t>一、GK01收入支出决算总表</w:t>
      </w:r>
      <w:r>
        <w:rPr>
          <w:color w:val="auto"/>
          <w:sz w:val="32"/>
          <w:szCs w:val="32"/>
        </w:rPr>
        <w:fldChar w:fldCharType="end"/>
      </w:r>
    </w:p>
    <w:p w14:paraId="601C87AE">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_Toc22077 </w:instrText>
      </w:r>
      <w:r>
        <w:rPr>
          <w:sz w:val="32"/>
          <w:szCs w:val="32"/>
        </w:rPr>
        <w:fldChar w:fldCharType="separate"/>
      </w:r>
      <w:r>
        <w:rPr>
          <w:rFonts w:hint="eastAsia" w:ascii="仿宋" w:hAnsi="仿宋" w:eastAsia="仿宋"/>
          <w:sz w:val="32"/>
          <w:szCs w:val="32"/>
          <w:highlight w:val="none"/>
        </w:rPr>
        <w:t>二、GK02收入决算表</w:t>
      </w:r>
      <w:r>
        <w:rPr>
          <w:color w:val="auto"/>
          <w:sz w:val="32"/>
          <w:szCs w:val="32"/>
        </w:rPr>
        <w:fldChar w:fldCharType="end"/>
      </w:r>
    </w:p>
    <w:p w14:paraId="326F6C52">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_Toc5751 </w:instrText>
      </w:r>
      <w:r>
        <w:rPr>
          <w:sz w:val="32"/>
          <w:szCs w:val="32"/>
        </w:rPr>
        <w:fldChar w:fldCharType="separate"/>
      </w:r>
      <w:r>
        <w:rPr>
          <w:rFonts w:hint="eastAsia" w:ascii="仿宋" w:hAnsi="仿宋" w:eastAsia="仿宋"/>
          <w:bCs w:val="0"/>
          <w:sz w:val="32"/>
          <w:szCs w:val="32"/>
          <w:highlight w:val="none"/>
        </w:rPr>
        <w:t>三、</w:t>
      </w:r>
      <w:r>
        <w:rPr>
          <w:rFonts w:hint="eastAsia" w:ascii="仿宋" w:hAnsi="仿宋" w:eastAsia="仿宋"/>
          <w:sz w:val="32"/>
          <w:szCs w:val="32"/>
          <w:highlight w:val="none"/>
        </w:rPr>
        <w:t>GK03支出决算表</w:t>
      </w:r>
      <w:r>
        <w:rPr>
          <w:color w:val="auto"/>
          <w:sz w:val="32"/>
          <w:szCs w:val="32"/>
        </w:rPr>
        <w:fldChar w:fldCharType="end"/>
      </w:r>
    </w:p>
    <w:p w14:paraId="6A34CB6D">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_Toc24351 </w:instrText>
      </w:r>
      <w:r>
        <w:rPr>
          <w:sz w:val="32"/>
          <w:szCs w:val="32"/>
        </w:rPr>
        <w:fldChar w:fldCharType="separate"/>
      </w:r>
      <w:r>
        <w:rPr>
          <w:rFonts w:hint="eastAsia" w:ascii="仿宋" w:hAnsi="仿宋" w:eastAsia="仿宋"/>
          <w:bCs w:val="0"/>
          <w:sz w:val="32"/>
          <w:szCs w:val="32"/>
          <w:highlight w:val="none"/>
        </w:rPr>
        <w:t>四、</w:t>
      </w:r>
      <w:r>
        <w:rPr>
          <w:rFonts w:hint="eastAsia" w:ascii="仿宋" w:hAnsi="仿宋" w:eastAsia="仿宋"/>
          <w:sz w:val="32"/>
          <w:szCs w:val="32"/>
          <w:highlight w:val="none"/>
        </w:rPr>
        <w:t>GK04财政拨款收入支出决算总表</w:t>
      </w:r>
      <w:r>
        <w:rPr>
          <w:color w:val="auto"/>
          <w:sz w:val="32"/>
          <w:szCs w:val="32"/>
        </w:rPr>
        <w:fldChar w:fldCharType="end"/>
      </w:r>
    </w:p>
    <w:p w14:paraId="0A1C8CE9">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_Toc5973 </w:instrText>
      </w:r>
      <w:r>
        <w:rPr>
          <w:sz w:val="32"/>
          <w:szCs w:val="32"/>
        </w:rPr>
        <w:fldChar w:fldCharType="separate"/>
      </w:r>
      <w:r>
        <w:rPr>
          <w:rFonts w:hint="eastAsia" w:ascii="仿宋" w:hAnsi="仿宋" w:eastAsia="仿宋"/>
          <w:bCs w:val="0"/>
          <w:sz w:val="32"/>
          <w:szCs w:val="32"/>
          <w:highlight w:val="none"/>
        </w:rPr>
        <w:t>五、</w:t>
      </w:r>
      <w:r>
        <w:rPr>
          <w:rFonts w:hint="eastAsia" w:ascii="仿宋" w:hAnsi="仿宋" w:eastAsia="仿宋"/>
          <w:sz w:val="32"/>
          <w:szCs w:val="32"/>
          <w:highlight w:val="none"/>
        </w:rPr>
        <w:t>GK05财政拨款支出决算明细表</w:t>
      </w:r>
      <w:r>
        <w:rPr>
          <w:color w:val="auto"/>
          <w:sz w:val="32"/>
          <w:szCs w:val="32"/>
        </w:rPr>
        <w:fldChar w:fldCharType="end"/>
      </w:r>
    </w:p>
    <w:p w14:paraId="7AB3008E">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_Toc28054 </w:instrText>
      </w:r>
      <w:r>
        <w:rPr>
          <w:sz w:val="32"/>
          <w:szCs w:val="32"/>
        </w:rPr>
        <w:fldChar w:fldCharType="separate"/>
      </w:r>
      <w:r>
        <w:rPr>
          <w:rFonts w:hint="eastAsia" w:ascii="仿宋" w:hAnsi="仿宋" w:eastAsia="仿宋"/>
          <w:bCs w:val="0"/>
          <w:sz w:val="32"/>
          <w:szCs w:val="32"/>
          <w:highlight w:val="none"/>
        </w:rPr>
        <w:t>六、</w:t>
      </w:r>
      <w:r>
        <w:rPr>
          <w:rFonts w:hint="eastAsia" w:ascii="仿宋" w:hAnsi="仿宋" w:eastAsia="仿宋"/>
          <w:sz w:val="32"/>
          <w:szCs w:val="32"/>
          <w:highlight w:val="none"/>
        </w:rPr>
        <w:t>GK06一般公共预算财政拨款支出决算表</w:t>
      </w:r>
      <w:r>
        <w:rPr>
          <w:color w:val="auto"/>
          <w:sz w:val="32"/>
          <w:szCs w:val="32"/>
        </w:rPr>
        <w:fldChar w:fldCharType="end"/>
      </w:r>
    </w:p>
    <w:p w14:paraId="0D262993">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_Toc3541 </w:instrText>
      </w:r>
      <w:r>
        <w:rPr>
          <w:sz w:val="32"/>
          <w:szCs w:val="32"/>
        </w:rPr>
        <w:fldChar w:fldCharType="separate"/>
      </w:r>
      <w:r>
        <w:rPr>
          <w:rFonts w:hint="eastAsia" w:ascii="仿宋" w:hAnsi="仿宋" w:eastAsia="仿宋"/>
          <w:bCs w:val="0"/>
          <w:sz w:val="32"/>
          <w:szCs w:val="32"/>
          <w:highlight w:val="none"/>
        </w:rPr>
        <w:t>七、</w:t>
      </w:r>
      <w:r>
        <w:rPr>
          <w:rFonts w:hint="eastAsia" w:ascii="仿宋" w:hAnsi="仿宋" w:eastAsia="仿宋"/>
          <w:sz w:val="32"/>
          <w:szCs w:val="32"/>
          <w:highlight w:val="none"/>
        </w:rPr>
        <w:t>GK07 一般公共预算财政拨款支出决算明细表</w:t>
      </w:r>
      <w:r>
        <w:rPr>
          <w:color w:val="auto"/>
          <w:sz w:val="32"/>
          <w:szCs w:val="32"/>
        </w:rPr>
        <w:fldChar w:fldCharType="end"/>
      </w:r>
    </w:p>
    <w:p w14:paraId="3D6B7388">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_Toc9470 </w:instrText>
      </w:r>
      <w:r>
        <w:rPr>
          <w:sz w:val="32"/>
          <w:szCs w:val="32"/>
        </w:rPr>
        <w:fldChar w:fldCharType="separate"/>
      </w:r>
      <w:r>
        <w:rPr>
          <w:rFonts w:hint="eastAsia" w:ascii="仿宋" w:hAnsi="仿宋" w:eastAsia="仿宋"/>
          <w:bCs w:val="0"/>
          <w:sz w:val="32"/>
          <w:szCs w:val="32"/>
          <w:highlight w:val="none"/>
        </w:rPr>
        <w:t>八、</w:t>
      </w:r>
      <w:r>
        <w:rPr>
          <w:rFonts w:hint="eastAsia" w:ascii="仿宋" w:hAnsi="仿宋" w:eastAsia="仿宋"/>
          <w:sz w:val="32"/>
          <w:szCs w:val="32"/>
          <w:highlight w:val="none"/>
        </w:rPr>
        <w:t>GK08一般公共预算财政拨款基本支出决算明细表</w:t>
      </w:r>
      <w:r>
        <w:rPr>
          <w:color w:val="auto"/>
          <w:sz w:val="32"/>
          <w:szCs w:val="32"/>
        </w:rPr>
        <w:fldChar w:fldCharType="end"/>
      </w:r>
    </w:p>
    <w:p w14:paraId="00F6D638">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_Toc5378 </w:instrText>
      </w:r>
      <w:r>
        <w:rPr>
          <w:sz w:val="32"/>
          <w:szCs w:val="32"/>
        </w:rPr>
        <w:fldChar w:fldCharType="separate"/>
      </w:r>
      <w:r>
        <w:rPr>
          <w:rFonts w:hint="eastAsia" w:ascii="仿宋" w:hAnsi="仿宋" w:eastAsia="仿宋"/>
          <w:bCs w:val="0"/>
          <w:sz w:val="32"/>
          <w:szCs w:val="32"/>
          <w:highlight w:val="none"/>
        </w:rPr>
        <w:t>九、</w:t>
      </w:r>
      <w:r>
        <w:rPr>
          <w:rFonts w:hint="eastAsia" w:ascii="仿宋" w:hAnsi="仿宋" w:eastAsia="仿宋"/>
          <w:sz w:val="32"/>
          <w:szCs w:val="32"/>
          <w:highlight w:val="none"/>
        </w:rPr>
        <w:t>GK09一般公共预算财政拨款项目支出决算表</w:t>
      </w:r>
      <w:r>
        <w:rPr>
          <w:color w:val="auto"/>
          <w:sz w:val="32"/>
          <w:szCs w:val="32"/>
        </w:rPr>
        <w:fldChar w:fldCharType="end"/>
      </w:r>
    </w:p>
    <w:p w14:paraId="2D6D9527">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_Toc3305 </w:instrText>
      </w:r>
      <w:r>
        <w:rPr>
          <w:sz w:val="32"/>
          <w:szCs w:val="32"/>
        </w:rPr>
        <w:fldChar w:fldCharType="separate"/>
      </w:r>
      <w:r>
        <w:rPr>
          <w:rFonts w:hint="eastAsia" w:ascii="仿宋" w:hAnsi="仿宋" w:eastAsia="仿宋"/>
          <w:bCs w:val="0"/>
          <w:sz w:val="32"/>
          <w:szCs w:val="32"/>
          <w:highlight w:val="none"/>
        </w:rPr>
        <w:t>十、</w:t>
      </w:r>
      <w:r>
        <w:rPr>
          <w:rFonts w:hint="eastAsia" w:ascii="仿宋" w:hAnsi="仿宋" w:eastAsia="仿宋"/>
          <w:sz w:val="32"/>
          <w:szCs w:val="32"/>
          <w:highlight w:val="none"/>
        </w:rPr>
        <w:t>GK10政府性基金预算财政拨款收入支出决算表</w:t>
      </w:r>
      <w:r>
        <w:rPr>
          <w:color w:val="auto"/>
          <w:sz w:val="32"/>
          <w:szCs w:val="32"/>
        </w:rPr>
        <w:fldChar w:fldCharType="end"/>
      </w:r>
    </w:p>
    <w:p w14:paraId="73DF71E2">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_Toc21518 </w:instrText>
      </w:r>
      <w:r>
        <w:rPr>
          <w:sz w:val="32"/>
          <w:szCs w:val="32"/>
        </w:rPr>
        <w:fldChar w:fldCharType="separate"/>
      </w:r>
      <w:r>
        <w:rPr>
          <w:rFonts w:hint="eastAsia" w:ascii="仿宋" w:hAnsi="仿宋" w:eastAsia="仿宋"/>
          <w:bCs w:val="0"/>
          <w:sz w:val="32"/>
          <w:szCs w:val="32"/>
          <w:highlight w:val="none"/>
        </w:rPr>
        <w:t>十一、</w:t>
      </w:r>
      <w:r>
        <w:rPr>
          <w:rFonts w:hint="eastAsia" w:ascii="仿宋" w:hAnsi="仿宋" w:eastAsia="仿宋"/>
          <w:sz w:val="32"/>
          <w:szCs w:val="32"/>
          <w:highlight w:val="none"/>
        </w:rPr>
        <w:t>GK11国有资本经营预算财政拨款收入支出决算表</w:t>
      </w:r>
      <w:r>
        <w:rPr>
          <w:color w:val="auto"/>
          <w:sz w:val="32"/>
          <w:szCs w:val="32"/>
        </w:rPr>
        <w:fldChar w:fldCharType="end"/>
      </w:r>
    </w:p>
    <w:p w14:paraId="55A337AA">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_Toc7681 </w:instrText>
      </w:r>
      <w:r>
        <w:rPr>
          <w:sz w:val="32"/>
          <w:szCs w:val="32"/>
        </w:rPr>
        <w:fldChar w:fldCharType="separate"/>
      </w:r>
      <w:r>
        <w:rPr>
          <w:rFonts w:hint="eastAsia" w:ascii="仿宋" w:hAnsi="仿宋" w:eastAsia="仿宋"/>
          <w:bCs w:val="0"/>
          <w:sz w:val="32"/>
          <w:szCs w:val="32"/>
          <w:highlight w:val="none"/>
        </w:rPr>
        <w:t>十二、</w:t>
      </w:r>
      <w:r>
        <w:rPr>
          <w:rFonts w:hint="eastAsia" w:ascii="仿宋" w:hAnsi="仿宋" w:eastAsia="仿宋"/>
          <w:sz w:val="32"/>
          <w:szCs w:val="32"/>
          <w:highlight w:val="none"/>
        </w:rPr>
        <w:t>GK12国有资本经营预算财政拨款支出决算表</w:t>
      </w:r>
      <w:r>
        <w:rPr>
          <w:color w:val="auto"/>
          <w:sz w:val="32"/>
          <w:szCs w:val="32"/>
        </w:rPr>
        <w:fldChar w:fldCharType="end"/>
      </w:r>
    </w:p>
    <w:p w14:paraId="455AC489">
      <w:pPr>
        <w:pStyle w:val="11"/>
        <w:tabs>
          <w:tab w:val="right" w:leader="dot" w:pos="8845"/>
          <w:tab w:val="clear" w:pos="8296"/>
        </w:tabs>
        <w:rPr>
          <w:sz w:val="32"/>
          <w:szCs w:val="32"/>
        </w:rPr>
      </w:pPr>
      <w:r>
        <w:rPr>
          <w:color w:val="auto"/>
          <w:sz w:val="32"/>
          <w:szCs w:val="32"/>
        </w:rPr>
        <w:fldChar w:fldCharType="begin"/>
      </w:r>
      <w:r>
        <w:rPr>
          <w:sz w:val="32"/>
          <w:szCs w:val="32"/>
        </w:rPr>
        <w:instrText xml:space="preserve"> HYPERLINK \l _Toc7733 </w:instrText>
      </w:r>
      <w:r>
        <w:rPr>
          <w:sz w:val="32"/>
          <w:szCs w:val="32"/>
        </w:rPr>
        <w:fldChar w:fldCharType="separate"/>
      </w:r>
      <w:r>
        <w:rPr>
          <w:rFonts w:hint="eastAsia" w:ascii="仿宋" w:hAnsi="仿宋" w:eastAsia="仿宋"/>
          <w:bCs w:val="0"/>
          <w:sz w:val="32"/>
          <w:szCs w:val="32"/>
          <w:highlight w:val="none"/>
        </w:rPr>
        <w:t>十三、</w:t>
      </w:r>
      <w:r>
        <w:rPr>
          <w:rFonts w:hint="eastAsia" w:ascii="仿宋" w:hAnsi="仿宋" w:eastAsia="仿宋"/>
          <w:sz w:val="32"/>
          <w:szCs w:val="32"/>
          <w:highlight w:val="none"/>
        </w:rPr>
        <w:t>GK13财政拨款“三公”经费支出决算表</w:t>
      </w:r>
      <w:r>
        <w:rPr>
          <w:color w:val="auto"/>
          <w:sz w:val="32"/>
          <w:szCs w:val="32"/>
        </w:rPr>
        <w:fldChar w:fldCharType="end"/>
      </w:r>
    </w:p>
    <w:p w14:paraId="459EB0EF">
      <w:pPr>
        <w:pageBreakBefore w:val="0"/>
        <w:widowControl w:val="0"/>
        <w:kinsoku/>
        <w:wordWrap/>
        <w:overflowPunct/>
        <w:topLinePunct w:val="0"/>
        <w:autoSpaceDE/>
        <w:autoSpaceDN/>
        <w:bidi w:val="0"/>
        <w:adjustRightInd/>
        <w:snapToGrid w:val="0"/>
        <w:spacing w:line="620" w:lineRule="exact"/>
        <w:ind w:firstLine="420" w:firstLineChars="200"/>
        <w:textAlignment w:val="auto"/>
        <w:outlineLvl w:val="1"/>
        <w:rPr>
          <w:rFonts w:hint="eastAsia" w:eastAsia="仿宋"/>
          <w:color w:val="auto"/>
          <w:highlight w:val="none"/>
          <w:lang w:eastAsia="zh-CN"/>
        </w:rPr>
      </w:pPr>
    </w:p>
    <w:sectPr>
      <w:footerReference r:id="rId5"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088087-58B9-4F9C-8281-7028FC10FA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94EC8135-A62F-4C86-AE3F-FCF6AF4DF432}"/>
  </w:font>
  <w:font w:name="仿宋_GB2312">
    <w:altName w:val="仿宋"/>
    <w:panose1 w:val="02010609030101010101"/>
    <w:charset w:val="86"/>
    <w:family w:val="modern"/>
    <w:pitch w:val="default"/>
    <w:sig w:usb0="00000000" w:usb1="00000000" w:usb2="00000000" w:usb3="00000000" w:csb0="00040000" w:csb1="00000000"/>
    <w:embedRegular r:id="rId3" w:fontKey="{048CF090-F3E8-4EE0-97A7-DB1062975ADC}"/>
  </w:font>
  <w:font w:name="仿宋">
    <w:panose1 w:val="02010609060101010101"/>
    <w:charset w:val="86"/>
    <w:family w:val="auto"/>
    <w:pitch w:val="default"/>
    <w:sig w:usb0="800002BF" w:usb1="38CF7CFA" w:usb2="00000016" w:usb3="00000000" w:csb0="00040001" w:csb1="00000000"/>
    <w:embedRegular r:id="rId4" w:fontKey="{468DAFC4-97D7-498A-9CE4-B27D6EB8DA97}"/>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5" w:fontKey="{DA478E3A-96EA-41E1-9D36-D3C5A752333A}"/>
  </w:font>
  <w:font w:name="微软雅黑">
    <w:panose1 w:val="020B0503020204020204"/>
    <w:charset w:val="86"/>
    <w:family w:val="auto"/>
    <w:pitch w:val="default"/>
    <w:sig w:usb0="80000287" w:usb1="2ACF3C50" w:usb2="00000016" w:usb3="00000000" w:csb0="0004001F" w:csb1="00000000"/>
    <w:embedRegular r:id="rId6" w:fontKey="{579BFCEA-C283-4716-B52E-B30CD65044FA}"/>
  </w:font>
  <w:font w:name="楷体">
    <w:panose1 w:val="02010609060101010101"/>
    <w:charset w:val="86"/>
    <w:family w:val="auto"/>
    <w:pitch w:val="default"/>
    <w:sig w:usb0="800002BF" w:usb1="38CF7CFA" w:usb2="00000016" w:usb3="00000000" w:csb0="00040001" w:csb1="00000000"/>
    <w:embedRegular r:id="rId7" w:fontKey="{5CAC0CE2-6027-46F8-8D43-0AE915B08C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9485">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4159">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2286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14:paraId="0300A4E4">
                              <w:pPr>
                                <w:pStyle w:val="8"/>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sdtContent>
                        </w:sdt>
                        <w:p w14:paraId="48F5A96C">
                          <w:pPr>
                            <w:pStyle w:val="5"/>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pt;width:144pt;mso-position-horizontal:outside;mso-position-horizontal-relative:margin;mso-wrap-style:none;z-index:251666432;mso-width-relative:page;mso-height-relative:page;" filled="f" stroked="f" coordsize="21600,21600" o:gfxdata="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uB/9QAAAAEAQAADwAAAAAAAAABACAAAAAiAAAAZHJzL2Rvd25yZXYueG1s&#10;UEsBAhQAFAAAAAgAh07iQPyRLCE1AgAAYAQAAA4AAAAAAAAAAQAgAAAAIwEAAGRycy9lMm9Eb2Mu&#10;eG1sUEsFBgAAAAAGAAYAWQEAAMoFAAAAAA==&#10;">
              <v:fill on="f" focussize="0,0"/>
              <v:stroke on="f" weight="0.5pt"/>
              <v:imagedata o:title=""/>
              <o:lock v:ext="edit" aspectratio="f"/>
              <v:textbox inset="0mm,0mm,0mm,0mm">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14:paraId="0300A4E4">
                        <w:pPr>
                          <w:pStyle w:val="8"/>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p>
                    </w:sdtContent>
                  </w:sdt>
                  <w:p w14:paraId="48F5A96C">
                    <w:pPr>
                      <w:pStyle w:val="5"/>
                      <w:rPr>
                        <w:rFonts w:hint="eastAsia" w:ascii="宋体" w:hAnsi="宋体" w:eastAsia="宋体" w:cs="宋体"/>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0A4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JhOTM0N2EwOWFjNjQ4ODAxOTEwZTQ5MjAzM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0D02"/>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4D8F"/>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E34BC"/>
    <w:rsid w:val="0131604D"/>
    <w:rsid w:val="017436F8"/>
    <w:rsid w:val="028B36A9"/>
    <w:rsid w:val="02D16390"/>
    <w:rsid w:val="033E696D"/>
    <w:rsid w:val="03AC55EF"/>
    <w:rsid w:val="03B4687C"/>
    <w:rsid w:val="04CF39F0"/>
    <w:rsid w:val="054B686D"/>
    <w:rsid w:val="061D6D0E"/>
    <w:rsid w:val="062C06E0"/>
    <w:rsid w:val="06E415DA"/>
    <w:rsid w:val="08894C8C"/>
    <w:rsid w:val="08B330AC"/>
    <w:rsid w:val="096D418D"/>
    <w:rsid w:val="0A075CB3"/>
    <w:rsid w:val="0A2032A3"/>
    <w:rsid w:val="0A393F15"/>
    <w:rsid w:val="0A9C5A8B"/>
    <w:rsid w:val="0AE942DE"/>
    <w:rsid w:val="0B190975"/>
    <w:rsid w:val="0B7F5D75"/>
    <w:rsid w:val="0B8A37D8"/>
    <w:rsid w:val="0BF16E3F"/>
    <w:rsid w:val="0C182E21"/>
    <w:rsid w:val="0C6904DC"/>
    <w:rsid w:val="0CD8309B"/>
    <w:rsid w:val="0DAD6300"/>
    <w:rsid w:val="0DB14432"/>
    <w:rsid w:val="0E912047"/>
    <w:rsid w:val="0E9C2D2F"/>
    <w:rsid w:val="0F487A6E"/>
    <w:rsid w:val="0F56644D"/>
    <w:rsid w:val="0FAB538A"/>
    <w:rsid w:val="0FD0094D"/>
    <w:rsid w:val="0FDA0E90"/>
    <w:rsid w:val="100202CD"/>
    <w:rsid w:val="100B4094"/>
    <w:rsid w:val="10C055FF"/>
    <w:rsid w:val="11335637"/>
    <w:rsid w:val="118107EC"/>
    <w:rsid w:val="11CB5358"/>
    <w:rsid w:val="11DD6519"/>
    <w:rsid w:val="12505D75"/>
    <w:rsid w:val="12A2025D"/>
    <w:rsid w:val="14C96399"/>
    <w:rsid w:val="15CE2D26"/>
    <w:rsid w:val="163B0AEA"/>
    <w:rsid w:val="168E4293"/>
    <w:rsid w:val="16BB723D"/>
    <w:rsid w:val="171419D3"/>
    <w:rsid w:val="178963E1"/>
    <w:rsid w:val="17C05B4C"/>
    <w:rsid w:val="18015F3F"/>
    <w:rsid w:val="183A374F"/>
    <w:rsid w:val="187E43D5"/>
    <w:rsid w:val="18EB32E8"/>
    <w:rsid w:val="192A66D5"/>
    <w:rsid w:val="196547FC"/>
    <w:rsid w:val="197762DD"/>
    <w:rsid w:val="1A3312F4"/>
    <w:rsid w:val="1A572B81"/>
    <w:rsid w:val="1B041CD2"/>
    <w:rsid w:val="1BE8440E"/>
    <w:rsid w:val="1C085913"/>
    <w:rsid w:val="1C8C02F2"/>
    <w:rsid w:val="1CA878D2"/>
    <w:rsid w:val="1CB11B06"/>
    <w:rsid w:val="1CF11E86"/>
    <w:rsid w:val="1D155CEE"/>
    <w:rsid w:val="1E2812BF"/>
    <w:rsid w:val="1E2B14E5"/>
    <w:rsid w:val="1F010B23"/>
    <w:rsid w:val="20BE6338"/>
    <w:rsid w:val="20DD2ECA"/>
    <w:rsid w:val="20F57F95"/>
    <w:rsid w:val="21863561"/>
    <w:rsid w:val="21944F55"/>
    <w:rsid w:val="21A60C8E"/>
    <w:rsid w:val="21A67760"/>
    <w:rsid w:val="21BD0168"/>
    <w:rsid w:val="221E3ADB"/>
    <w:rsid w:val="22D507CE"/>
    <w:rsid w:val="22E06CA1"/>
    <w:rsid w:val="234645FC"/>
    <w:rsid w:val="238E667C"/>
    <w:rsid w:val="23D700A4"/>
    <w:rsid w:val="23DA231E"/>
    <w:rsid w:val="23EF26A8"/>
    <w:rsid w:val="240371BF"/>
    <w:rsid w:val="244F7E5D"/>
    <w:rsid w:val="255A4A5C"/>
    <w:rsid w:val="25B83F05"/>
    <w:rsid w:val="25C741E6"/>
    <w:rsid w:val="262A7F3E"/>
    <w:rsid w:val="27194E78"/>
    <w:rsid w:val="27247AA4"/>
    <w:rsid w:val="27842671"/>
    <w:rsid w:val="27DD7DE7"/>
    <w:rsid w:val="28375860"/>
    <w:rsid w:val="28635F25"/>
    <w:rsid w:val="28724840"/>
    <w:rsid w:val="28B05368"/>
    <w:rsid w:val="28F039B6"/>
    <w:rsid w:val="28F60B3D"/>
    <w:rsid w:val="29FD04D3"/>
    <w:rsid w:val="2A097C66"/>
    <w:rsid w:val="2A3B2164"/>
    <w:rsid w:val="2A8F792B"/>
    <w:rsid w:val="2A9C5BA4"/>
    <w:rsid w:val="2ABE7A3E"/>
    <w:rsid w:val="2B880D54"/>
    <w:rsid w:val="2BA37E9D"/>
    <w:rsid w:val="2BC929C8"/>
    <w:rsid w:val="2C33078A"/>
    <w:rsid w:val="2C89076E"/>
    <w:rsid w:val="2D8B1725"/>
    <w:rsid w:val="2DC55411"/>
    <w:rsid w:val="2DFE26D1"/>
    <w:rsid w:val="2EFA178C"/>
    <w:rsid w:val="30470360"/>
    <w:rsid w:val="30B46D73"/>
    <w:rsid w:val="31082744"/>
    <w:rsid w:val="312D57A8"/>
    <w:rsid w:val="31456F95"/>
    <w:rsid w:val="319A103C"/>
    <w:rsid w:val="319F7F4E"/>
    <w:rsid w:val="324C7EAF"/>
    <w:rsid w:val="32746425"/>
    <w:rsid w:val="3412367C"/>
    <w:rsid w:val="34303534"/>
    <w:rsid w:val="3466001A"/>
    <w:rsid w:val="34EE6F87"/>
    <w:rsid w:val="351367B3"/>
    <w:rsid w:val="360B0081"/>
    <w:rsid w:val="36265971"/>
    <w:rsid w:val="3631085E"/>
    <w:rsid w:val="36C6768D"/>
    <w:rsid w:val="3845286A"/>
    <w:rsid w:val="396476C0"/>
    <w:rsid w:val="3997458B"/>
    <w:rsid w:val="39AE70AB"/>
    <w:rsid w:val="39E60773"/>
    <w:rsid w:val="3A5C0EAC"/>
    <w:rsid w:val="3A8F1281"/>
    <w:rsid w:val="3A9E367D"/>
    <w:rsid w:val="3AF938EF"/>
    <w:rsid w:val="3C0C0783"/>
    <w:rsid w:val="3C5938F5"/>
    <w:rsid w:val="3CB7061B"/>
    <w:rsid w:val="3CD125D7"/>
    <w:rsid w:val="3D085B96"/>
    <w:rsid w:val="3D4849EA"/>
    <w:rsid w:val="3D964245"/>
    <w:rsid w:val="3E3D60E3"/>
    <w:rsid w:val="3E686071"/>
    <w:rsid w:val="3E6A2D2C"/>
    <w:rsid w:val="3E8167B1"/>
    <w:rsid w:val="3E9C3F6D"/>
    <w:rsid w:val="3ECA6D2C"/>
    <w:rsid w:val="3F082F21"/>
    <w:rsid w:val="3F116709"/>
    <w:rsid w:val="3F9F3A96"/>
    <w:rsid w:val="400C6ED0"/>
    <w:rsid w:val="405F5324"/>
    <w:rsid w:val="41DB1250"/>
    <w:rsid w:val="41EA3C27"/>
    <w:rsid w:val="420B38E3"/>
    <w:rsid w:val="420E5181"/>
    <w:rsid w:val="421D70DB"/>
    <w:rsid w:val="4224695E"/>
    <w:rsid w:val="424166FA"/>
    <w:rsid w:val="42517EEB"/>
    <w:rsid w:val="437F34D8"/>
    <w:rsid w:val="43E70E68"/>
    <w:rsid w:val="45353093"/>
    <w:rsid w:val="478D4518"/>
    <w:rsid w:val="47C71016"/>
    <w:rsid w:val="47CE015C"/>
    <w:rsid w:val="49137521"/>
    <w:rsid w:val="493C27E9"/>
    <w:rsid w:val="496F39ED"/>
    <w:rsid w:val="498D1081"/>
    <w:rsid w:val="499B199C"/>
    <w:rsid w:val="49FF41D3"/>
    <w:rsid w:val="4A913915"/>
    <w:rsid w:val="4AEC1DD8"/>
    <w:rsid w:val="4AED2B3B"/>
    <w:rsid w:val="4B271062"/>
    <w:rsid w:val="4B6173E0"/>
    <w:rsid w:val="4BC845F3"/>
    <w:rsid w:val="4BE068DB"/>
    <w:rsid w:val="4BF6002B"/>
    <w:rsid w:val="4D3E7CBD"/>
    <w:rsid w:val="4DD059E1"/>
    <w:rsid w:val="4E383D85"/>
    <w:rsid w:val="4E4922BE"/>
    <w:rsid w:val="4E8C4626"/>
    <w:rsid w:val="4E9E13F5"/>
    <w:rsid w:val="4ECE2238"/>
    <w:rsid w:val="4EDD5E1C"/>
    <w:rsid w:val="4F686676"/>
    <w:rsid w:val="50952378"/>
    <w:rsid w:val="51714DE5"/>
    <w:rsid w:val="517C7493"/>
    <w:rsid w:val="5181470B"/>
    <w:rsid w:val="51B356E0"/>
    <w:rsid w:val="51DB4B86"/>
    <w:rsid w:val="521A7C03"/>
    <w:rsid w:val="529E7E5B"/>
    <w:rsid w:val="5365115A"/>
    <w:rsid w:val="538227E8"/>
    <w:rsid w:val="53E35FEF"/>
    <w:rsid w:val="53F1045F"/>
    <w:rsid w:val="54122FDB"/>
    <w:rsid w:val="549153A5"/>
    <w:rsid w:val="55333C3E"/>
    <w:rsid w:val="563A62EE"/>
    <w:rsid w:val="56FB4F43"/>
    <w:rsid w:val="571406EC"/>
    <w:rsid w:val="57390294"/>
    <w:rsid w:val="57EB3E30"/>
    <w:rsid w:val="58070251"/>
    <w:rsid w:val="5850359A"/>
    <w:rsid w:val="595E20F3"/>
    <w:rsid w:val="59A9272A"/>
    <w:rsid w:val="59C363FA"/>
    <w:rsid w:val="5A974C33"/>
    <w:rsid w:val="5AD63ADF"/>
    <w:rsid w:val="5B2F1A04"/>
    <w:rsid w:val="5B5F0153"/>
    <w:rsid w:val="5CB35466"/>
    <w:rsid w:val="5D05101F"/>
    <w:rsid w:val="5D801493"/>
    <w:rsid w:val="5DE04674"/>
    <w:rsid w:val="5E671A49"/>
    <w:rsid w:val="5E732601"/>
    <w:rsid w:val="5F323EBD"/>
    <w:rsid w:val="5F6E1C16"/>
    <w:rsid w:val="60123C37"/>
    <w:rsid w:val="60B56544"/>
    <w:rsid w:val="60EC4488"/>
    <w:rsid w:val="6131633F"/>
    <w:rsid w:val="61977F0F"/>
    <w:rsid w:val="61DF37F9"/>
    <w:rsid w:val="627F6C32"/>
    <w:rsid w:val="631D7137"/>
    <w:rsid w:val="639E6324"/>
    <w:rsid w:val="645A795A"/>
    <w:rsid w:val="647A4C53"/>
    <w:rsid w:val="64CA39A1"/>
    <w:rsid w:val="64E16127"/>
    <w:rsid w:val="650A1380"/>
    <w:rsid w:val="65334B65"/>
    <w:rsid w:val="65B7754D"/>
    <w:rsid w:val="665C1888"/>
    <w:rsid w:val="666D294C"/>
    <w:rsid w:val="669B792D"/>
    <w:rsid w:val="688B4586"/>
    <w:rsid w:val="68EE5F59"/>
    <w:rsid w:val="69B169F1"/>
    <w:rsid w:val="6A1C2E07"/>
    <w:rsid w:val="6A2565B6"/>
    <w:rsid w:val="6A4E1D0F"/>
    <w:rsid w:val="6A70612A"/>
    <w:rsid w:val="6AB41C2B"/>
    <w:rsid w:val="6ADB2C48"/>
    <w:rsid w:val="6B7457A6"/>
    <w:rsid w:val="6BAD2A66"/>
    <w:rsid w:val="6C4A05C8"/>
    <w:rsid w:val="6DC07371"/>
    <w:rsid w:val="6E005A16"/>
    <w:rsid w:val="6E0E3C8F"/>
    <w:rsid w:val="6E4C2960"/>
    <w:rsid w:val="6E9110DB"/>
    <w:rsid w:val="6ECD649B"/>
    <w:rsid w:val="6F871F4B"/>
    <w:rsid w:val="710475CC"/>
    <w:rsid w:val="71135E06"/>
    <w:rsid w:val="715D6042"/>
    <w:rsid w:val="719E3E66"/>
    <w:rsid w:val="72100205"/>
    <w:rsid w:val="72734D90"/>
    <w:rsid w:val="728B779D"/>
    <w:rsid w:val="737D6457"/>
    <w:rsid w:val="75CB1A9A"/>
    <w:rsid w:val="76870A83"/>
    <w:rsid w:val="76BD6253"/>
    <w:rsid w:val="773C72BE"/>
    <w:rsid w:val="77495D38"/>
    <w:rsid w:val="77A6242F"/>
    <w:rsid w:val="78372035"/>
    <w:rsid w:val="788D5D25"/>
    <w:rsid w:val="78D80C8F"/>
    <w:rsid w:val="79E7B28D"/>
    <w:rsid w:val="7BD227A0"/>
    <w:rsid w:val="7BD32392"/>
    <w:rsid w:val="7DA243F4"/>
    <w:rsid w:val="7DAB70A4"/>
    <w:rsid w:val="7E6E7FBE"/>
    <w:rsid w:val="7EEB76FD"/>
    <w:rsid w:val="7F1430D0"/>
    <w:rsid w:val="7F392B36"/>
    <w:rsid w:val="7F460DAF"/>
    <w:rsid w:val="7F66695E"/>
    <w:rsid w:val="7F9F20EE"/>
    <w:rsid w:val="7FAA033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3312883435583"/>
          <c:y val="0.0120811855670103"/>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06748466257669"/>
          <c:y val="0.0790711961210713"/>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0.00_ </c:formatCode>
                <c:ptCount val="2"/>
                <c:pt idx="0">
                  <c:v>2605.47</c:v>
                </c:pt>
                <c:pt idx="1">
                  <c:v>2576.31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441459184332534"/>
                  <c:y val="-0.1331269349845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layout>
                <c:manualLayout>
                  <c:x val="-0.150802964308168"/>
                  <c:y val="0.00560577639771095"/>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69323380688659"/>
                      <c:h val="0.1118679050567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0.00_ </c:formatCode>
                <c:ptCount val="7"/>
                <c:pt idx="0">
                  <c:v>2416.09</c:v>
                </c:pt>
                <c:pt idx="1">
                  <c:v>0</c:v>
                </c:pt>
                <c:pt idx="2">
                  <c:v>0</c:v>
                </c:pt>
                <c:pt idx="3">
                  <c:v>0</c:v>
                </c:pt>
                <c:pt idx="4">
                  <c:v>0</c:v>
                </c:pt>
                <c:pt idx="5">
                  <c:v>0</c:v>
                </c:pt>
                <c:pt idx="6">
                  <c:v>160.22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1514.17</c:v>
                </c:pt>
                <c:pt idx="1">
                  <c:v>1062.14</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2755491881566"/>
          <c:y val="0.0058950677932796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15210124164279"/>
          <c:y val="0.062919773910643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#,##0.00</c:formatCode>
                <c:ptCount val="2"/>
                <c:pt idx="0">
                  <c:v>2605.27</c:v>
                </c:pt>
                <c:pt idx="1">
                  <c:v>2416.09</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610111978283"/>
          <c:y val="0.020507812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39146035163258"/>
          <c:y val="0.198172472872644"/>
          <c:w val="0.802176773113264"/>
          <c:h val="0.671616219303255"/>
        </c:manualLayout>
      </c:layout>
      <c:barChart>
        <c:barDir val="col"/>
        <c:grouping val="clustered"/>
        <c:varyColors val="0"/>
        <c:ser>
          <c:idx val="2"/>
          <c:order val="2"/>
          <c:tx>
            <c:strRef>
              <c:f>Sheet1!$B$1</c:f>
              <c:strCache>
                <c:ptCount val="1"/>
                <c:pt idx="0">
                  <c:v>一般公共预算财政拨款支出（万元）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2605.27</c:v>
                </c:pt>
                <c:pt idx="1" c:formatCode="#,##0.00">
                  <c:v>2416.09</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7925414126627"/>
          <c:y val="0.0223913367927994"/>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c:v>
                </c:pt>
                <c:pt idx="3">
                  <c:v>住房保障</c:v>
                </c:pt>
              </c:strCache>
            </c:strRef>
          </c:cat>
          <c:val>
            <c:numRef>
              <c:f>Sheet1!$B$2:$B$5</c:f>
              <c:numCache>
                <c:formatCode>General</c:formatCode>
                <c:ptCount val="4"/>
                <c:pt idx="0">
                  <c:v>2367.6</c:v>
                </c:pt>
                <c:pt idx="1">
                  <c:v>36.03</c:v>
                </c:pt>
                <c:pt idx="2">
                  <c:v>5.04</c:v>
                </c:pt>
                <c:pt idx="3">
                  <c:v>7.42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0"/>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0"/>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0450563204004"/>
                  <c:y val="0.097590361445783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6429</Words>
  <Characters>7043</Characters>
  <Lines>61</Lines>
  <Paragraphs>17</Paragraphs>
  <TotalTime>6</TotalTime>
  <ScaleCrop>false</ScaleCrop>
  <LinksUpToDate>false</LinksUpToDate>
  <CharactersWithSpaces>7119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qzuser</cp:lastModifiedBy>
  <cp:lastPrinted>2022-08-06T02:23:00Z</cp:lastPrinted>
  <dcterms:modified xsi:type="dcterms:W3CDTF">2024-10-12T08:42:10Z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E4A66DAE944449F7AEB89A1FCFA81F3C_13</vt:lpwstr>
  </property>
</Properties>
</file>