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FC845" w14:textId="77777777" w:rsidR="00EF3470" w:rsidRDefault="00EF3470">
      <w:pPr>
        <w:spacing w:line="600" w:lineRule="exact"/>
        <w:jc w:val="left"/>
        <w:outlineLvl w:val="0"/>
        <w:rPr>
          <w:rFonts w:ascii="方正小标宋简体" w:eastAsia="方正小标宋简体" w:hAnsi="宋体" w:hint="eastAsia"/>
          <w:szCs w:val="21"/>
        </w:rPr>
      </w:pPr>
      <w:bookmarkStart w:id="0" w:name="_Toc15306267"/>
    </w:p>
    <w:p w14:paraId="5D32D216" w14:textId="77777777" w:rsidR="00EF3470" w:rsidRDefault="00EF3470">
      <w:pPr>
        <w:spacing w:line="600" w:lineRule="exact"/>
        <w:jc w:val="center"/>
        <w:outlineLvl w:val="0"/>
        <w:rPr>
          <w:rFonts w:ascii="方正小标宋简体" w:eastAsia="方正小标宋简体" w:hAnsi="宋体" w:hint="eastAsia"/>
          <w:sz w:val="72"/>
          <w:szCs w:val="72"/>
        </w:rPr>
      </w:pPr>
    </w:p>
    <w:p w14:paraId="01B279BA" w14:textId="77777777" w:rsidR="00EF3470" w:rsidRDefault="00EF3470">
      <w:pPr>
        <w:spacing w:line="600" w:lineRule="exact"/>
        <w:jc w:val="center"/>
        <w:outlineLvl w:val="0"/>
        <w:rPr>
          <w:rFonts w:ascii="方正小标宋简体" w:eastAsia="方正小标宋简体" w:hAnsi="宋体" w:hint="eastAsia"/>
          <w:sz w:val="72"/>
          <w:szCs w:val="72"/>
        </w:rPr>
      </w:pPr>
    </w:p>
    <w:p w14:paraId="36F47EFB" w14:textId="03C4E369" w:rsidR="00EF3470" w:rsidRDefault="007E7B8B">
      <w:pPr>
        <w:adjustRightInd w:val="0"/>
        <w:snapToGrid w:val="0"/>
        <w:spacing w:line="360" w:lineRule="auto"/>
        <w:jc w:val="center"/>
        <w:outlineLvl w:val="0"/>
        <w:rPr>
          <w:rFonts w:ascii="方正小标宋简体" w:eastAsia="方正小标宋简体" w:hAnsi="方正小标宋简体" w:cs="方正小标宋简体" w:hint="eastAsia"/>
          <w:sz w:val="72"/>
          <w:szCs w:val="72"/>
        </w:rPr>
      </w:pPr>
      <w:bookmarkStart w:id="1" w:name="_Toc15377193"/>
      <w:bookmarkStart w:id="2" w:name="_Toc15377425"/>
      <w:bookmarkStart w:id="3" w:name="_Toc15378441"/>
      <w:bookmarkStart w:id="4" w:name="_Toc15396475"/>
      <w:bookmarkStart w:id="5" w:name="_Toc15396597"/>
      <w:r>
        <w:rPr>
          <w:rFonts w:ascii="方正小标宋简体" w:eastAsia="方正小标宋简体" w:hAnsi="方正小标宋简体" w:cs="方正小标宋简体" w:hint="eastAsia"/>
          <w:sz w:val="72"/>
          <w:szCs w:val="72"/>
        </w:rPr>
        <w:t>2023年度</w:t>
      </w:r>
      <w:bookmarkEnd w:id="1"/>
      <w:bookmarkEnd w:id="2"/>
      <w:bookmarkEnd w:id="3"/>
      <w:bookmarkEnd w:id="4"/>
      <w:bookmarkEnd w:id="5"/>
    </w:p>
    <w:p w14:paraId="5CB835AE" w14:textId="77777777" w:rsidR="00EF3470" w:rsidRDefault="00000000">
      <w:pPr>
        <w:adjustRightInd w:val="0"/>
        <w:snapToGrid w:val="0"/>
        <w:spacing w:line="360" w:lineRule="auto"/>
        <w:jc w:val="center"/>
        <w:outlineLvl w:val="0"/>
        <w:rPr>
          <w:rFonts w:ascii="方正小标宋简体" w:eastAsia="方正小标宋简体" w:hAnsi="方正小标宋简体" w:cs="方正小标宋简体" w:hint="eastAsia"/>
          <w:sz w:val="72"/>
          <w:szCs w:val="72"/>
        </w:rPr>
      </w:pPr>
      <w:bookmarkStart w:id="6" w:name="_Toc15396476"/>
      <w:bookmarkStart w:id="7" w:name="_Toc15377426"/>
      <w:bookmarkStart w:id="8" w:name="_Toc15396598"/>
      <w:bookmarkStart w:id="9" w:name="_Toc15378442"/>
      <w:bookmarkStart w:id="10" w:name="_Toc15377194"/>
      <w:r>
        <w:rPr>
          <w:rFonts w:ascii="方正小标宋简体" w:eastAsia="方正小标宋简体" w:hAnsi="方正小标宋简体" w:cs="方正小标宋简体" w:hint="eastAsia"/>
          <w:sz w:val="72"/>
          <w:szCs w:val="72"/>
        </w:rPr>
        <w:t>四川省</w:t>
      </w:r>
      <w:bookmarkStart w:id="11" w:name="_Toc15306268"/>
      <w:bookmarkEnd w:id="0"/>
      <w:r>
        <w:rPr>
          <w:rFonts w:ascii="方正小标宋简体" w:eastAsia="方正小标宋简体" w:hAnsi="方正小标宋简体" w:cs="方正小标宋简体" w:hint="eastAsia"/>
          <w:sz w:val="72"/>
          <w:szCs w:val="72"/>
        </w:rPr>
        <w:t>广元市利州区兴安初级中学单位决算</w:t>
      </w:r>
      <w:bookmarkEnd w:id="6"/>
      <w:bookmarkEnd w:id="7"/>
      <w:bookmarkEnd w:id="8"/>
      <w:bookmarkEnd w:id="9"/>
      <w:bookmarkEnd w:id="10"/>
      <w:bookmarkEnd w:id="11"/>
    </w:p>
    <w:p w14:paraId="21F04488" w14:textId="77777777" w:rsidR="00EF3470" w:rsidRDefault="00000000">
      <w:pPr>
        <w:widowControl/>
        <w:jc w:val="center"/>
        <w:rPr>
          <w:rFonts w:ascii="黑体" w:eastAsia="黑体" w:hAnsi="黑体" w:hint="eastAsia"/>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14:paraId="1981D399" w14:textId="77777777" w:rsidR="00EF3470" w:rsidRDefault="00EF3470">
      <w:pPr>
        <w:widowControl/>
        <w:jc w:val="center"/>
        <w:rPr>
          <w:rFonts w:ascii="黑体" w:eastAsia="黑体" w:hAnsi="黑体" w:cstheme="minorBidi" w:hint="eastAsia"/>
          <w:sz w:val="28"/>
          <w:szCs w:val="28"/>
        </w:rPr>
      </w:pPr>
    </w:p>
    <w:p w14:paraId="249F6548" w14:textId="5D5F138F" w:rsidR="00EF3470" w:rsidRDefault="00000000">
      <w:pPr>
        <w:pStyle w:val="TOC1"/>
        <w:rPr>
          <w:rFonts w:hint="eastAsia"/>
        </w:rPr>
      </w:pPr>
      <w:r>
        <w:rPr>
          <w:rFonts w:hint="eastAsia"/>
        </w:rPr>
        <w:t>公开时间：202</w:t>
      </w:r>
      <w:r w:rsidR="007E7B8B">
        <w:rPr>
          <w:rFonts w:hint="eastAsia"/>
        </w:rPr>
        <w:t>4</w:t>
      </w:r>
      <w:r>
        <w:rPr>
          <w:rFonts w:hint="eastAsia"/>
        </w:rPr>
        <w:t>年 10月</w:t>
      </w:r>
      <w:r w:rsidR="00610012">
        <w:rPr>
          <w:rFonts w:hint="eastAsia"/>
        </w:rPr>
        <w:t>14</w:t>
      </w:r>
      <w:r>
        <w:rPr>
          <w:rFonts w:hint="eastAsia"/>
        </w:rPr>
        <w:t xml:space="preserve"> 日</w:t>
      </w:r>
    </w:p>
    <w:p w14:paraId="11FD46B0" w14:textId="77777777" w:rsidR="00EF3470" w:rsidRDefault="00EF3470"/>
    <w:p w14:paraId="3C8D8503" w14:textId="77777777" w:rsidR="00EF3470" w:rsidRDefault="00000000">
      <w:pPr>
        <w:pStyle w:val="TOC1"/>
        <w:adjustRightInd w:val="0"/>
        <w:snapToGrid w:val="0"/>
        <w:spacing w:before="0" w:line="440" w:lineRule="exact"/>
        <w:jc w:val="left"/>
        <w:rPr>
          <w:rFonts w:cstheme="minorBidi" w:hint="eastAsia"/>
          <w:sz w:val="24"/>
          <w:szCs w:val="24"/>
        </w:rPr>
      </w:pPr>
      <w:r>
        <w:rPr>
          <w:rFonts w:hint="eastAsia"/>
          <w:sz w:val="24"/>
        </w:rPr>
        <w:t>第一部分</w:t>
      </w:r>
      <w:r>
        <w:rPr>
          <w:sz w:val="24"/>
        </w:rPr>
        <w:t xml:space="preserve"> </w:t>
      </w:r>
      <w:r>
        <w:rPr>
          <w:rFonts w:hint="eastAsia"/>
          <w:sz w:val="24"/>
        </w:rPr>
        <w:t>单位概况</w:t>
      </w:r>
    </w:p>
    <w:p w14:paraId="1C348AF9" w14:textId="77777777" w:rsidR="00EF3470" w:rsidRDefault="00000000">
      <w:pPr>
        <w:pStyle w:val="TOC2"/>
        <w:adjustRightInd w:val="0"/>
        <w:snapToGrid w:val="0"/>
        <w:spacing w:line="440" w:lineRule="exact"/>
        <w:jc w:val="left"/>
        <w:rPr>
          <w:sz w:val="24"/>
        </w:rPr>
      </w:pPr>
      <w:r>
        <w:rPr>
          <w:rFonts w:hint="eastAsia"/>
          <w:sz w:val="24"/>
        </w:rPr>
        <w:t>一、主要职责</w:t>
      </w:r>
    </w:p>
    <w:p w14:paraId="26C445DB" w14:textId="77777777" w:rsidR="00EF3470" w:rsidRDefault="00000000">
      <w:pPr>
        <w:pStyle w:val="TOC2"/>
        <w:adjustRightInd w:val="0"/>
        <w:snapToGrid w:val="0"/>
        <w:spacing w:line="440" w:lineRule="exact"/>
        <w:jc w:val="left"/>
      </w:pPr>
      <w:r>
        <w:rPr>
          <w:rFonts w:hint="eastAsia"/>
          <w:sz w:val="24"/>
        </w:rPr>
        <w:t>二、机构设置</w:t>
      </w:r>
    </w:p>
    <w:p w14:paraId="52B89C67" w14:textId="1A5F28D6" w:rsidR="00EF3470" w:rsidRDefault="00000000">
      <w:pPr>
        <w:pStyle w:val="TOC1"/>
        <w:adjustRightInd w:val="0"/>
        <w:snapToGrid w:val="0"/>
        <w:spacing w:before="0" w:line="440" w:lineRule="exact"/>
        <w:jc w:val="left"/>
        <w:rPr>
          <w:rFonts w:hint="eastAsia"/>
          <w:sz w:val="24"/>
          <w:szCs w:val="24"/>
        </w:rPr>
      </w:pPr>
      <w:r>
        <w:rPr>
          <w:rFonts w:hint="eastAsia"/>
          <w:sz w:val="24"/>
        </w:rPr>
        <w:t xml:space="preserve">第二部分 </w:t>
      </w:r>
      <w:r w:rsidR="007E7B8B">
        <w:rPr>
          <w:rFonts w:hint="eastAsia"/>
          <w:sz w:val="24"/>
        </w:rPr>
        <w:t>2023</w:t>
      </w:r>
      <w:r>
        <w:rPr>
          <w:rFonts w:hint="eastAsia"/>
          <w:sz w:val="24"/>
        </w:rPr>
        <w:t>年度单位决算情况说明</w:t>
      </w:r>
    </w:p>
    <w:p w14:paraId="0F54FDF4" w14:textId="77777777" w:rsidR="00EF3470" w:rsidRDefault="00000000">
      <w:pPr>
        <w:pStyle w:val="TOC2"/>
        <w:adjustRightInd w:val="0"/>
        <w:snapToGrid w:val="0"/>
        <w:spacing w:line="440" w:lineRule="exact"/>
        <w:jc w:val="left"/>
        <w:rPr>
          <w:rFonts w:ascii="仿宋" w:eastAsia="仿宋" w:hAnsi="仿宋" w:cstheme="minorBidi" w:hint="eastAsia"/>
          <w:sz w:val="24"/>
        </w:rPr>
      </w:pPr>
      <w:r>
        <w:rPr>
          <w:rFonts w:hint="eastAsia"/>
          <w:sz w:val="24"/>
        </w:rPr>
        <w:t>一、收入支出决算总体情况说明</w:t>
      </w:r>
    </w:p>
    <w:p w14:paraId="4A9F27A5" w14:textId="77777777" w:rsidR="00EF3470" w:rsidRDefault="00000000">
      <w:pPr>
        <w:pStyle w:val="TOC2"/>
        <w:adjustRightInd w:val="0"/>
        <w:snapToGrid w:val="0"/>
        <w:spacing w:line="440" w:lineRule="exact"/>
        <w:jc w:val="left"/>
        <w:rPr>
          <w:rFonts w:ascii="仿宋" w:eastAsia="仿宋" w:hAnsi="仿宋" w:cstheme="minorBidi" w:hint="eastAsia"/>
          <w:sz w:val="24"/>
        </w:rPr>
      </w:pPr>
      <w:r>
        <w:rPr>
          <w:rFonts w:hint="eastAsia"/>
          <w:sz w:val="24"/>
        </w:rPr>
        <w:t>二、收入决算情况说明</w:t>
      </w:r>
    </w:p>
    <w:p w14:paraId="56C0D303" w14:textId="77777777" w:rsidR="00EF3470" w:rsidRDefault="00000000">
      <w:pPr>
        <w:pStyle w:val="TOC2"/>
        <w:adjustRightInd w:val="0"/>
        <w:snapToGrid w:val="0"/>
        <w:spacing w:line="440" w:lineRule="exact"/>
        <w:jc w:val="left"/>
        <w:rPr>
          <w:rFonts w:ascii="仿宋" w:eastAsia="仿宋" w:hAnsi="仿宋" w:cstheme="minorBidi" w:hint="eastAsia"/>
          <w:sz w:val="24"/>
        </w:rPr>
      </w:pPr>
      <w:r>
        <w:rPr>
          <w:rFonts w:hint="eastAsia"/>
          <w:sz w:val="24"/>
        </w:rPr>
        <w:t>三、支出决算情况说明</w:t>
      </w:r>
    </w:p>
    <w:p w14:paraId="3E6BED69" w14:textId="77777777" w:rsidR="00EF3470" w:rsidRDefault="00000000">
      <w:pPr>
        <w:pStyle w:val="TOC2"/>
        <w:adjustRightInd w:val="0"/>
        <w:snapToGrid w:val="0"/>
        <w:spacing w:line="440" w:lineRule="exact"/>
        <w:jc w:val="left"/>
        <w:rPr>
          <w:rFonts w:ascii="仿宋" w:eastAsia="仿宋" w:hAnsi="仿宋" w:cstheme="minorBidi" w:hint="eastAsia"/>
          <w:sz w:val="24"/>
        </w:rPr>
      </w:pPr>
      <w:r>
        <w:rPr>
          <w:rFonts w:hint="eastAsia"/>
          <w:sz w:val="24"/>
        </w:rPr>
        <w:t>四、财政拨款收入支出决算总体情况说明</w:t>
      </w:r>
    </w:p>
    <w:p w14:paraId="4D7FAE62" w14:textId="77777777" w:rsidR="00EF3470" w:rsidRDefault="00000000">
      <w:pPr>
        <w:pStyle w:val="TOC2"/>
        <w:adjustRightInd w:val="0"/>
        <w:snapToGrid w:val="0"/>
        <w:spacing w:line="440" w:lineRule="exact"/>
        <w:jc w:val="left"/>
        <w:rPr>
          <w:rFonts w:ascii="仿宋" w:eastAsia="仿宋" w:hAnsi="仿宋" w:cstheme="minorBidi" w:hint="eastAsia"/>
          <w:sz w:val="24"/>
        </w:rPr>
      </w:pPr>
      <w:r>
        <w:rPr>
          <w:rFonts w:hint="eastAsia"/>
          <w:sz w:val="24"/>
        </w:rPr>
        <w:t>五、一般公共预算财政拨款支出决算情况说明</w:t>
      </w:r>
    </w:p>
    <w:p w14:paraId="3651CC41" w14:textId="77777777" w:rsidR="00EF3470" w:rsidRDefault="00000000">
      <w:pPr>
        <w:pStyle w:val="TOC2"/>
        <w:adjustRightInd w:val="0"/>
        <w:snapToGrid w:val="0"/>
        <w:spacing w:line="440" w:lineRule="exact"/>
        <w:jc w:val="left"/>
        <w:rPr>
          <w:rFonts w:ascii="仿宋" w:eastAsia="仿宋" w:hAnsi="仿宋" w:cstheme="minorBidi" w:hint="eastAsia"/>
          <w:sz w:val="24"/>
        </w:rPr>
      </w:pPr>
      <w:r>
        <w:rPr>
          <w:rFonts w:hint="eastAsia"/>
          <w:sz w:val="24"/>
        </w:rPr>
        <w:t>六、一般公共预算财政拨款基本支出决算情况说明</w:t>
      </w:r>
    </w:p>
    <w:p w14:paraId="7B15AD9B" w14:textId="77777777" w:rsidR="00EF3470" w:rsidRDefault="00000000">
      <w:pPr>
        <w:pStyle w:val="TOC2"/>
        <w:adjustRightInd w:val="0"/>
        <w:snapToGrid w:val="0"/>
        <w:spacing w:line="440" w:lineRule="exact"/>
        <w:jc w:val="left"/>
        <w:rPr>
          <w:rFonts w:ascii="仿宋" w:eastAsia="仿宋" w:hAnsi="仿宋" w:cstheme="minorBidi" w:hint="eastAsia"/>
          <w:sz w:val="24"/>
        </w:rPr>
      </w:pPr>
      <w:r>
        <w:rPr>
          <w:rFonts w:hint="eastAsia"/>
          <w:sz w:val="24"/>
        </w:rPr>
        <w:t>七、财政拨款“三公”经费支出决算情况说明</w:t>
      </w:r>
    </w:p>
    <w:p w14:paraId="09B204E7" w14:textId="77777777" w:rsidR="00EF3470" w:rsidRDefault="00000000">
      <w:pPr>
        <w:pStyle w:val="TOC2"/>
        <w:adjustRightInd w:val="0"/>
        <w:snapToGrid w:val="0"/>
        <w:spacing w:line="440" w:lineRule="exact"/>
        <w:jc w:val="left"/>
        <w:rPr>
          <w:rFonts w:ascii="仿宋" w:eastAsia="仿宋" w:hAnsi="仿宋" w:cstheme="minorBidi" w:hint="eastAsia"/>
          <w:sz w:val="24"/>
        </w:rPr>
      </w:pPr>
      <w:r>
        <w:rPr>
          <w:rFonts w:hint="eastAsia"/>
          <w:sz w:val="24"/>
        </w:rPr>
        <w:t>八、政府性基金预算支出决算情况说明</w:t>
      </w:r>
    </w:p>
    <w:p w14:paraId="0D72D37C" w14:textId="77777777" w:rsidR="00EF3470" w:rsidRDefault="00000000">
      <w:pPr>
        <w:pStyle w:val="TOC2"/>
        <w:adjustRightInd w:val="0"/>
        <w:snapToGrid w:val="0"/>
        <w:spacing w:line="440" w:lineRule="exact"/>
        <w:jc w:val="left"/>
        <w:rPr>
          <w:sz w:val="24"/>
        </w:rPr>
      </w:pPr>
      <w:r>
        <w:rPr>
          <w:rFonts w:hint="eastAsia"/>
          <w:sz w:val="24"/>
        </w:rPr>
        <w:t>九、国有资本经营预算支出决算情况说明</w:t>
      </w:r>
    </w:p>
    <w:p w14:paraId="0927ED0E" w14:textId="77777777" w:rsidR="00EF3470" w:rsidRDefault="00000000">
      <w:pPr>
        <w:pStyle w:val="TOC2"/>
        <w:adjustRightInd w:val="0"/>
        <w:snapToGrid w:val="0"/>
        <w:spacing w:line="440" w:lineRule="exact"/>
        <w:jc w:val="left"/>
        <w:rPr>
          <w:sz w:val="24"/>
        </w:rPr>
      </w:pPr>
      <w:r>
        <w:rPr>
          <w:rFonts w:hint="eastAsia"/>
          <w:sz w:val="24"/>
        </w:rPr>
        <w:t>十、其他重要事项的情况说明</w:t>
      </w:r>
    </w:p>
    <w:p w14:paraId="5BBDDD9E" w14:textId="77777777" w:rsidR="00EF3470" w:rsidRDefault="00000000">
      <w:pPr>
        <w:pStyle w:val="TOC1"/>
        <w:adjustRightInd w:val="0"/>
        <w:snapToGrid w:val="0"/>
        <w:spacing w:before="0" w:line="440" w:lineRule="exact"/>
        <w:jc w:val="left"/>
        <w:rPr>
          <w:rFonts w:cstheme="minorBidi" w:hint="eastAsia"/>
          <w:sz w:val="24"/>
          <w:szCs w:val="24"/>
        </w:rPr>
      </w:pPr>
      <w:r>
        <w:rPr>
          <w:rFonts w:hint="eastAsia"/>
          <w:sz w:val="24"/>
        </w:rPr>
        <w:t>第三部分</w:t>
      </w:r>
      <w:r>
        <w:rPr>
          <w:sz w:val="24"/>
        </w:rPr>
        <w:t xml:space="preserve"> </w:t>
      </w:r>
      <w:r>
        <w:rPr>
          <w:rFonts w:hint="eastAsia"/>
          <w:sz w:val="24"/>
        </w:rPr>
        <w:t>名词解释</w:t>
      </w:r>
    </w:p>
    <w:p w14:paraId="1DEBE4B2" w14:textId="77777777" w:rsidR="00EF3470" w:rsidRDefault="00000000">
      <w:pPr>
        <w:pStyle w:val="TOC1"/>
        <w:adjustRightInd w:val="0"/>
        <w:snapToGrid w:val="0"/>
        <w:spacing w:before="0" w:line="440" w:lineRule="exact"/>
        <w:jc w:val="left"/>
        <w:rPr>
          <w:rFonts w:hint="eastAsia"/>
          <w:sz w:val="24"/>
        </w:rPr>
      </w:pPr>
      <w:r>
        <w:rPr>
          <w:rFonts w:hint="eastAsia"/>
          <w:sz w:val="24"/>
        </w:rPr>
        <w:t>第四部分</w:t>
      </w:r>
      <w:r>
        <w:rPr>
          <w:sz w:val="24"/>
        </w:rPr>
        <w:t xml:space="preserve"> </w:t>
      </w:r>
      <w:r>
        <w:rPr>
          <w:rFonts w:hint="eastAsia"/>
          <w:sz w:val="24"/>
        </w:rPr>
        <w:t>附件</w:t>
      </w:r>
    </w:p>
    <w:p w14:paraId="7DB14286" w14:textId="77777777" w:rsidR="00EF3470" w:rsidRDefault="00000000">
      <w:pPr>
        <w:rPr>
          <w:sz w:val="24"/>
        </w:rPr>
      </w:pPr>
      <w:r>
        <w:rPr>
          <w:rFonts w:hint="eastAsia"/>
          <w:sz w:val="24"/>
        </w:rPr>
        <w:t xml:space="preserve">    </w:t>
      </w:r>
      <w:r>
        <w:rPr>
          <w:rFonts w:hint="eastAsia"/>
          <w:sz w:val="24"/>
        </w:rPr>
        <w:t>一、部门预算项目支出绩效自评表</w:t>
      </w:r>
    </w:p>
    <w:p w14:paraId="145201EC" w14:textId="77777777" w:rsidR="00EF3470" w:rsidRDefault="00000000">
      <w:pPr>
        <w:pStyle w:val="TOC1"/>
        <w:adjustRightInd w:val="0"/>
        <w:snapToGrid w:val="0"/>
        <w:spacing w:before="0" w:line="440" w:lineRule="exact"/>
        <w:jc w:val="left"/>
        <w:rPr>
          <w:rFonts w:cstheme="minorBidi" w:hint="eastAsia"/>
          <w:sz w:val="24"/>
          <w:szCs w:val="24"/>
        </w:rPr>
      </w:pPr>
      <w:r>
        <w:rPr>
          <w:rFonts w:hint="eastAsia"/>
          <w:sz w:val="24"/>
        </w:rPr>
        <w:t>第五部分</w:t>
      </w:r>
      <w:r>
        <w:rPr>
          <w:sz w:val="24"/>
        </w:rPr>
        <w:t xml:space="preserve"> </w:t>
      </w:r>
      <w:r>
        <w:rPr>
          <w:rFonts w:hint="eastAsia"/>
          <w:sz w:val="24"/>
        </w:rPr>
        <w:t>附表</w:t>
      </w:r>
    </w:p>
    <w:p w14:paraId="29207C4C" w14:textId="77777777" w:rsidR="00EF3470" w:rsidRDefault="00000000">
      <w:pPr>
        <w:pStyle w:val="TOC2"/>
        <w:adjustRightInd w:val="0"/>
        <w:snapToGrid w:val="0"/>
        <w:spacing w:line="440" w:lineRule="exact"/>
        <w:jc w:val="left"/>
        <w:rPr>
          <w:sz w:val="24"/>
        </w:rPr>
      </w:pPr>
      <w:r>
        <w:rPr>
          <w:rFonts w:hint="eastAsia"/>
          <w:sz w:val="24"/>
        </w:rPr>
        <w:t>一、收入支出决算总表</w:t>
      </w:r>
    </w:p>
    <w:p w14:paraId="5E4D46F9" w14:textId="77777777" w:rsidR="00EF3470" w:rsidRDefault="00000000">
      <w:pPr>
        <w:pStyle w:val="TOC2"/>
        <w:adjustRightInd w:val="0"/>
        <w:snapToGrid w:val="0"/>
        <w:spacing w:line="440" w:lineRule="exact"/>
        <w:jc w:val="left"/>
        <w:rPr>
          <w:sz w:val="24"/>
        </w:rPr>
      </w:pPr>
      <w:r>
        <w:rPr>
          <w:rFonts w:hint="eastAsia"/>
          <w:sz w:val="24"/>
        </w:rPr>
        <w:t>二、收入决算表</w:t>
      </w:r>
    </w:p>
    <w:p w14:paraId="55A8B6B7" w14:textId="77777777" w:rsidR="00EF3470" w:rsidRDefault="00000000">
      <w:pPr>
        <w:pStyle w:val="TOC2"/>
        <w:adjustRightInd w:val="0"/>
        <w:snapToGrid w:val="0"/>
        <w:spacing w:line="440" w:lineRule="exact"/>
        <w:jc w:val="left"/>
        <w:rPr>
          <w:sz w:val="24"/>
        </w:rPr>
      </w:pPr>
      <w:r>
        <w:rPr>
          <w:rFonts w:hint="eastAsia"/>
          <w:sz w:val="24"/>
        </w:rPr>
        <w:t>三、支出决算表</w:t>
      </w:r>
    </w:p>
    <w:p w14:paraId="447678C6" w14:textId="77777777" w:rsidR="00EF3470" w:rsidRDefault="00000000">
      <w:pPr>
        <w:pStyle w:val="TOC2"/>
        <w:adjustRightInd w:val="0"/>
        <w:snapToGrid w:val="0"/>
        <w:spacing w:line="440" w:lineRule="exact"/>
        <w:jc w:val="left"/>
        <w:rPr>
          <w:sz w:val="24"/>
        </w:rPr>
      </w:pPr>
      <w:r>
        <w:rPr>
          <w:rFonts w:hint="eastAsia"/>
          <w:sz w:val="24"/>
        </w:rPr>
        <w:t>四、财政拨款收入支出决算总表</w:t>
      </w:r>
    </w:p>
    <w:p w14:paraId="10042C28" w14:textId="77777777" w:rsidR="00EF3470" w:rsidRDefault="00000000">
      <w:pPr>
        <w:pStyle w:val="TOC2"/>
        <w:adjustRightInd w:val="0"/>
        <w:snapToGrid w:val="0"/>
        <w:spacing w:line="440" w:lineRule="exact"/>
        <w:jc w:val="left"/>
        <w:rPr>
          <w:sz w:val="24"/>
        </w:rPr>
      </w:pPr>
      <w:r>
        <w:rPr>
          <w:rFonts w:hint="eastAsia"/>
          <w:sz w:val="24"/>
        </w:rPr>
        <w:t>五、财政拨款支出决算明细表</w:t>
      </w:r>
    </w:p>
    <w:p w14:paraId="0B1EC769" w14:textId="77777777" w:rsidR="00EF3470" w:rsidRDefault="00000000">
      <w:pPr>
        <w:pStyle w:val="TOC2"/>
        <w:adjustRightInd w:val="0"/>
        <w:snapToGrid w:val="0"/>
        <w:spacing w:line="440" w:lineRule="exact"/>
        <w:jc w:val="left"/>
        <w:rPr>
          <w:sz w:val="24"/>
        </w:rPr>
      </w:pPr>
      <w:r>
        <w:rPr>
          <w:rFonts w:hint="eastAsia"/>
          <w:sz w:val="24"/>
        </w:rPr>
        <w:t>六、一般公共预算财政拨款支出决算表</w:t>
      </w:r>
    </w:p>
    <w:p w14:paraId="36D4C88F" w14:textId="77777777" w:rsidR="00EF3470" w:rsidRDefault="00000000">
      <w:pPr>
        <w:pStyle w:val="TOC2"/>
        <w:adjustRightInd w:val="0"/>
        <w:snapToGrid w:val="0"/>
        <w:spacing w:line="440" w:lineRule="exact"/>
        <w:jc w:val="left"/>
        <w:rPr>
          <w:sz w:val="24"/>
        </w:rPr>
      </w:pPr>
      <w:r>
        <w:rPr>
          <w:rFonts w:hint="eastAsia"/>
          <w:sz w:val="24"/>
        </w:rPr>
        <w:t>七、一般公共预算财政拨款支出决算明细表</w:t>
      </w:r>
    </w:p>
    <w:p w14:paraId="1C1EDF62" w14:textId="77777777" w:rsidR="00EF3470" w:rsidRDefault="00000000">
      <w:pPr>
        <w:pStyle w:val="TOC2"/>
        <w:adjustRightInd w:val="0"/>
        <w:snapToGrid w:val="0"/>
        <w:spacing w:line="440" w:lineRule="exact"/>
        <w:jc w:val="left"/>
        <w:rPr>
          <w:sz w:val="24"/>
        </w:rPr>
      </w:pPr>
      <w:r>
        <w:rPr>
          <w:rFonts w:hint="eastAsia"/>
          <w:sz w:val="24"/>
        </w:rPr>
        <w:t>八、一般公共预算财政拨款基本支出决算明细表</w:t>
      </w:r>
    </w:p>
    <w:p w14:paraId="676C6660" w14:textId="77777777" w:rsidR="00EF3470" w:rsidRDefault="00000000">
      <w:pPr>
        <w:pStyle w:val="TOC2"/>
        <w:adjustRightInd w:val="0"/>
        <w:snapToGrid w:val="0"/>
        <w:spacing w:line="440" w:lineRule="exact"/>
        <w:jc w:val="left"/>
        <w:rPr>
          <w:sz w:val="24"/>
        </w:rPr>
      </w:pPr>
      <w:r>
        <w:rPr>
          <w:rFonts w:hint="eastAsia"/>
          <w:sz w:val="24"/>
        </w:rPr>
        <w:lastRenderedPageBreak/>
        <w:t>九、一般公共预算财政拨款项目支出决算表</w:t>
      </w:r>
    </w:p>
    <w:p w14:paraId="44A05E6C" w14:textId="77777777" w:rsidR="00EF3470" w:rsidRDefault="00000000">
      <w:pPr>
        <w:pStyle w:val="TOC2"/>
        <w:adjustRightInd w:val="0"/>
        <w:snapToGrid w:val="0"/>
        <w:spacing w:line="440" w:lineRule="exact"/>
        <w:jc w:val="left"/>
        <w:rPr>
          <w:sz w:val="24"/>
        </w:rPr>
      </w:pPr>
      <w:r>
        <w:rPr>
          <w:rFonts w:hint="eastAsia"/>
          <w:sz w:val="24"/>
        </w:rPr>
        <w:t>十、政府性基金预算财政拨款收入支出决算表</w:t>
      </w:r>
    </w:p>
    <w:p w14:paraId="57531E23" w14:textId="77777777" w:rsidR="00EF3470" w:rsidRDefault="00000000">
      <w:pPr>
        <w:pStyle w:val="TOC2"/>
        <w:adjustRightInd w:val="0"/>
        <w:snapToGrid w:val="0"/>
        <w:spacing w:line="440" w:lineRule="exact"/>
        <w:jc w:val="left"/>
        <w:rPr>
          <w:sz w:val="24"/>
        </w:rPr>
      </w:pPr>
      <w:r>
        <w:rPr>
          <w:rFonts w:hint="eastAsia"/>
          <w:sz w:val="24"/>
        </w:rPr>
        <w:t>十一、国有资本经营预算财政拨款收入支出决算表</w:t>
      </w:r>
    </w:p>
    <w:p w14:paraId="2AB81ACE" w14:textId="77777777" w:rsidR="00EF3470" w:rsidRDefault="00000000">
      <w:pPr>
        <w:pStyle w:val="TOC2"/>
        <w:adjustRightInd w:val="0"/>
        <w:snapToGrid w:val="0"/>
        <w:spacing w:line="440" w:lineRule="exact"/>
        <w:jc w:val="left"/>
        <w:rPr>
          <w:sz w:val="24"/>
        </w:rPr>
      </w:pPr>
      <w:r>
        <w:rPr>
          <w:rFonts w:hint="eastAsia"/>
          <w:sz w:val="24"/>
        </w:rPr>
        <w:t>十二、国有资本经营预算财政拨款支出决算表</w:t>
      </w:r>
    </w:p>
    <w:p w14:paraId="31629BFC" w14:textId="2AD69D13" w:rsidR="00EF3470" w:rsidRPr="001B52AE" w:rsidRDefault="00000000" w:rsidP="001B52AE">
      <w:pPr>
        <w:pStyle w:val="TOC2"/>
        <w:adjustRightInd w:val="0"/>
        <w:snapToGrid w:val="0"/>
        <w:spacing w:line="440" w:lineRule="exact"/>
        <w:jc w:val="left"/>
        <w:rPr>
          <w:sz w:val="24"/>
        </w:rPr>
      </w:pPr>
      <w:r>
        <w:rPr>
          <w:rFonts w:hint="eastAsia"/>
          <w:sz w:val="24"/>
        </w:rPr>
        <w:t>十三、财政拨款“三公”经费支出决算</w:t>
      </w:r>
      <w:bookmarkStart w:id="12" w:name="_Toc15396599"/>
      <w:bookmarkStart w:id="13" w:name="_Toc15377196"/>
    </w:p>
    <w:p w14:paraId="2F06D589" w14:textId="77777777" w:rsidR="00EF3470" w:rsidRDefault="00000000">
      <w:pPr>
        <w:pStyle w:val="1"/>
        <w:jc w:val="center"/>
        <w:rPr>
          <w:rStyle w:val="10"/>
          <w:rFonts w:ascii="黑体" w:eastAsia="黑体" w:hAnsi="黑体" w:hint="eastAsia"/>
          <w:b/>
        </w:rPr>
      </w:pPr>
      <w:r>
        <w:rPr>
          <w:rFonts w:ascii="黑体" w:eastAsia="黑体" w:hAnsi="黑体" w:hint="eastAsia"/>
          <w:b w:val="0"/>
        </w:rPr>
        <w:t>第一部分 单位</w:t>
      </w:r>
      <w:r>
        <w:rPr>
          <w:rStyle w:val="10"/>
          <w:rFonts w:ascii="黑体" w:eastAsia="黑体" w:hAnsi="黑体" w:hint="eastAsia"/>
        </w:rPr>
        <w:t>概况</w:t>
      </w:r>
      <w:bookmarkEnd w:id="12"/>
      <w:bookmarkEnd w:id="13"/>
    </w:p>
    <w:p w14:paraId="343AAB15" w14:textId="77777777" w:rsidR="00EF3470" w:rsidRDefault="00000000">
      <w:pPr>
        <w:pStyle w:val="2"/>
        <w:numPr>
          <w:ilvl w:val="0"/>
          <w:numId w:val="1"/>
        </w:numPr>
        <w:rPr>
          <w:rStyle w:val="20"/>
          <w:rFonts w:ascii="黑体" w:eastAsia="黑体" w:hAnsi="黑体" w:hint="eastAsia"/>
        </w:rPr>
      </w:pPr>
      <w:bookmarkStart w:id="14" w:name="_Toc15377197"/>
      <w:bookmarkStart w:id="15" w:name="_Toc15396600"/>
      <w:r>
        <w:rPr>
          <w:rStyle w:val="20"/>
          <w:rFonts w:ascii="黑体" w:eastAsia="黑体" w:hAnsi="黑体" w:hint="eastAsia"/>
        </w:rPr>
        <w:t>主要职责</w:t>
      </w:r>
    </w:p>
    <w:p w14:paraId="49C214F4" w14:textId="77777777" w:rsidR="00EF3470" w:rsidRDefault="00000000">
      <w:pPr>
        <w:snapToGrid w:val="0"/>
        <w:spacing w:line="520" w:lineRule="exact"/>
        <w:ind w:firstLineChars="200" w:firstLine="560"/>
        <w:rPr>
          <w:rFonts w:ascii="仿宋" w:eastAsia="仿宋" w:hAnsi="仿宋" w:hint="eastAsia"/>
          <w:sz w:val="28"/>
          <w:szCs w:val="28"/>
        </w:rPr>
      </w:pPr>
      <w:r>
        <w:rPr>
          <w:rFonts w:ascii="仿宋" w:eastAsia="仿宋" w:hAnsi="仿宋" w:hint="eastAsia"/>
          <w:sz w:val="28"/>
          <w:szCs w:val="28"/>
        </w:rPr>
        <w:t>1</w:t>
      </w:r>
      <w:r>
        <w:rPr>
          <w:rFonts w:ascii="仿宋" w:eastAsia="仿宋" w:hAnsi="仿宋"/>
          <w:sz w:val="28"/>
          <w:szCs w:val="28"/>
        </w:rPr>
        <w:t>.维护学生平等入学权利、建立控辍保学工作机制、满足需要特殊关注学生的需求等管理任务。</w:t>
      </w:r>
    </w:p>
    <w:p w14:paraId="35AAA3B1" w14:textId="77777777" w:rsidR="00EF3470" w:rsidRDefault="00000000">
      <w:pPr>
        <w:snapToGrid w:val="0"/>
        <w:spacing w:line="520" w:lineRule="exact"/>
        <w:ind w:firstLineChars="200" w:firstLine="560"/>
        <w:rPr>
          <w:rFonts w:ascii="仿宋" w:eastAsia="仿宋" w:hAnsi="仿宋" w:hint="eastAsia"/>
          <w:sz w:val="28"/>
          <w:szCs w:val="28"/>
        </w:rPr>
      </w:pPr>
      <w:r>
        <w:rPr>
          <w:rFonts w:ascii="仿宋" w:eastAsia="仿宋" w:hAnsi="仿宋" w:hint="eastAsia"/>
          <w:sz w:val="28"/>
          <w:szCs w:val="28"/>
        </w:rPr>
        <w:t>2</w:t>
      </w:r>
      <w:r>
        <w:rPr>
          <w:rFonts w:ascii="仿宋" w:eastAsia="仿宋" w:hAnsi="仿宋"/>
          <w:sz w:val="28"/>
          <w:szCs w:val="28"/>
        </w:rPr>
        <w:t>.提升学生道德品质、帮助学生学会学习、增进学生身心健康、提高学生艺术素养、培养学生生活本领等管理任务。</w:t>
      </w:r>
    </w:p>
    <w:p w14:paraId="6E5688FA" w14:textId="77777777" w:rsidR="00EF3470" w:rsidRDefault="00000000">
      <w:pPr>
        <w:snapToGrid w:val="0"/>
        <w:spacing w:line="520" w:lineRule="exact"/>
        <w:ind w:firstLineChars="200" w:firstLine="560"/>
        <w:rPr>
          <w:rFonts w:ascii="仿宋" w:eastAsia="仿宋" w:hAnsi="仿宋" w:hint="eastAsia"/>
          <w:sz w:val="28"/>
          <w:szCs w:val="28"/>
        </w:rPr>
      </w:pPr>
      <w:r>
        <w:rPr>
          <w:rFonts w:ascii="仿宋" w:eastAsia="仿宋" w:hAnsi="仿宋" w:hint="eastAsia"/>
          <w:sz w:val="28"/>
          <w:szCs w:val="28"/>
        </w:rPr>
        <w:t>3</w:t>
      </w:r>
      <w:r>
        <w:rPr>
          <w:rFonts w:ascii="仿宋" w:eastAsia="仿宋" w:hAnsi="仿宋"/>
          <w:sz w:val="28"/>
          <w:szCs w:val="28"/>
        </w:rPr>
        <w:t>.加强教师管理和职业道德建设、提高教师教育教学能力、建立教师专业发展支持体系等管理任务。</w:t>
      </w:r>
    </w:p>
    <w:p w14:paraId="08D1CA32" w14:textId="77777777" w:rsidR="00EF3470" w:rsidRDefault="00000000">
      <w:pPr>
        <w:snapToGrid w:val="0"/>
        <w:spacing w:line="520" w:lineRule="exact"/>
        <w:ind w:firstLineChars="200" w:firstLine="560"/>
        <w:rPr>
          <w:rFonts w:ascii="仿宋" w:eastAsia="仿宋" w:hAnsi="仿宋" w:hint="eastAsia"/>
          <w:sz w:val="28"/>
          <w:szCs w:val="28"/>
        </w:rPr>
      </w:pPr>
      <w:r>
        <w:rPr>
          <w:rFonts w:ascii="仿宋" w:eastAsia="仿宋" w:hAnsi="仿宋" w:hint="eastAsia"/>
          <w:sz w:val="28"/>
          <w:szCs w:val="28"/>
        </w:rPr>
        <w:t>4</w:t>
      </w:r>
      <w:r>
        <w:rPr>
          <w:rFonts w:ascii="仿宋" w:eastAsia="仿宋" w:hAnsi="仿宋"/>
          <w:sz w:val="28"/>
          <w:szCs w:val="28"/>
        </w:rPr>
        <w:t>.建设适合学生发展的课程体系，实施以学生发展为本的教学，建立促进学生发展的评价体系，提供便利实用的教学资源等管理任务</w:t>
      </w:r>
      <w:r>
        <w:rPr>
          <w:rFonts w:ascii="仿宋" w:eastAsia="仿宋" w:hAnsi="仿宋" w:hint="eastAsia"/>
          <w:sz w:val="28"/>
          <w:szCs w:val="28"/>
        </w:rPr>
        <w:t>。</w:t>
      </w:r>
    </w:p>
    <w:p w14:paraId="73469EE0" w14:textId="77777777" w:rsidR="00EF3470" w:rsidRDefault="00000000">
      <w:pPr>
        <w:snapToGrid w:val="0"/>
        <w:spacing w:line="520" w:lineRule="exact"/>
        <w:ind w:firstLineChars="200" w:firstLine="560"/>
        <w:rPr>
          <w:rFonts w:ascii="仿宋" w:eastAsia="仿宋" w:hAnsi="仿宋" w:hint="eastAsia"/>
          <w:sz w:val="28"/>
          <w:szCs w:val="28"/>
        </w:rPr>
      </w:pPr>
      <w:r>
        <w:rPr>
          <w:rFonts w:ascii="仿宋" w:eastAsia="仿宋" w:hAnsi="仿宋" w:hint="eastAsia"/>
          <w:sz w:val="28"/>
          <w:szCs w:val="28"/>
        </w:rPr>
        <w:t>5</w:t>
      </w:r>
      <w:r>
        <w:rPr>
          <w:rFonts w:ascii="仿宋" w:eastAsia="仿宋" w:hAnsi="仿宋"/>
          <w:sz w:val="28"/>
          <w:szCs w:val="28"/>
        </w:rPr>
        <w:t>.建立切实可行的安全与健康管理制度、建设安全卫生的学校基础设施、开展以生活技能为基础的安全健康教育、营造健康向上的学校文化等管理任务。</w:t>
      </w:r>
    </w:p>
    <w:p w14:paraId="7749F8D9" w14:textId="77777777" w:rsidR="00EF3470" w:rsidRDefault="00000000">
      <w:pPr>
        <w:snapToGrid w:val="0"/>
        <w:spacing w:line="520" w:lineRule="exact"/>
        <w:ind w:firstLineChars="200" w:firstLine="560"/>
      </w:pPr>
      <w:r>
        <w:rPr>
          <w:rFonts w:ascii="仿宋" w:eastAsia="仿宋" w:hAnsi="仿宋" w:hint="eastAsia"/>
          <w:sz w:val="28"/>
          <w:szCs w:val="28"/>
        </w:rPr>
        <w:t>6</w:t>
      </w:r>
      <w:r>
        <w:rPr>
          <w:rFonts w:ascii="仿宋" w:eastAsia="仿宋" w:hAnsi="仿宋"/>
          <w:sz w:val="28"/>
          <w:szCs w:val="28"/>
        </w:rPr>
        <w:t>.依法科学管理能力，建立健全民主管理制度，构建和谐的家庭、学校、社区合作关系等管理任务。</w:t>
      </w:r>
    </w:p>
    <w:p w14:paraId="6BDC983D" w14:textId="77777777" w:rsidR="00EF3470" w:rsidRDefault="00000000">
      <w:pPr>
        <w:pStyle w:val="2"/>
        <w:rPr>
          <w:rFonts w:ascii="黑体" w:eastAsia="黑体" w:hAnsi="黑体" w:hint="eastAsia"/>
          <w:b w:val="0"/>
        </w:rPr>
      </w:pPr>
      <w:r>
        <w:rPr>
          <w:rFonts w:ascii="黑体" w:eastAsia="黑体" w:hAnsi="黑体" w:hint="eastAsia"/>
          <w:b w:val="0"/>
        </w:rPr>
        <w:t>二、机构设置</w:t>
      </w:r>
    </w:p>
    <w:bookmarkEnd w:id="14"/>
    <w:bookmarkEnd w:id="15"/>
    <w:p w14:paraId="08C93C4C" w14:textId="055B5E40" w:rsidR="00EF3470" w:rsidRDefault="00000000">
      <w:pPr>
        <w:widowControl/>
        <w:ind w:firstLineChars="200" w:firstLine="560"/>
        <w:jc w:val="left"/>
        <w:rPr>
          <w:rFonts w:ascii="仿宋" w:eastAsia="仿宋" w:hAnsi="仿宋" w:hint="eastAsia"/>
          <w:kern w:val="0"/>
          <w:sz w:val="32"/>
          <w:szCs w:val="32"/>
        </w:rPr>
      </w:pPr>
      <w:r>
        <w:rPr>
          <w:rFonts w:asciiTheme="minorEastAsia" w:eastAsiaTheme="minorEastAsia" w:hAnsiTheme="minorEastAsia" w:cstheme="minorEastAsia" w:hint="eastAsia"/>
          <w:sz w:val="28"/>
          <w:szCs w:val="28"/>
        </w:rPr>
        <w:t>广元市利州区兴安初级中学隶属广元市利州区教育局下属二级预算单位，编制50名，其中事业编制50名。</w:t>
      </w:r>
      <w:r>
        <w:rPr>
          <w:rFonts w:asciiTheme="minorEastAsia" w:eastAsiaTheme="minorEastAsia" w:hAnsiTheme="minorEastAsia" w:cstheme="minorEastAsia" w:hint="eastAsia"/>
          <w:color w:val="000000" w:themeColor="text1"/>
          <w:sz w:val="28"/>
          <w:szCs w:val="28"/>
        </w:rPr>
        <w:t>在职人员</w:t>
      </w:r>
      <w:r w:rsidR="001B52AE">
        <w:rPr>
          <w:rFonts w:asciiTheme="minorEastAsia" w:eastAsiaTheme="minorEastAsia" w:hAnsiTheme="minorEastAsia" w:cstheme="minorEastAsia" w:hint="eastAsia"/>
          <w:color w:val="000000" w:themeColor="text1"/>
          <w:sz w:val="28"/>
          <w:szCs w:val="28"/>
        </w:rPr>
        <w:t>117</w:t>
      </w:r>
      <w:r>
        <w:rPr>
          <w:rFonts w:asciiTheme="minorEastAsia" w:eastAsiaTheme="minorEastAsia" w:hAnsiTheme="minorEastAsia" w:cstheme="minorEastAsia" w:hint="eastAsia"/>
          <w:color w:val="000000" w:themeColor="text1"/>
          <w:sz w:val="28"/>
          <w:szCs w:val="28"/>
        </w:rPr>
        <w:t>人，其</w:t>
      </w:r>
      <w:r>
        <w:rPr>
          <w:rFonts w:asciiTheme="minorEastAsia" w:eastAsiaTheme="minorEastAsia" w:hAnsiTheme="minorEastAsia" w:cstheme="minorEastAsia" w:hint="eastAsia"/>
          <w:color w:val="000000" w:themeColor="text1"/>
          <w:sz w:val="28"/>
          <w:szCs w:val="28"/>
        </w:rPr>
        <w:lastRenderedPageBreak/>
        <w:t>中事业人员</w:t>
      </w:r>
      <w:r w:rsidR="001B52AE">
        <w:rPr>
          <w:rFonts w:asciiTheme="minorEastAsia" w:eastAsiaTheme="minorEastAsia" w:hAnsiTheme="minorEastAsia" w:cstheme="minorEastAsia" w:hint="eastAsia"/>
          <w:color w:val="000000" w:themeColor="text1"/>
          <w:sz w:val="28"/>
          <w:szCs w:val="28"/>
        </w:rPr>
        <w:t>117</w:t>
      </w:r>
      <w:r>
        <w:rPr>
          <w:rFonts w:asciiTheme="minorEastAsia" w:eastAsiaTheme="minorEastAsia" w:hAnsiTheme="minorEastAsia" w:cstheme="minorEastAsia" w:hint="eastAsia"/>
          <w:color w:val="000000" w:themeColor="text1"/>
          <w:sz w:val="28"/>
          <w:szCs w:val="28"/>
        </w:rPr>
        <w:t>人。学校下设党政办公室、教务处</w:t>
      </w:r>
      <w:r>
        <w:rPr>
          <w:rFonts w:asciiTheme="minorEastAsia" w:eastAsiaTheme="minorEastAsia" w:hAnsiTheme="minorEastAsia" w:cstheme="minorEastAsia" w:hint="eastAsia"/>
          <w:sz w:val="28"/>
          <w:szCs w:val="28"/>
        </w:rPr>
        <w:t>处、德育处、团委、总务财务室五个部门。</w:t>
      </w:r>
      <w:r>
        <w:rPr>
          <w:rFonts w:ascii="仿宋" w:eastAsia="仿宋" w:hAnsi="仿宋"/>
          <w:sz w:val="32"/>
          <w:szCs w:val="32"/>
        </w:rPr>
        <w:br w:type="page"/>
      </w:r>
    </w:p>
    <w:p w14:paraId="2B1AE4E3" w14:textId="71221D7B" w:rsidR="00EF3470" w:rsidRDefault="00000000">
      <w:pPr>
        <w:pStyle w:val="1"/>
        <w:ind w:right="440"/>
        <w:jc w:val="center"/>
        <w:rPr>
          <w:rStyle w:val="10"/>
          <w:rFonts w:ascii="黑体" w:eastAsia="黑体" w:hAnsi="黑体" w:hint="eastAsia"/>
          <w:bCs/>
        </w:rPr>
      </w:pPr>
      <w:bookmarkStart w:id="16" w:name="_Toc15396602"/>
      <w:bookmarkStart w:id="17" w:name="_Toc15377204"/>
      <w:r>
        <w:rPr>
          <w:rFonts w:ascii="黑体" w:eastAsia="黑体" w:hAnsi="黑体" w:hint="eastAsia"/>
          <w:b w:val="0"/>
        </w:rPr>
        <w:lastRenderedPageBreak/>
        <w:t xml:space="preserve">第二部分 </w:t>
      </w:r>
      <w:r w:rsidR="007E7B8B">
        <w:rPr>
          <w:rFonts w:ascii="黑体" w:eastAsia="黑体" w:hAnsi="黑体" w:hint="eastAsia"/>
          <w:b w:val="0"/>
        </w:rPr>
        <w:t>2023</w:t>
      </w:r>
      <w:r>
        <w:rPr>
          <w:rFonts w:ascii="黑体" w:eastAsia="黑体" w:hAnsi="黑体" w:hint="eastAsia"/>
          <w:b w:val="0"/>
        </w:rPr>
        <w:t>年度</w:t>
      </w:r>
      <w:r>
        <w:rPr>
          <w:rStyle w:val="10"/>
          <w:rFonts w:ascii="黑体" w:eastAsia="黑体" w:hAnsi="黑体" w:hint="eastAsia"/>
          <w:bCs/>
        </w:rPr>
        <w:t>单位决算情况说明</w:t>
      </w:r>
      <w:bookmarkEnd w:id="16"/>
      <w:bookmarkEnd w:id="17"/>
    </w:p>
    <w:p w14:paraId="41CB918F" w14:textId="77777777" w:rsidR="00EF3470" w:rsidRDefault="00EF3470"/>
    <w:p w14:paraId="399C0486" w14:textId="77777777" w:rsidR="00EF3470" w:rsidRDefault="00000000">
      <w:pPr>
        <w:pStyle w:val="ad"/>
        <w:numPr>
          <w:ilvl w:val="0"/>
          <w:numId w:val="2"/>
        </w:numPr>
        <w:spacing w:line="600" w:lineRule="exact"/>
        <w:ind w:firstLineChars="0"/>
        <w:outlineLvl w:val="1"/>
        <w:rPr>
          <w:rStyle w:val="20"/>
          <w:rFonts w:ascii="黑体" w:eastAsia="黑体" w:hAnsi="黑体" w:hint="eastAsia"/>
          <w:b w:val="0"/>
        </w:rPr>
      </w:pPr>
      <w:bookmarkStart w:id="18" w:name="_Toc15396603"/>
      <w:bookmarkStart w:id="19" w:name="_Toc15377205"/>
      <w:r>
        <w:rPr>
          <w:rFonts w:ascii="黑体" w:eastAsia="黑体" w:hAnsi="黑体" w:hint="eastAsia"/>
          <w:sz w:val="32"/>
          <w:szCs w:val="32"/>
        </w:rPr>
        <w:t>收</w:t>
      </w:r>
      <w:r>
        <w:rPr>
          <w:rStyle w:val="20"/>
          <w:rFonts w:ascii="黑体" w:eastAsia="黑体" w:hAnsi="黑体" w:hint="eastAsia"/>
          <w:b w:val="0"/>
        </w:rPr>
        <w:t>入支出决算总体情况说明</w:t>
      </w:r>
      <w:bookmarkEnd w:id="18"/>
      <w:bookmarkEnd w:id="19"/>
    </w:p>
    <w:p w14:paraId="1EE9B069" w14:textId="6E7BDD4B" w:rsidR="00EF3470" w:rsidRDefault="00215513" w:rsidP="00215513">
      <w:pPr>
        <w:spacing w:line="600" w:lineRule="exact"/>
        <w:ind w:firstLineChars="200" w:firstLine="640"/>
        <w:rPr>
          <w:rFonts w:ascii="仿宋" w:eastAsia="仿宋" w:hAnsi="仿宋" w:hint="eastAsia"/>
          <w:sz w:val="32"/>
          <w:szCs w:val="32"/>
        </w:rPr>
      </w:pPr>
      <w:r>
        <w:rPr>
          <w:rFonts w:ascii="仿宋_GB2312" w:eastAsia="仿宋_GB2312"/>
          <w:noProof/>
          <w:sz w:val="32"/>
          <w:szCs w:val="32"/>
        </w:rPr>
        <w:drawing>
          <wp:anchor distT="0" distB="0" distL="114300" distR="114300" simplePos="0" relativeHeight="251654656" behindDoc="1" locked="0" layoutInCell="1" allowOverlap="1" wp14:anchorId="0B9CC4DF" wp14:editId="2DEBB740">
            <wp:simplePos x="0" y="0"/>
            <wp:positionH relativeFrom="column">
              <wp:posOffset>219075</wp:posOffset>
            </wp:positionH>
            <wp:positionV relativeFrom="paragraph">
              <wp:posOffset>1343025</wp:posOffset>
            </wp:positionV>
            <wp:extent cx="5118100" cy="2514600"/>
            <wp:effectExtent l="0" t="0" r="6350" b="0"/>
            <wp:wrapTight wrapText="bothSides">
              <wp:wrapPolygon edited="0">
                <wp:start x="0" y="0"/>
                <wp:lineTo x="0" y="21436"/>
                <wp:lineTo x="21546" y="21436"/>
                <wp:lineTo x="21546"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7E7B8B">
        <w:rPr>
          <w:rFonts w:ascii="仿宋" w:eastAsia="仿宋" w:hAnsi="仿宋" w:hint="eastAsia"/>
          <w:sz w:val="32"/>
          <w:szCs w:val="32"/>
        </w:rPr>
        <w:t>2023</w:t>
      </w:r>
      <w:r>
        <w:rPr>
          <w:rFonts w:ascii="仿宋" w:eastAsia="仿宋" w:hAnsi="仿宋" w:hint="eastAsia"/>
          <w:sz w:val="32"/>
          <w:szCs w:val="32"/>
        </w:rPr>
        <w:t>年度收、支总计</w:t>
      </w:r>
      <w:r w:rsidR="002E505D" w:rsidRPr="002E505D">
        <w:rPr>
          <w:rFonts w:ascii="仿宋" w:eastAsia="仿宋" w:hAnsi="仿宋"/>
          <w:sz w:val="32"/>
          <w:szCs w:val="32"/>
        </w:rPr>
        <w:t>2,022.46</w:t>
      </w:r>
      <w:r>
        <w:rPr>
          <w:rFonts w:ascii="仿宋" w:eastAsia="仿宋" w:hAnsi="仿宋" w:hint="eastAsia"/>
          <w:sz w:val="32"/>
          <w:szCs w:val="32"/>
        </w:rPr>
        <w:t>万元。与</w:t>
      </w:r>
      <w:r w:rsidR="007E7B8B">
        <w:rPr>
          <w:rFonts w:ascii="仿宋" w:eastAsia="仿宋" w:hAnsi="仿宋" w:hint="eastAsia"/>
          <w:sz w:val="32"/>
          <w:szCs w:val="32"/>
        </w:rPr>
        <w:t>2022</w:t>
      </w:r>
      <w:r>
        <w:rPr>
          <w:rFonts w:ascii="仿宋" w:eastAsia="仿宋" w:hAnsi="仿宋" w:hint="eastAsia"/>
          <w:sz w:val="32"/>
          <w:szCs w:val="32"/>
        </w:rPr>
        <w:t>年相比，收、支总计各减少</w:t>
      </w:r>
      <w:r w:rsidR="002E505D">
        <w:rPr>
          <w:rFonts w:ascii="仿宋" w:eastAsia="仿宋" w:hAnsi="仿宋" w:hint="eastAsia"/>
          <w:sz w:val="32"/>
          <w:szCs w:val="32"/>
        </w:rPr>
        <w:t>266.18</w:t>
      </w:r>
      <w:r>
        <w:rPr>
          <w:rFonts w:ascii="仿宋" w:eastAsia="仿宋" w:hAnsi="仿宋" w:hint="eastAsia"/>
          <w:sz w:val="32"/>
          <w:szCs w:val="32"/>
        </w:rPr>
        <w:t>万元，下降</w:t>
      </w:r>
      <w:r w:rsidR="002E505D">
        <w:rPr>
          <w:rFonts w:ascii="仿宋" w:eastAsia="仿宋" w:hAnsi="仿宋" w:hint="eastAsia"/>
          <w:sz w:val="32"/>
          <w:szCs w:val="32"/>
        </w:rPr>
        <w:t>11.63</w:t>
      </w:r>
      <w:r>
        <w:rPr>
          <w:rFonts w:ascii="仿宋" w:eastAsia="仿宋" w:hAnsi="仿宋"/>
          <w:sz w:val="32"/>
          <w:szCs w:val="32"/>
        </w:rPr>
        <w:t>%</w:t>
      </w:r>
      <w:r>
        <w:rPr>
          <w:rFonts w:ascii="仿宋" w:eastAsia="仿宋" w:hAnsi="仿宋" w:hint="eastAsia"/>
          <w:sz w:val="32"/>
          <w:szCs w:val="32"/>
        </w:rPr>
        <w:t>。主要变动原因是</w:t>
      </w:r>
      <w:r w:rsidR="007E7B8B">
        <w:rPr>
          <w:rFonts w:ascii="仿宋" w:eastAsia="仿宋" w:hAnsi="仿宋" w:hint="eastAsia"/>
          <w:sz w:val="32"/>
          <w:szCs w:val="32"/>
        </w:rPr>
        <w:t>2023</w:t>
      </w:r>
      <w:r>
        <w:rPr>
          <w:rFonts w:ascii="仿宋" w:eastAsia="仿宋" w:hAnsi="仿宋" w:hint="eastAsia"/>
          <w:sz w:val="32"/>
          <w:szCs w:val="32"/>
        </w:rPr>
        <w:t>年建设项目完工，项目投入资金减少。</w:t>
      </w:r>
    </w:p>
    <w:p w14:paraId="7274FC79" w14:textId="737F9C56" w:rsidR="000156FA" w:rsidRPr="00215513" w:rsidRDefault="00000000" w:rsidP="00215513">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14:paraId="69188725" w14:textId="77777777" w:rsidR="00EF3470" w:rsidRDefault="00000000">
      <w:pPr>
        <w:pStyle w:val="ad"/>
        <w:numPr>
          <w:ilvl w:val="0"/>
          <w:numId w:val="2"/>
        </w:numPr>
        <w:spacing w:line="600" w:lineRule="exact"/>
        <w:ind w:firstLineChars="0"/>
        <w:outlineLvl w:val="1"/>
        <w:rPr>
          <w:rStyle w:val="20"/>
          <w:rFonts w:ascii="黑体" w:eastAsia="黑体" w:hAnsi="黑体" w:hint="eastAsia"/>
          <w:b w:val="0"/>
        </w:rPr>
      </w:pPr>
      <w:bookmarkStart w:id="20" w:name="_Toc15396604"/>
      <w:bookmarkStart w:id="21" w:name="_Toc15377206"/>
      <w:r>
        <w:rPr>
          <w:rFonts w:ascii="黑体" w:eastAsia="黑体" w:hAnsi="黑体" w:hint="eastAsia"/>
          <w:sz w:val="32"/>
          <w:szCs w:val="32"/>
        </w:rPr>
        <w:t>收</w:t>
      </w:r>
      <w:r>
        <w:rPr>
          <w:rStyle w:val="20"/>
          <w:rFonts w:ascii="黑体" w:eastAsia="黑体" w:hAnsi="黑体" w:hint="eastAsia"/>
          <w:b w:val="0"/>
        </w:rPr>
        <w:t>入决算情况说明</w:t>
      </w:r>
      <w:bookmarkEnd w:id="20"/>
      <w:bookmarkEnd w:id="21"/>
    </w:p>
    <w:p w14:paraId="1561A77F" w14:textId="4C7B96A5" w:rsidR="000156FA" w:rsidRDefault="007E7B8B" w:rsidP="000156FA">
      <w:pPr>
        <w:spacing w:line="600" w:lineRule="exact"/>
        <w:ind w:firstLineChars="200" w:firstLine="640"/>
        <w:outlineLvl w:val="1"/>
        <w:rPr>
          <w:rFonts w:ascii="仿宋" w:eastAsia="仿宋" w:hAnsi="仿宋" w:hint="eastAsia"/>
          <w:b/>
          <w:sz w:val="32"/>
          <w:szCs w:val="32"/>
        </w:rPr>
      </w:pPr>
      <w:r>
        <w:rPr>
          <w:rFonts w:ascii="仿宋" w:eastAsia="仿宋" w:hAnsi="仿宋"/>
          <w:sz w:val="32"/>
          <w:szCs w:val="32"/>
        </w:rPr>
        <w:t>2023</w:t>
      </w:r>
      <w:r>
        <w:rPr>
          <w:rFonts w:ascii="仿宋" w:eastAsia="仿宋" w:hAnsi="仿宋" w:hint="eastAsia"/>
          <w:sz w:val="32"/>
          <w:szCs w:val="32"/>
        </w:rPr>
        <w:t>年本年收入</w:t>
      </w:r>
      <w:r w:rsidR="000156FA" w:rsidRPr="000156FA">
        <w:rPr>
          <w:rFonts w:ascii="仿宋" w:eastAsia="仿宋" w:hAnsi="仿宋"/>
          <w:sz w:val="32"/>
          <w:szCs w:val="32"/>
        </w:rPr>
        <w:t>2,022.46</w:t>
      </w:r>
      <w:r>
        <w:rPr>
          <w:rFonts w:ascii="仿宋" w:eastAsia="仿宋" w:hAnsi="仿宋" w:hint="eastAsia"/>
          <w:sz w:val="32"/>
          <w:szCs w:val="32"/>
        </w:rPr>
        <w:t>万元，其中：一般公共预算财政拨款收入</w:t>
      </w:r>
      <w:r w:rsidR="000156FA" w:rsidRPr="000156FA">
        <w:rPr>
          <w:rFonts w:ascii="仿宋" w:eastAsia="仿宋" w:hAnsi="仿宋"/>
          <w:sz w:val="32"/>
          <w:szCs w:val="32"/>
        </w:rPr>
        <w:t>1,747.36</w:t>
      </w:r>
      <w:r>
        <w:rPr>
          <w:rFonts w:ascii="仿宋" w:eastAsia="仿宋" w:hAnsi="仿宋" w:hint="eastAsia"/>
          <w:sz w:val="32"/>
          <w:szCs w:val="32"/>
        </w:rPr>
        <w:t>万元，占</w:t>
      </w:r>
      <w:r w:rsidR="000156FA">
        <w:rPr>
          <w:rFonts w:ascii="仿宋" w:eastAsia="仿宋" w:hAnsi="仿宋" w:hint="eastAsia"/>
          <w:sz w:val="32"/>
          <w:szCs w:val="32"/>
        </w:rPr>
        <w:t>86.40</w:t>
      </w:r>
      <w:r>
        <w:rPr>
          <w:rFonts w:ascii="仿宋" w:eastAsia="仿宋" w:hAnsi="仿宋"/>
          <w:sz w:val="32"/>
          <w:szCs w:val="32"/>
        </w:rPr>
        <w:t>%</w:t>
      </w:r>
      <w:r>
        <w:rPr>
          <w:rFonts w:ascii="仿宋" w:eastAsia="仿宋" w:hAnsi="仿宋" w:hint="eastAsia"/>
          <w:sz w:val="32"/>
          <w:szCs w:val="32"/>
        </w:rPr>
        <w:t>；事业收入</w:t>
      </w:r>
      <w:r w:rsidR="000156FA" w:rsidRPr="000156FA">
        <w:rPr>
          <w:rFonts w:ascii="仿宋" w:eastAsia="仿宋" w:hAnsi="仿宋"/>
          <w:sz w:val="32"/>
          <w:szCs w:val="32"/>
        </w:rPr>
        <w:t>131.70</w:t>
      </w:r>
      <w:r>
        <w:rPr>
          <w:rFonts w:ascii="仿宋" w:eastAsia="仿宋" w:hAnsi="仿宋" w:hint="eastAsia"/>
          <w:sz w:val="32"/>
          <w:szCs w:val="32"/>
        </w:rPr>
        <w:t>万元，占</w:t>
      </w:r>
      <w:r w:rsidR="000156FA">
        <w:rPr>
          <w:rFonts w:ascii="仿宋" w:eastAsia="仿宋" w:hAnsi="仿宋" w:hint="eastAsia"/>
          <w:sz w:val="32"/>
          <w:szCs w:val="32"/>
        </w:rPr>
        <w:t>6.51</w:t>
      </w:r>
      <w:r>
        <w:rPr>
          <w:rFonts w:ascii="仿宋" w:eastAsia="仿宋" w:hAnsi="仿宋"/>
          <w:sz w:val="32"/>
          <w:szCs w:val="32"/>
        </w:rPr>
        <w:t>%</w:t>
      </w:r>
      <w:r>
        <w:rPr>
          <w:rFonts w:ascii="仿宋" w:eastAsia="仿宋" w:hAnsi="仿宋" w:hint="eastAsia"/>
          <w:sz w:val="32"/>
          <w:szCs w:val="32"/>
        </w:rPr>
        <w:t>；其他收入</w:t>
      </w:r>
      <w:r w:rsidR="000156FA" w:rsidRPr="000156FA">
        <w:rPr>
          <w:rFonts w:ascii="仿宋" w:eastAsia="仿宋" w:hAnsi="仿宋"/>
          <w:sz w:val="32"/>
          <w:szCs w:val="32"/>
        </w:rPr>
        <w:t>143.40</w:t>
      </w:r>
      <w:r>
        <w:rPr>
          <w:rFonts w:ascii="仿宋" w:eastAsia="仿宋" w:hAnsi="仿宋" w:hint="eastAsia"/>
          <w:sz w:val="32"/>
          <w:szCs w:val="32"/>
        </w:rPr>
        <w:t>万元，占</w:t>
      </w:r>
      <w:r w:rsidR="000156FA">
        <w:rPr>
          <w:rFonts w:ascii="仿宋" w:eastAsia="仿宋" w:hAnsi="仿宋" w:hint="eastAsia"/>
          <w:sz w:val="32"/>
          <w:szCs w:val="32"/>
        </w:rPr>
        <w:t>7.09</w:t>
      </w:r>
      <w:r>
        <w:rPr>
          <w:rFonts w:ascii="仿宋" w:eastAsia="仿宋" w:hAnsi="仿宋"/>
          <w:sz w:val="32"/>
          <w:szCs w:val="32"/>
        </w:rPr>
        <w:t>%</w:t>
      </w:r>
      <w:r>
        <w:rPr>
          <w:rFonts w:ascii="仿宋" w:eastAsia="仿宋" w:hAnsi="仿宋" w:hint="eastAsia"/>
          <w:sz w:val="32"/>
          <w:szCs w:val="32"/>
        </w:rPr>
        <w:t>。</w:t>
      </w:r>
    </w:p>
    <w:p w14:paraId="1C1041D9" w14:textId="51332AF8" w:rsidR="000156FA" w:rsidRPr="00215513" w:rsidRDefault="00215513" w:rsidP="00215513">
      <w:pPr>
        <w:spacing w:line="600" w:lineRule="exact"/>
        <w:outlineLvl w:val="1"/>
        <w:rPr>
          <w:rFonts w:ascii="仿宋" w:eastAsia="仿宋" w:hAnsi="仿宋" w:hint="eastAsia"/>
          <w:b/>
          <w:sz w:val="32"/>
          <w:szCs w:val="32"/>
        </w:rPr>
      </w:pPr>
      <w:r>
        <w:rPr>
          <w:rFonts w:ascii="仿宋_GB2312" w:eastAsia="仿宋_GB2312"/>
          <w:noProof/>
          <w:sz w:val="32"/>
          <w:szCs w:val="32"/>
        </w:rPr>
        <w:lastRenderedPageBreak/>
        <w:drawing>
          <wp:anchor distT="0" distB="0" distL="114300" distR="114300" simplePos="0" relativeHeight="251656704" behindDoc="0" locked="0" layoutInCell="1" allowOverlap="1" wp14:anchorId="7EB0A776" wp14:editId="6347B68D">
            <wp:simplePos x="0" y="0"/>
            <wp:positionH relativeFrom="column">
              <wp:posOffset>100330</wp:posOffset>
            </wp:positionH>
            <wp:positionV relativeFrom="paragraph">
              <wp:posOffset>285750</wp:posOffset>
            </wp:positionV>
            <wp:extent cx="5195570" cy="2766695"/>
            <wp:effectExtent l="0" t="0" r="5080"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569102CB" w14:textId="74A5EA09" w:rsidR="00EF3470" w:rsidRDefault="00000000">
      <w:pPr>
        <w:spacing w:line="600" w:lineRule="exact"/>
        <w:jc w:val="center"/>
        <w:rPr>
          <w:rFonts w:ascii="仿宋" w:eastAsia="仿宋" w:hAnsi="仿宋" w:hint="eastAsia"/>
          <w:sz w:val="32"/>
          <w:szCs w:val="32"/>
        </w:rPr>
      </w:pPr>
      <w:r>
        <w:rPr>
          <w:rFonts w:ascii="仿宋" w:eastAsia="仿宋" w:hAnsi="仿宋" w:hint="eastAsia"/>
          <w:sz w:val="32"/>
          <w:szCs w:val="32"/>
        </w:rPr>
        <w:t>（图2：收入决算结构图）（饼状图）</w:t>
      </w:r>
    </w:p>
    <w:p w14:paraId="14250030" w14:textId="6022F09F" w:rsidR="00EF3470" w:rsidRDefault="00000000">
      <w:pPr>
        <w:pStyle w:val="ad"/>
        <w:numPr>
          <w:ilvl w:val="0"/>
          <w:numId w:val="2"/>
        </w:numPr>
        <w:spacing w:line="600" w:lineRule="exact"/>
        <w:ind w:firstLineChars="0"/>
        <w:outlineLvl w:val="1"/>
        <w:rPr>
          <w:rStyle w:val="20"/>
          <w:rFonts w:ascii="黑体" w:eastAsia="黑体" w:hAnsi="黑体" w:hint="eastAsia"/>
          <w:b w:val="0"/>
        </w:rPr>
      </w:pPr>
      <w:bookmarkStart w:id="22" w:name="_Toc15396605"/>
      <w:bookmarkStart w:id="23" w:name="_Toc15377207"/>
      <w:r>
        <w:rPr>
          <w:rFonts w:ascii="黑体" w:eastAsia="黑体" w:hAnsi="黑体" w:hint="eastAsia"/>
          <w:sz w:val="32"/>
          <w:szCs w:val="32"/>
        </w:rPr>
        <w:t>支</w:t>
      </w:r>
      <w:r>
        <w:rPr>
          <w:rStyle w:val="20"/>
          <w:rFonts w:ascii="黑体" w:eastAsia="黑体" w:hAnsi="黑体" w:hint="eastAsia"/>
          <w:b w:val="0"/>
        </w:rPr>
        <w:t>出决算情况说明</w:t>
      </w:r>
      <w:bookmarkEnd w:id="22"/>
      <w:bookmarkEnd w:id="23"/>
    </w:p>
    <w:p w14:paraId="248DAA7A" w14:textId="3491C02C" w:rsidR="000156FA" w:rsidRDefault="007E7B8B" w:rsidP="000156FA">
      <w:pPr>
        <w:spacing w:line="600" w:lineRule="exact"/>
        <w:ind w:firstLineChars="200" w:firstLine="640"/>
        <w:outlineLvl w:val="1"/>
        <w:rPr>
          <w:rFonts w:ascii="仿宋" w:eastAsia="仿宋" w:hAnsi="仿宋" w:hint="eastAsia"/>
          <w:sz w:val="32"/>
          <w:szCs w:val="32"/>
        </w:rPr>
      </w:pPr>
      <w:r>
        <w:rPr>
          <w:rFonts w:ascii="仿宋" w:eastAsia="仿宋" w:hAnsi="仿宋"/>
          <w:sz w:val="32"/>
          <w:szCs w:val="32"/>
        </w:rPr>
        <w:t>2023</w:t>
      </w:r>
      <w:r>
        <w:rPr>
          <w:rFonts w:ascii="仿宋" w:eastAsia="仿宋" w:hAnsi="仿宋" w:hint="eastAsia"/>
          <w:sz w:val="32"/>
          <w:szCs w:val="32"/>
        </w:rPr>
        <w:t>年本年支出合计</w:t>
      </w:r>
      <w:r w:rsidR="008A35E6" w:rsidRPr="008A35E6">
        <w:rPr>
          <w:rFonts w:ascii="仿宋" w:eastAsia="仿宋" w:hAnsi="仿宋"/>
          <w:sz w:val="32"/>
          <w:szCs w:val="32"/>
        </w:rPr>
        <w:t>2,022.46</w:t>
      </w:r>
      <w:r>
        <w:rPr>
          <w:rFonts w:ascii="仿宋" w:eastAsia="仿宋" w:hAnsi="仿宋" w:hint="eastAsia"/>
          <w:sz w:val="32"/>
          <w:szCs w:val="32"/>
        </w:rPr>
        <w:t>万元，其中：基本支出</w:t>
      </w:r>
      <w:r w:rsidR="008A35E6" w:rsidRPr="008A35E6">
        <w:rPr>
          <w:rFonts w:ascii="仿宋" w:eastAsia="仿宋" w:hAnsi="仿宋"/>
          <w:sz w:val="32"/>
          <w:szCs w:val="32"/>
        </w:rPr>
        <w:t>1,130.99</w:t>
      </w:r>
      <w:r>
        <w:rPr>
          <w:rFonts w:ascii="仿宋" w:eastAsia="仿宋" w:hAnsi="仿宋" w:hint="eastAsia"/>
          <w:sz w:val="32"/>
          <w:szCs w:val="32"/>
        </w:rPr>
        <w:t>万元，占</w:t>
      </w:r>
      <w:r w:rsidR="008A35E6">
        <w:rPr>
          <w:rFonts w:ascii="仿宋" w:eastAsia="仿宋" w:hAnsi="仿宋" w:hint="eastAsia"/>
          <w:sz w:val="32"/>
          <w:szCs w:val="32"/>
        </w:rPr>
        <w:t>55.92</w:t>
      </w:r>
      <w:r>
        <w:rPr>
          <w:rFonts w:ascii="仿宋" w:eastAsia="仿宋" w:hAnsi="仿宋"/>
          <w:sz w:val="32"/>
          <w:szCs w:val="32"/>
        </w:rPr>
        <w:t>%</w:t>
      </w:r>
      <w:r>
        <w:rPr>
          <w:rFonts w:ascii="仿宋" w:eastAsia="仿宋" w:hAnsi="仿宋" w:hint="eastAsia"/>
          <w:sz w:val="32"/>
          <w:szCs w:val="32"/>
        </w:rPr>
        <w:t>；项目支出</w:t>
      </w:r>
      <w:r w:rsidR="008A35E6" w:rsidRPr="008A35E6">
        <w:rPr>
          <w:rFonts w:ascii="仿宋" w:eastAsia="仿宋" w:hAnsi="仿宋"/>
          <w:sz w:val="32"/>
          <w:szCs w:val="32"/>
        </w:rPr>
        <w:t>891.46</w:t>
      </w:r>
      <w:r>
        <w:rPr>
          <w:rFonts w:ascii="仿宋" w:eastAsia="仿宋" w:hAnsi="仿宋" w:hint="eastAsia"/>
          <w:sz w:val="32"/>
          <w:szCs w:val="32"/>
        </w:rPr>
        <w:t>万元，占</w:t>
      </w:r>
      <w:r w:rsidR="008A35E6">
        <w:rPr>
          <w:rFonts w:ascii="仿宋" w:eastAsia="仿宋" w:hAnsi="仿宋" w:hint="eastAsia"/>
          <w:sz w:val="32"/>
          <w:szCs w:val="32"/>
        </w:rPr>
        <w:t>44.08</w:t>
      </w:r>
      <w:r>
        <w:rPr>
          <w:rFonts w:ascii="仿宋" w:eastAsia="仿宋" w:hAnsi="仿宋"/>
          <w:sz w:val="32"/>
          <w:szCs w:val="32"/>
        </w:rPr>
        <w:t>%</w:t>
      </w:r>
      <w:r>
        <w:rPr>
          <w:rFonts w:ascii="仿宋" w:eastAsia="仿宋" w:hAnsi="仿宋" w:hint="eastAsia"/>
          <w:sz w:val="32"/>
          <w:szCs w:val="32"/>
        </w:rPr>
        <w:t>。</w:t>
      </w:r>
    </w:p>
    <w:p w14:paraId="32C93A79" w14:textId="351A30E6" w:rsidR="000156FA" w:rsidRDefault="00E000F4">
      <w:pPr>
        <w:spacing w:line="600" w:lineRule="exact"/>
        <w:ind w:firstLineChars="200" w:firstLine="640"/>
        <w:outlineLvl w:val="1"/>
        <w:rPr>
          <w:rFonts w:ascii="仿宋" w:eastAsia="仿宋" w:hAnsi="仿宋" w:hint="eastAsia"/>
          <w:sz w:val="32"/>
          <w:szCs w:val="32"/>
        </w:rPr>
      </w:pPr>
      <w:r>
        <w:rPr>
          <w:rFonts w:ascii="仿宋_GB2312" w:eastAsia="仿宋_GB2312"/>
          <w:noProof/>
          <w:sz w:val="32"/>
          <w:szCs w:val="32"/>
        </w:rPr>
        <w:drawing>
          <wp:anchor distT="0" distB="0" distL="114300" distR="114300" simplePos="0" relativeHeight="251666944" behindDoc="0" locked="0" layoutInCell="1" allowOverlap="1" wp14:anchorId="48D2C417" wp14:editId="48B1E81F">
            <wp:simplePos x="0" y="0"/>
            <wp:positionH relativeFrom="column">
              <wp:posOffset>0</wp:posOffset>
            </wp:positionH>
            <wp:positionV relativeFrom="paragraph">
              <wp:posOffset>385445</wp:posOffset>
            </wp:positionV>
            <wp:extent cx="5298440" cy="2101215"/>
            <wp:effectExtent l="4445" t="4445" r="12065" b="889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p>
    <w:p w14:paraId="789781DB" w14:textId="77777777" w:rsidR="000156FA" w:rsidRDefault="000156FA" w:rsidP="008A35E6">
      <w:pPr>
        <w:spacing w:line="600" w:lineRule="exact"/>
        <w:outlineLvl w:val="1"/>
        <w:rPr>
          <w:rFonts w:ascii="仿宋" w:eastAsia="仿宋" w:hAnsi="仿宋" w:hint="eastAsia"/>
          <w:sz w:val="32"/>
          <w:szCs w:val="32"/>
        </w:rPr>
      </w:pPr>
    </w:p>
    <w:p w14:paraId="6D97EB26" w14:textId="40B7DE89" w:rsidR="00EF3470" w:rsidRDefault="00000000">
      <w:pPr>
        <w:spacing w:line="600" w:lineRule="exact"/>
        <w:jc w:val="center"/>
        <w:rPr>
          <w:rFonts w:ascii="仿宋" w:eastAsia="仿宋" w:hAnsi="仿宋" w:hint="eastAsia"/>
          <w:sz w:val="32"/>
          <w:szCs w:val="32"/>
        </w:rPr>
      </w:pPr>
      <w:r>
        <w:rPr>
          <w:rFonts w:ascii="仿宋" w:eastAsia="仿宋" w:hAnsi="仿宋" w:hint="eastAsia"/>
          <w:sz w:val="32"/>
          <w:szCs w:val="32"/>
        </w:rPr>
        <w:t>（图3：支出决算结构图）（饼状图）</w:t>
      </w:r>
    </w:p>
    <w:p w14:paraId="78250D1C" w14:textId="6FB239DC" w:rsidR="00EF3470" w:rsidRDefault="00EF3470">
      <w:pPr>
        <w:spacing w:line="600" w:lineRule="exact"/>
        <w:ind w:firstLineChars="200" w:firstLine="640"/>
        <w:rPr>
          <w:rFonts w:ascii="仿宋_GB2312" w:eastAsia="仿宋_GB2312"/>
          <w:sz w:val="32"/>
          <w:szCs w:val="32"/>
        </w:rPr>
      </w:pPr>
    </w:p>
    <w:p w14:paraId="4074D233" w14:textId="7921D45B" w:rsidR="00EF3470" w:rsidRDefault="00000000">
      <w:pPr>
        <w:spacing w:line="600" w:lineRule="exact"/>
        <w:ind w:firstLineChars="200" w:firstLine="640"/>
        <w:outlineLvl w:val="1"/>
        <w:rPr>
          <w:rStyle w:val="20"/>
          <w:rFonts w:ascii="黑体" w:eastAsia="黑体" w:hAnsi="黑体" w:hint="eastAsia"/>
          <w:b w:val="0"/>
        </w:rPr>
      </w:pPr>
      <w:bookmarkStart w:id="24" w:name="_Toc15396606"/>
      <w:bookmarkStart w:id="25" w:name="_Toc15377208"/>
      <w:r>
        <w:rPr>
          <w:rFonts w:ascii="黑体" w:eastAsia="黑体" w:hAnsi="黑体" w:hint="eastAsia"/>
          <w:sz w:val="32"/>
          <w:szCs w:val="32"/>
        </w:rPr>
        <w:lastRenderedPageBreak/>
        <w:t>四、财</w:t>
      </w:r>
      <w:r>
        <w:rPr>
          <w:rStyle w:val="20"/>
          <w:rFonts w:ascii="黑体" w:eastAsia="黑体" w:hAnsi="黑体" w:hint="eastAsia"/>
          <w:b w:val="0"/>
        </w:rPr>
        <w:t>政拨款收入支出决算总体情况说明</w:t>
      </w:r>
      <w:bookmarkEnd w:id="24"/>
      <w:bookmarkEnd w:id="25"/>
    </w:p>
    <w:p w14:paraId="5CB0BF13" w14:textId="31754144" w:rsidR="00EF3470" w:rsidRDefault="007E7B8B">
      <w:pPr>
        <w:spacing w:line="600" w:lineRule="exact"/>
        <w:ind w:firstLine="640"/>
        <w:rPr>
          <w:rFonts w:ascii="仿宋" w:eastAsia="仿宋" w:hAnsi="仿宋" w:hint="eastAsia"/>
          <w:b/>
          <w:sz w:val="32"/>
          <w:szCs w:val="32"/>
        </w:rPr>
      </w:pPr>
      <w:r>
        <w:rPr>
          <w:rFonts w:ascii="仿宋" w:eastAsia="仿宋" w:hAnsi="仿宋"/>
          <w:sz w:val="32"/>
          <w:szCs w:val="32"/>
        </w:rPr>
        <w:t>2023</w:t>
      </w:r>
      <w:r>
        <w:rPr>
          <w:rFonts w:ascii="仿宋" w:eastAsia="仿宋" w:hAnsi="仿宋" w:hint="eastAsia"/>
          <w:sz w:val="32"/>
          <w:szCs w:val="32"/>
        </w:rPr>
        <w:t>年财政拨款收、支总计</w:t>
      </w:r>
      <w:r w:rsidR="008A35E6" w:rsidRPr="008A35E6">
        <w:rPr>
          <w:rFonts w:ascii="仿宋" w:eastAsia="仿宋" w:hAnsi="仿宋"/>
          <w:sz w:val="32"/>
          <w:szCs w:val="32"/>
        </w:rPr>
        <w:t>1,747.36</w:t>
      </w:r>
      <w:r>
        <w:rPr>
          <w:rFonts w:ascii="仿宋" w:eastAsia="仿宋" w:hAnsi="仿宋" w:hint="eastAsia"/>
          <w:sz w:val="32"/>
          <w:szCs w:val="32"/>
        </w:rPr>
        <w:t>万元。与</w:t>
      </w:r>
      <w:r>
        <w:rPr>
          <w:rFonts w:ascii="仿宋" w:eastAsia="仿宋" w:hAnsi="仿宋"/>
          <w:sz w:val="32"/>
          <w:szCs w:val="32"/>
        </w:rPr>
        <w:t>2022</w:t>
      </w:r>
      <w:r>
        <w:rPr>
          <w:rFonts w:ascii="仿宋" w:eastAsia="仿宋" w:hAnsi="仿宋" w:hint="eastAsia"/>
          <w:sz w:val="32"/>
          <w:szCs w:val="32"/>
        </w:rPr>
        <w:t>年相比，财政拨款收、支总计各减少</w:t>
      </w:r>
      <w:r w:rsidR="008A35E6">
        <w:rPr>
          <w:rFonts w:ascii="仿宋" w:eastAsia="仿宋" w:hAnsi="仿宋" w:hint="eastAsia"/>
          <w:sz w:val="32"/>
          <w:szCs w:val="32"/>
        </w:rPr>
        <w:t>456.75</w:t>
      </w:r>
      <w:r>
        <w:rPr>
          <w:rFonts w:ascii="仿宋" w:eastAsia="仿宋" w:hAnsi="仿宋" w:hint="eastAsia"/>
          <w:sz w:val="32"/>
          <w:szCs w:val="32"/>
        </w:rPr>
        <w:t>万元，下降</w:t>
      </w:r>
      <w:r w:rsidR="008A35E6">
        <w:rPr>
          <w:rFonts w:ascii="仿宋" w:eastAsia="仿宋" w:hAnsi="仿宋" w:hint="eastAsia"/>
          <w:sz w:val="32"/>
          <w:szCs w:val="32"/>
        </w:rPr>
        <w:t>20.72</w:t>
      </w:r>
      <w:r>
        <w:rPr>
          <w:rFonts w:ascii="仿宋" w:eastAsia="仿宋" w:hAnsi="仿宋"/>
          <w:sz w:val="32"/>
          <w:szCs w:val="32"/>
        </w:rPr>
        <w:t>%</w:t>
      </w:r>
      <w:r>
        <w:rPr>
          <w:rFonts w:ascii="仿宋" w:eastAsia="仿宋" w:hAnsi="仿宋" w:hint="eastAsia"/>
          <w:sz w:val="32"/>
          <w:szCs w:val="32"/>
        </w:rPr>
        <w:t>。主要变动原因是2023年建设项目完工，项目投入资金减少。</w:t>
      </w:r>
    </w:p>
    <w:p w14:paraId="63ADDCBA" w14:textId="5BBD2B01" w:rsidR="00EF3470" w:rsidRPr="00E000F4" w:rsidRDefault="00E000F4" w:rsidP="009C68B8">
      <w:pPr>
        <w:spacing w:line="600" w:lineRule="exact"/>
        <w:rPr>
          <w:rFonts w:ascii="仿宋" w:eastAsia="仿宋" w:hAnsi="仿宋" w:hint="eastAsia"/>
          <w:sz w:val="32"/>
          <w:szCs w:val="32"/>
        </w:rPr>
      </w:pPr>
      <w:r>
        <w:rPr>
          <w:noProof/>
          <w:sz w:val="32"/>
          <w:szCs w:val="32"/>
        </w:rPr>
        <w:drawing>
          <wp:anchor distT="0" distB="0" distL="114300" distR="114300" simplePos="0" relativeHeight="251668992" behindDoc="1" locked="0" layoutInCell="1" allowOverlap="1" wp14:anchorId="6380EECF" wp14:editId="3CB21CA1">
            <wp:simplePos x="0" y="0"/>
            <wp:positionH relativeFrom="column">
              <wp:posOffset>0</wp:posOffset>
            </wp:positionH>
            <wp:positionV relativeFrom="paragraph">
              <wp:posOffset>384810</wp:posOffset>
            </wp:positionV>
            <wp:extent cx="5309235" cy="1728470"/>
            <wp:effectExtent l="5080" t="4445" r="19685" b="57785"/>
            <wp:wrapTight wrapText="bothSides">
              <wp:wrapPolygon edited="0">
                <wp:start x="-21" y="-56"/>
                <wp:lineTo x="-21" y="21370"/>
                <wp:lineTo x="21525" y="21370"/>
                <wp:lineTo x="21525" y="-56"/>
                <wp:lineTo x="-21" y="-56"/>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Ansi="仿宋" w:hint="eastAsia"/>
          <w:sz w:val="32"/>
          <w:szCs w:val="32"/>
        </w:rPr>
        <w:t>（图4：财政拨款收、支决算总计变动情况）（柱状图）</w:t>
      </w:r>
    </w:p>
    <w:p w14:paraId="1FF9A87C" w14:textId="77777777" w:rsidR="00EF3470" w:rsidRDefault="00000000">
      <w:pPr>
        <w:spacing w:line="600" w:lineRule="exact"/>
        <w:ind w:firstLineChars="200" w:firstLine="640"/>
        <w:outlineLvl w:val="1"/>
        <w:rPr>
          <w:rStyle w:val="20"/>
          <w:rFonts w:ascii="黑体" w:eastAsia="黑体" w:hAnsi="黑体" w:hint="eastAsia"/>
          <w:b w:val="0"/>
        </w:rPr>
      </w:pPr>
      <w:bookmarkStart w:id="26" w:name="_Toc15396607"/>
      <w:bookmarkStart w:id="27" w:name="_Toc15377209"/>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26"/>
      <w:bookmarkEnd w:id="27"/>
    </w:p>
    <w:p w14:paraId="47C15984" w14:textId="77777777" w:rsidR="00EF3470" w:rsidRDefault="00000000">
      <w:pPr>
        <w:spacing w:line="600" w:lineRule="exact"/>
        <w:ind w:firstLineChars="200" w:firstLine="643"/>
        <w:outlineLvl w:val="2"/>
        <w:rPr>
          <w:rFonts w:ascii="仿宋" w:eastAsia="仿宋" w:hAnsi="仿宋" w:hint="eastAsia"/>
          <w:b/>
          <w:sz w:val="32"/>
          <w:szCs w:val="32"/>
        </w:rPr>
      </w:pPr>
      <w:bookmarkStart w:id="28" w:name="_Toc15377210"/>
      <w:r>
        <w:rPr>
          <w:rFonts w:ascii="仿宋" w:eastAsia="仿宋" w:hAnsi="仿宋" w:hint="eastAsia"/>
          <w:b/>
          <w:sz w:val="32"/>
          <w:szCs w:val="32"/>
        </w:rPr>
        <w:t>（一）一般公共预算财政拨款支出决算总体情况</w:t>
      </w:r>
      <w:bookmarkEnd w:id="28"/>
    </w:p>
    <w:p w14:paraId="5F93E6D5" w14:textId="0266E795" w:rsidR="00EF3470" w:rsidRDefault="007E7B8B">
      <w:pPr>
        <w:spacing w:line="600" w:lineRule="exact"/>
        <w:ind w:firstLineChars="200" w:firstLine="640"/>
        <w:rPr>
          <w:rFonts w:ascii="仿宋" w:eastAsia="仿宋" w:hAnsi="仿宋" w:hint="eastAsia"/>
          <w:sz w:val="32"/>
          <w:szCs w:val="32"/>
        </w:rPr>
      </w:pPr>
      <w:r>
        <w:rPr>
          <w:rFonts w:ascii="仿宋" w:eastAsia="仿宋" w:hAnsi="仿宋"/>
          <w:sz w:val="32"/>
          <w:szCs w:val="32"/>
        </w:rPr>
        <w:t>2023</w:t>
      </w:r>
      <w:r>
        <w:rPr>
          <w:rFonts w:ascii="仿宋" w:eastAsia="仿宋" w:hAnsi="仿宋" w:hint="eastAsia"/>
          <w:sz w:val="32"/>
          <w:szCs w:val="32"/>
        </w:rPr>
        <w:t>年一般公共预算财政拨款支出</w:t>
      </w:r>
      <w:r w:rsidR="00926FB6" w:rsidRPr="00926FB6">
        <w:rPr>
          <w:rFonts w:ascii="仿宋" w:eastAsia="仿宋" w:hAnsi="仿宋"/>
          <w:sz w:val="32"/>
          <w:szCs w:val="32"/>
        </w:rPr>
        <w:t>1,747.36</w:t>
      </w:r>
      <w:r>
        <w:rPr>
          <w:rFonts w:ascii="仿宋" w:eastAsia="仿宋" w:hAnsi="仿宋" w:hint="eastAsia"/>
          <w:sz w:val="32"/>
          <w:szCs w:val="32"/>
        </w:rPr>
        <w:t>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2022</w:t>
      </w:r>
      <w:r>
        <w:rPr>
          <w:rFonts w:ascii="仿宋" w:eastAsia="仿宋" w:hAnsi="仿宋" w:hint="eastAsia"/>
          <w:sz w:val="32"/>
          <w:szCs w:val="32"/>
        </w:rPr>
        <w:t>年万元相比，一般公共预算财政拨款支出减少</w:t>
      </w:r>
      <w:r w:rsidR="008A35E6">
        <w:rPr>
          <w:rFonts w:ascii="仿宋" w:eastAsia="仿宋" w:hAnsi="仿宋" w:hint="eastAsia"/>
          <w:sz w:val="32"/>
          <w:szCs w:val="32"/>
        </w:rPr>
        <w:t>456.75</w:t>
      </w:r>
      <w:r>
        <w:rPr>
          <w:rFonts w:ascii="仿宋" w:eastAsia="仿宋" w:hAnsi="仿宋" w:hint="eastAsia"/>
          <w:sz w:val="32"/>
          <w:szCs w:val="32"/>
        </w:rPr>
        <w:t>万元，下降</w:t>
      </w:r>
      <w:r w:rsidR="000949B7">
        <w:rPr>
          <w:rFonts w:ascii="仿宋" w:eastAsia="仿宋" w:hAnsi="仿宋" w:hint="eastAsia"/>
          <w:sz w:val="32"/>
          <w:szCs w:val="32"/>
        </w:rPr>
        <w:t>20.72</w:t>
      </w:r>
      <w:r>
        <w:rPr>
          <w:rFonts w:ascii="仿宋" w:eastAsia="仿宋" w:hAnsi="仿宋"/>
          <w:sz w:val="32"/>
          <w:szCs w:val="32"/>
        </w:rPr>
        <w:t>%</w:t>
      </w:r>
      <w:r>
        <w:rPr>
          <w:rFonts w:ascii="仿宋" w:eastAsia="仿宋" w:hAnsi="仿宋" w:hint="eastAsia"/>
          <w:sz w:val="32"/>
          <w:szCs w:val="32"/>
        </w:rPr>
        <w:t>。主要变动原因是2023年建设项目完工，项目投入资金减少。</w:t>
      </w:r>
    </w:p>
    <w:p w14:paraId="55810138" w14:textId="579B4D08" w:rsidR="00EF3470" w:rsidRDefault="00E000F4" w:rsidP="00E000F4">
      <w:pPr>
        <w:spacing w:line="600" w:lineRule="exact"/>
        <w:rPr>
          <w:rFonts w:ascii="仿宋" w:eastAsia="仿宋" w:hAnsi="仿宋" w:hint="eastAsia"/>
          <w:sz w:val="32"/>
          <w:szCs w:val="32"/>
        </w:rPr>
      </w:pPr>
      <w:r>
        <w:rPr>
          <w:rFonts w:ascii="仿宋_GB2312" w:eastAsia="仿宋_GB2312"/>
          <w:noProof/>
          <w:sz w:val="32"/>
          <w:szCs w:val="32"/>
        </w:rPr>
        <w:drawing>
          <wp:anchor distT="0" distB="0" distL="114300" distR="114300" simplePos="0" relativeHeight="251667968" behindDoc="1" locked="0" layoutInCell="1" allowOverlap="1" wp14:anchorId="7D4415C2" wp14:editId="67BAEB3A">
            <wp:simplePos x="0" y="0"/>
            <wp:positionH relativeFrom="column">
              <wp:posOffset>0</wp:posOffset>
            </wp:positionH>
            <wp:positionV relativeFrom="paragraph">
              <wp:posOffset>385445</wp:posOffset>
            </wp:positionV>
            <wp:extent cx="5309235" cy="1728470"/>
            <wp:effectExtent l="5080" t="4445" r="19685" b="19685"/>
            <wp:wrapTight wrapText="bothSides">
              <wp:wrapPolygon edited="0">
                <wp:start x="-21" y="-56"/>
                <wp:lineTo x="-21" y="21370"/>
                <wp:lineTo x="21525" y="21370"/>
                <wp:lineTo x="21525" y="-56"/>
                <wp:lineTo x="-21" y="-56"/>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118A718" w14:textId="77777777" w:rsidR="00EF3470"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（图5：一般公共预算财政拨款支出决算变动情况）（柱状图）</w:t>
      </w:r>
    </w:p>
    <w:p w14:paraId="39CF372F" w14:textId="77777777" w:rsidR="00EF3470" w:rsidRDefault="00000000">
      <w:pPr>
        <w:spacing w:line="600" w:lineRule="exact"/>
        <w:ind w:firstLineChars="200" w:firstLine="643"/>
        <w:outlineLvl w:val="2"/>
        <w:rPr>
          <w:rFonts w:ascii="仿宋" w:eastAsia="仿宋" w:hAnsi="仿宋" w:hint="eastAsia"/>
          <w:b/>
          <w:sz w:val="32"/>
          <w:szCs w:val="32"/>
        </w:rPr>
      </w:pPr>
      <w:bookmarkStart w:id="29" w:name="_Toc15377211"/>
      <w:r>
        <w:rPr>
          <w:rFonts w:ascii="仿宋" w:eastAsia="仿宋" w:hAnsi="仿宋" w:hint="eastAsia"/>
          <w:b/>
          <w:sz w:val="32"/>
          <w:szCs w:val="32"/>
        </w:rPr>
        <w:t>（（二）一般公共预算财政拨款支出决算结构情况</w:t>
      </w:r>
      <w:bookmarkEnd w:id="29"/>
    </w:p>
    <w:p w14:paraId="5D84DC64" w14:textId="0F7537D7" w:rsidR="00EF3470" w:rsidRDefault="007E7B8B">
      <w:pPr>
        <w:spacing w:line="600" w:lineRule="exact"/>
        <w:ind w:firstLine="640"/>
        <w:rPr>
          <w:rFonts w:ascii="仿宋" w:eastAsia="仿宋" w:hAnsi="仿宋" w:hint="eastAsia"/>
          <w:b/>
          <w:sz w:val="32"/>
          <w:szCs w:val="32"/>
        </w:rPr>
      </w:pPr>
      <w:r>
        <w:rPr>
          <w:rFonts w:ascii="仿宋" w:eastAsia="仿宋" w:hAnsi="仿宋"/>
          <w:sz w:val="32"/>
          <w:szCs w:val="32"/>
        </w:rPr>
        <w:t>2023</w:t>
      </w:r>
      <w:r>
        <w:rPr>
          <w:rFonts w:ascii="仿宋" w:eastAsia="仿宋" w:hAnsi="仿宋" w:hint="eastAsia"/>
          <w:sz w:val="32"/>
          <w:szCs w:val="32"/>
        </w:rPr>
        <w:t>年一般公共预算财政拨款支出</w:t>
      </w:r>
      <w:r w:rsidR="00926FB6" w:rsidRPr="00926FB6">
        <w:rPr>
          <w:rFonts w:ascii="仿宋" w:eastAsia="仿宋" w:hAnsi="仿宋"/>
          <w:sz w:val="32"/>
          <w:szCs w:val="32"/>
        </w:rPr>
        <w:t>1,747.36</w:t>
      </w:r>
      <w:r>
        <w:rPr>
          <w:rFonts w:ascii="仿宋" w:eastAsia="仿宋" w:hAnsi="仿宋" w:hint="eastAsia"/>
          <w:sz w:val="32"/>
          <w:szCs w:val="32"/>
        </w:rPr>
        <w:t>万元，主要用于以下方面</w:t>
      </w:r>
      <w:r>
        <w:rPr>
          <w:rFonts w:ascii="仿宋" w:eastAsia="仿宋" w:hAnsi="仿宋"/>
          <w:sz w:val="32"/>
          <w:szCs w:val="32"/>
        </w:rPr>
        <w:t>:</w:t>
      </w:r>
      <w:r w:rsidRPr="000949B7">
        <w:rPr>
          <w:rFonts w:ascii="仿宋" w:eastAsia="仿宋" w:hAnsi="仿宋" w:hint="eastAsia"/>
          <w:sz w:val="32"/>
          <w:szCs w:val="32"/>
        </w:rPr>
        <w:t>教育支出</w:t>
      </w:r>
      <w:r w:rsidR="00926FB6" w:rsidRPr="00926FB6">
        <w:rPr>
          <w:rFonts w:ascii="仿宋" w:eastAsia="仿宋" w:hAnsi="仿宋"/>
          <w:sz w:val="32"/>
          <w:szCs w:val="32"/>
        </w:rPr>
        <w:t>1,734.16</w:t>
      </w:r>
      <w:r>
        <w:rPr>
          <w:rFonts w:ascii="仿宋" w:eastAsia="仿宋" w:hAnsi="仿宋" w:hint="eastAsia"/>
          <w:sz w:val="32"/>
          <w:szCs w:val="32"/>
        </w:rPr>
        <w:t>万元，占</w:t>
      </w:r>
      <w:r w:rsidR="00926FB6">
        <w:rPr>
          <w:rFonts w:ascii="仿宋" w:eastAsia="仿宋" w:hAnsi="仿宋" w:hint="eastAsia"/>
          <w:sz w:val="32"/>
          <w:szCs w:val="32"/>
        </w:rPr>
        <w:t>99.24</w:t>
      </w:r>
      <w:r>
        <w:rPr>
          <w:rFonts w:ascii="仿宋" w:eastAsia="仿宋" w:hAnsi="仿宋"/>
          <w:sz w:val="32"/>
          <w:szCs w:val="32"/>
        </w:rPr>
        <w:t>%</w:t>
      </w:r>
      <w:r>
        <w:rPr>
          <w:rFonts w:ascii="仿宋" w:eastAsia="仿宋" w:hAnsi="仿宋" w:hint="eastAsia"/>
          <w:sz w:val="32"/>
          <w:szCs w:val="32"/>
        </w:rPr>
        <w:t>；</w:t>
      </w:r>
      <w:r w:rsidRPr="000949B7">
        <w:rPr>
          <w:rFonts w:ascii="仿宋" w:eastAsia="仿宋" w:hAnsi="仿宋" w:hint="eastAsia"/>
          <w:sz w:val="32"/>
          <w:szCs w:val="32"/>
        </w:rPr>
        <w:t>社会保障和就业支出</w:t>
      </w:r>
      <w:r w:rsidR="00E000F4">
        <w:rPr>
          <w:rFonts w:ascii="仿宋" w:eastAsia="仿宋" w:hAnsi="仿宋" w:hint="eastAsia"/>
          <w:sz w:val="32"/>
          <w:szCs w:val="32"/>
        </w:rPr>
        <w:t>6.03</w:t>
      </w:r>
      <w:r>
        <w:rPr>
          <w:rFonts w:ascii="仿宋" w:eastAsia="仿宋" w:hAnsi="仿宋" w:hint="eastAsia"/>
          <w:sz w:val="32"/>
          <w:szCs w:val="32"/>
        </w:rPr>
        <w:t>万元，占</w:t>
      </w:r>
      <w:r w:rsidR="00926FB6">
        <w:rPr>
          <w:rFonts w:ascii="仿宋" w:eastAsia="仿宋" w:hAnsi="仿宋" w:hint="eastAsia"/>
          <w:sz w:val="32"/>
          <w:szCs w:val="32"/>
        </w:rPr>
        <w:t>0.</w:t>
      </w:r>
      <w:r w:rsidR="00E000F4">
        <w:rPr>
          <w:rFonts w:ascii="仿宋" w:eastAsia="仿宋" w:hAnsi="仿宋" w:hint="eastAsia"/>
          <w:sz w:val="32"/>
          <w:szCs w:val="32"/>
        </w:rPr>
        <w:t>35</w:t>
      </w:r>
      <w:r>
        <w:rPr>
          <w:rFonts w:ascii="仿宋" w:eastAsia="仿宋" w:hAnsi="仿宋"/>
          <w:sz w:val="32"/>
          <w:szCs w:val="32"/>
        </w:rPr>
        <w:t>%</w:t>
      </w:r>
      <w:r w:rsidR="00E000F4">
        <w:rPr>
          <w:rFonts w:ascii="仿宋" w:eastAsia="仿宋" w:hAnsi="仿宋" w:hint="eastAsia"/>
          <w:sz w:val="32"/>
          <w:szCs w:val="32"/>
        </w:rPr>
        <w:t>;</w:t>
      </w:r>
      <w:r w:rsidR="00E000F4" w:rsidRPr="00E000F4">
        <w:rPr>
          <w:rFonts w:ascii="仿宋" w:eastAsia="仿宋" w:hAnsi="仿宋" w:hint="eastAsia"/>
          <w:sz w:val="32"/>
          <w:szCs w:val="32"/>
        </w:rPr>
        <w:t>卫生健康支出</w:t>
      </w:r>
      <w:r w:rsidR="00E000F4">
        <w:rPr>
          <w:rFonts w:ascii="仿宋" w:eastAsia="仿宋" w:hAnsi="仿宋" w:hint="eastAsia"/>
          <w:sz w:val="32"/>
          <w:szCs w:val="32"/>
        </w:rPr>
        <w:t>2.88</w:t>
      </w:r>
      <w:r w:rsidR="00E000F4" w:rsidRPr="00E000F4">
        <w:rPr>
          <w:rFonts w:ascii="仿宋" w:eastAsia="仿宋" w:hAnsi="仿宋" w:hint="eastAsia"/>
          <w:sz w:val="32"/>
          <w:szCs w:val="32"/>
        </w:rPr>
        <w:t>万元，占0.</w:t>
      </w:r>
      <w:r w:rsidR="00E000F4">
        <w:rPr>
          <w:rFonts w:ascii="仿宋" w:eastAsia="仿宋" w:hAnsi="仿宋" w:hint="eastAsia"/>
          <w:sz w:val="32"/>
          <w:szCs w:val="32"/>
        </w:rPr>
        <w:t>16</w:t>
      </w:r>
      <w:r w:rsidR="00E000F4" w:rsidRPr="00E000F4">
        <w:rPr>
          <w:rFonts w:ascii="仿宋" w:eastAsia="仿宋" w:hAnsi="仿宋" w:hint="eastAsia"/>
          <w:sz w:val="32"/>
          <w:szCs w:val="32"/>
        </w:rPr>
        <w:t>%，住房保障支出</w:t>
      </w:r>
      <w:r w:rsidR="00E000F4">
        <w:rPr>
          <w:rFonts w:ascii="仿宋" w:eastAsia="仿宋" w:hAnsi="仿宋" w:hint="eastAsia"/>
          <w:sz w:val="32"/>
          <w:szCs w:val="32"/>
        </w:rPr>
        <w:t>4.29</w:t>
      </w:r>
      <w:r w:rsidR="00E000F4" w:rsidRPr="00E000F4">
        <w:rPr>
          <w:rFonts w:ascii="仿宋" w:eastAsia="仿宋" w:hAnsi="仿宋" w:hint="eastAsia"/>
          <w:sz w:val="32"/>
          <w:szCs w:val="32"/>
        </w:rPr>
        <w:t>万元，占</w:t>
      </w:r>
      <w:r w:rsidR="009C68B8">
        <w:rPr>
          <w:rFonts w:ascii="仿宋" w:eastAsia="仿宋" w:hAnsi="仿宋" w:hint="eastAsia"/>
          <w:sz w:val="32"/>
          <w:szCs w:val="32"/>
        </w:rPr>
        <w:t>0.25</w:t>
      </w:r>
      <w:r w:rsidR="00E000F4" w:rsidRPr="00E000F4">
        <w:rPr>
          <w:rFonts w:ascii="仿宋" w:eastAsia="仿宋" w:hAnsi="仿宋" w:hint="eastAsia"/>
          <w:sz w:val="32"/>
          <w:szCs w:val="32"/>
        </w:rPr>
        <w:t>%.</w:t>
      </w:r>
      <w:r>
        <w:rPr>
          <w:rFonts w:ascii="仿宋" w:eastAsia="仿宋" w:hAnsi="仿宋" w:hint="eastAsia"/>
          <w:sz w:val="32"/>
          <w:szCs w:val="32"/>
        </w:rPr>
        <w:t>。</w:t>
      </w:r>
    </w:p>
    <w:p w14:paraId="5614D009" w14:textId="1EEBEBAE" w:rsidR="00EF3470" w:rsidRDefault="00E000F4" w:rsidP="009C68B8">
      <w:pPr>
        <w:spacing w:line="600" w:lineRule="exact"/>
        <w:ind w:firstLine="640"/>
        <w:rPr>
          <w:rFonts w:ascii="仿宋" w:eastAsia="仿宋" w:hAnsi="仿宋" w:hint="eastAsia"/>
          <w:sz w:val="32"/>
          <w:szCs w:val="32"/>
        </w:rPr>
      </w:pPr>
      <w:r>
        <w:rPr>
          <w:rFonts w:ascii="仿宋_GB2312" w:eastAsia="仿宋_GB2312"/>
          <w:noProof/>
          <w:sz w:val="32"/>
          <w:szCs w:val="32"/>
        </w:rPr>
        <w:drawing>
          <wp:anchor distT="0" distB="0" distL="114300" distR="114300" simplePos="0" relativeHeight="251673088" behindDoc="0" locked="0" layoutInCell="1" allowOverlap="1" wp14:anchorId="45B63061" wp14:editId="23440935">
            <wp:simplePos x="0" y="0"/>
            <wp:positionH relativeFrom="column">
              <wp:posOffset>0</wp:posOffset>
            </wp:positionH>
            <wp:positionV relativeFrom="paragraph">
              <wp:posOffset>381000</wp:posOffset>
            </wp:positionV>
            <wp:extent cx="5298440" cy="2101215"/>
            <wp:effectExtent l="0" t="0" r="16510" b="1333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777DBED6" w14:textId="77777777" w:rsidR="00EF3470"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（图6：一般公共预算财政拨款支出决算结构）（饼状图）</w:t>
      </w:r>
    </w:p>
    <w:p w14:paraId="2E0F0237" w14:textId="77777777" w:rsidR="00EF3470" w:rsidRDefault="00000000">
      <w:pPr>
        <w:spacing w:line="600" w:lineRule="exact"/>
        <w:ind w:firstLineChars="200" w:firstLine="643"/>
        <w:outlineLvl w:val="2"/>
        <w:rPr>
          <w:rFonts w:ascii="仿宋" w:eastAsia="仿宋" w:hAnsi="仿宋" w:hint="eastAsia"/>
          <w:b/>
          <w:sz w:val="32"/>
          <w:szCs w:val="32"/>
        </w:rPr>
      </w:pPr>
      <w:bookmarkStart w:id="30" w:name="_Toc15377212"/>
      <w:r>
        <w:rPr>
          <w:rFonts w:ascii="仿宋" w:eastAsia="仿宋" w:hAnsi="仿宋" w:hint="eastAsia"/>
          <w:b/>
          <w:sz w:val="32"/>
          <w:szCs w:val="32"/>
        </w:rPr>
        <w:t>（三）一般公共预算财政拨款支出决算具体情况</w:t>
      </w:r>
      <w:bookmarkEnd w:id="30"/>
    </w:p>
    <w:p w14:paraId="10D4D62B" w14:textId="79A91CB8" w:rsidR="00EF3470" w:rsidRDefault="007E7B8B">
      <w:pPr>
        <w:spacing w:line="600" w:lineRule="exact"/>
        <w:ind w:firstLineChars="200" w:firstLine="643"/>
        <w:outlineLvl w:val="2"/>
        <w:rPr>
          <w:rFonts w:ascii="仿宋" w:eastAsia="仿宋" w:hAnsi="仿宋" w:hint="eastAsia"/>
          <w:sz w:val="32"/>
          <w:szCs w:val="32"/>
        </w:rPr>
      </w:pPr>
      <w:bookmarkStart w:id="31" w:name="_Toc15377213"/>
      <w:bookmarkStart w:id="32" w:name="_Toc15377444"/>
      <w:bookmarkStart w:id="33" w:name="_Toc15378460"/>
      <w:r>
        <w:rPr>
          <w:rFonts w:ascii="仿宋" w:eastAsia="仿宋" w:hAnsi="仿宋" w:hint="eastAsia"/>
          <w:b/>
          <w:sz w:val="32"/>
          <w:szCs w:val="32"/>
        </w:rPr>
        <w:t>2023年一般公共预算支出决算数为</w:t>
      </w:r>
      <w:r w:rsidR="00E617E6" w:rsidRPr="00E617E6">
        <w:rPr>
          <w:rFonts w:ascii="仿宋" w:eastAsia="仿宋" w:hAnsi="仿宋"/>
          <w:b/>
          <w:sz w:val="32"/>
          <w:szCs w:val="32"/>
        </w:rPr>
        <w:t>1747.36</w:t>
      </w:r>
      <w:r w:rsidR="00E617E6">
        <w:rPr>
          <w:rFonts w:ascii="仿宋" w:eastAsia="仿宋" w:hAnsi="仿宋" w:hint="eastAsia"/>
          <w:b/>
          <w:sz w:val="32"/>
          <w:szCs w:val="32"/>
        </w:rPr>
        <w:t>万元</w:t>
      </w:r>
      <w:r>
        <w:rPr>
          <w:rFonts w:ascii="仿宋" w:eastAsia="仿宋" w:hAnsi="仿宋" w:hint="eastAsia"/>
          <w:sz w:val="32"/>
          <w:szCs w:val="32"/>
        </w:rPr>
        <w:t>，</w:t>
      </w:r>
      <w:r>
        <w:rPr>
          <w:rStyle w:val="ab"/>
          <w:rFonts w:ascii="仿宋" w:eastAsia="仿宋" w:hAnsi="仿宋" w:hint="eastAsia"/>
          <w:bCs/>
          <w:sz w:val="32"/>
          <w:szCs w:val="32"/>
        </w:rPr>
        <w:t>完成预算100</w:t>
      </w:r>
      <w:r>
        <w:rPr>
          <w:rStyle w:val="ab"/>
          <w:rFonts w:ascii="仿宋" w:eastAsia="仿宋" w:hAnsi="仿宋"/>
          <w:bCs/>
          <w:sz w:val="32"/>
          <w:szCs w:val="32"/>
        </w:rPr>
        <w:t>%</w:t>
      </w:r>
      <w:r>
        <w:rPr>
          <w:rStyle w:val="ab"/>
          <w:rFonts w:ascii="仿宋" w:eastAsia="仿宋" w:hAnsi="仿宋" w:hint="eastAsia"/>
          <w:bCs/>
          <w:sz w:val="32"/>
          <w:szCs w:val="32"/>
        </w:rPr>
        <w:t>。其中：</w:t>
      </w:r>
      <w:bookmarkEnd w:id="31"/>
      <w:bookmarkEnd w:id="32"/>
      <w:bookmarkEnd w:id="33"/>
    </w:p>
    <w:p w14:paraId="5028EF76" w14:textId="1A03FADC" w:rsidR="00EF3470" w:rsidRDefault="00000000">
      <w:pPr>
        <w:spacing w:line="600" w:lineRule="exact"/>
        <w:ind w:firstLineChars="200" w:firstLine="643"/>
        <w:rPr>
          <w:rFonts w:ascii="仿宋" w:eastAsia="仿宋" w:hAnsi="仿宋" w:hint="eastAsia"/>
          <w:b/>
          <w:sz w:val="32"/>
          <w:szCs w:val="32"/>
        </w:rPr>
      </w:pPr>
      <w:r>
        <w:rPr>
          <w:rStyle w:val="ab"/>
          <w:rFonts w:ascii="仿宋" w:eastAsia="仿宋" w:hAnsi="仿宋" w:hint="eastAsia"/>
          <w:bCs/>
          <w:sz w:val="32"/>
          <w:szCs w:val="32"/>
        </w:rPr>
        <w:t>1</w:t>
      </w:r>
      <w:r>
        <w:rPr>
          <w:rStyle w:val="ab"/>
          <w:rFonts w:ascii="仿宋" w:eastAsia="仿宋" w:hAnsi="仿宋"/>
          <w:bCs/>
          <w:sz w:val="32"/>
          <w:szCs w:val="32"/>
        </w:rPr>
        <w:t>.</w:t>
      </w:r>
      <w:r>
        <w:rPr>
          <w:rStyle w:val="ab"/>
          <w:rFonts w:ascii="仿宋" w:eastAsia="仿宋" w:hAnsi="仿宋" w:hint="eastAsia"/>
          <w:bCs/>
          <w:sz w:val="32"/>
          <w:szCs w:val="32"/>
        </w:rPr>
        <w:t>教育（类）</w:t>
      </w:r>
      <w:r>
        <w:rPr>
          <w:rStyle w:val="ab"/>
          <w:rFonts w:ascii="仿宋" w:eastAsia="仿宋" w:hAnsi="仿宋" w:hint="eastAsia"/>
          <w:bCs/>
          <w:sz w:val="28"/>
          <w:szCs w:val="28"/>
        </w:rPr>
        <w:t>普通教育、教育附加费安排的支出</w:t>
      </w:r>
      <w:r>
        <w:rPr>
          <w:rStyle w:val="ab"/>
          <w:rFonts w:ascii="仿宋" w:eastAsia="仿宋" w:hAnsi="仿宋" w:hint="eastAsia"/>
          <w:bCs/>
          <w:sz w:val="32"/>
          <w:szCs w:val="32"/>
        </w:rPr>
        <w:t>（款）初中教育、城市中小学校舍建设（项）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w:t>
      </w:r>
      <w:r w:rsidR="00E617E6" w:rsidRPr="00E617E6">
        <w:rPr>
          <w:rStyle w:val="ab"/>
          <w:rFonts w:ascii="仿宋" w:eastAsia="仿宋" w:hAnsi="仿宋"/>
          <w:b w:val="0"/>
          <w:bCs/>
          <w:sz w:val="32"/>
          <w:szCs w:val="32"/>
        </w:rPr>
        <w:t>1,308.51</w:t>
      </w:r>
      <w:r>
        <w:rPr>
          <w:rStyle w:val="ab"/>
          <w:rFonts w:ascii="仿宋" w:eastAsia="仿宋" w:hAnsi="仿宋" w:hint="eastAsia"/>
          <w:b w:val="0"/>
          <w:bCs/>
          <w:sz w:val="32"/>
          <w:szCs w:val="32"/>
        </w:rPr>
        <w:t>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，决算数等于预算数。</w:t>
      </w:r>
    </w:p>
    <w:p w14:paraId="4D77526A" w14:textId="5B16D7BF" w:rsidR="00EF3470" w:rsidRDefault="00000000">
      <w:pPr>
        <w:spacing w:line="600" w:lineRule="exact"/>
        <w:ind w:firstLineChars="200" w:firstLine="643"/>
        <w:rPr>
          <w:rFonts w:ascii="仿宋" w:eastAsia="仿宋" w:hAnsi="仿宋" w:hint="eastAsia"/>
          <w:b/>
          <w:sz w:val="32"/>
          <w:szCs w:val="32"/>
        </w:rPr>
      </w:pPr>
      <w:r>
        <w:rPr>
          <w:rStyle w:val="ab"/>
          <w:rFonts w:ascii="仿宋" w:eastAsia="仿宋" w:hAnsi="仿宋" w:hint="eastAsia"/>
          <w:bCs/>
          <w:sz w:val="32"/>
          <w:szCs w:val="32"/>
        </w:rPr>
        <w:t>2</w:t>
      </w:r>
      <w:r>
        <w:rPr>
          <w:rStyle w:val="ab"/>
          <w:rFonts w:ascii="仿宋" w:eastAsia="仿宋" w:hAnsi="仿宋"/>
          <w:bCs/>
          <w:sz w:val="32"/>
          <w:szCs w:val="32"/>
        </w:rPr>
        <w:t>.</w:t>
      </w:r>
      <w:r>
        <w:rPr>
          <w:rStyle w:val="ab"/>
          <w:rFonts w:ascii="仿宋" w:eastAsia="仿宋" w:hAnsi="仿宋" w:hint="eastAsia"/>
          <w:bCs/>
          <w:sz w:val="32"/>
          <w:szCs w:val="32"/>
        </w:rPr>
        <w:t>社会保障和就业（类）</w:t>
      </w:r>
      <w:r>
        <w:rPr>
          <w:rStyle w:val="ab"/>
          <w:rFonts w:ascii="仿宋" w:eastAsia="仿宋" w:hAnsi="仿宋" w:hint="eastAsia"/>
          <w:bCs/>
          <w:sz w:val="28"/>
          <w:szCs w:val="28"/>
        </w:rPr>
        <w:t>行政事业单位养老支出、其他社会</w:t>
      </w:r>
      <w:r>
        <w:rPr>
          <w:rStyle w:val="ab"/>
          <w:rFonts w:ascii="仿宋" w:eastAsia="仿宋" w:hAnsi="仿宋" w:hint="eastAsia"/>
          <w:bCs/>
          <w:sz w:val="28"/>
          <w:szCs w:val="28"/>
        </w:rPr>
        <w:lastRenderedPageBreak/>
        <w:t>保障和就业支出</w:t>
      </w:r>
      <w:r>
        <w:rPr>
          <w:rStyle w:val="ab"/>
          <w:rFonts w:ascii="仿宋" w:eastAsia="仿宋" w:hAnsi="仿宋" w:hint="eastAsia"/>
          <w:bCs/>
          <w:sz w:val="32"/>
          <w:szCs w:val="32"/>
        </w:rPr>
        <w:t>（款）机关事业单位基本养老保险缴费支出、</w:t>
      </w:r>
      <w:r>
        <w:rPr>
          <w:rStyle w:val="ab"/>
          <w:rFonts w:ascii="仿宋" w:eastAsia="仿宋" w:hAnsi="仿宋" w:hint="eastAsia"/>
          <w:bCs/>
          <w:sz w:val="28"/>
          <w:szCs w:val="28"/>
        </w:rPr>
        <w:t>其他社会保障和就业支出</w:t>
      </w:r>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w:t>
      </w:r>
      <w:r w:rsidR="00E617E6" w:rsidRPr="00E617E6">
        <w:rPr>
          <w:rStyle w:val="ab"/>
          <w:rFonts w:ascii="仿宋" w:eastAsia="仿宋" w:hAnsi="仿宋"/>
          <w:b w:val="0"/>
          <w:bCs/>
          <w:sz w:val="32"/>
          <w:szCs w:val="32"/>
        </w:rPr>
        <w:t>143.75</w:t>
      </w:r>
      <w:r>
        <w:rPr>
          <w:rStyle w:val="ab"/>
          <w:rFonts w:ascii="仿宋" w:eastAsia="仿宋" w:hAnsi="仿宋" w:hint="eastAsia"/>
          <w:b w:val="0"/>
          <w:bCs/>
          <w:sz w:val="32"/>
          <w:szCs w:val="32"/>
        </w:rPr>
        <w:t>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，决算数等于预算数。</w:t>
      </w:r>
    </w:p>
    <w:p w14:paraId="75A19076" w14:textId="3EA57D3D" w:rsidR="00EF3470" w:rsidRDefault="00000000">
      <w:pPr>
        <w:spacing w:line="600" w:lineRule="exact"/>
        <w:ind w:firstLineChars="200" w:firstLine="643"/>
        <w:rPr>
          <w:rFonts w:ascii="仿宋" w:eastAsia="仿宋" w:hAnsi="仿宋" w:hint="eastAsia"/>
          <w:b/>
          <w:sz w:val="32"/>
          <w:szCs w:val="32"/>
        </w:rPr>
      </w:pPr>
      <w:r>
        <w:rPr>
          <w:rStyle w:val="ab"/>
          <w:rFonts w:ascii="仿宋" w:eastAsia="仿宋" w:hAnsi="仿宋" w:hint="eastAsia"/>
          <w:bCs/>
          <w:sz w:val="32"/>
          <w:szCs w:val="32"/>
        </w:rPr>
        <w:t>3</w:t>
      </w:r>
      <w:r>
        <w:rPr>
          <w:rStyle w:val="ab"/>
          <w:rFonts w:ascii="仿宋" w:eastAsia="仿宋" w:hAnsi="仿宋"/>
          <w:bCs/>
          <w:sz w:val="32"/>
          <w:szCs w:val="32"/>
        </w:rPr>
        <w:t>.</w:t>
      </w:r>
      <w:r>
        <w:rPr>
          <w:rStyle w:val="ab"/>
          <w:rFonts w:ascii="仿宋" w:eastAsia="仿宋" w:hAnsi="仿宋" w:hint="eastAsia"/>
          <w:bCs/>
          <w:sz w:val="32"/>
          <w:szCs w:val="32"/>
        </w:rPr>
        <w:t>教育（类）</w:t>
      </w:r>
      <w:r>
        <w:rPr>
          <w:rStyle w:val="ab"/>
          <w:rFonts w:ascii="仿宋" w:eastAsia="仿宋" w:hAnsi="仿宋" w:hint="eastAsia"/>
          <w:bCs/>
          <w:sz w:val="28"/>
          <w:szCs w:val="28"/>
        </w:rPr>
        <w:t>教育附加费安排的支出</w:t>
      </w:r>
      <w:r>
        <w:rPr>
          <w:rStyle w:val="ab"/>
          <w:rFonts w:ascii="仿宋" w:eastAsia="仿宋" w:hAnsi="仿宋" w:hint="eastAsia"/>
          <w:bCs/>
          <w:sz w:val="32"/>
          <w:szCs w:val="32"/>
        </w:rPr>
        <w:t>（款）城市中小学校舍建设（项）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w:t>
      </w:r>
      <w:r w:rsidR="00E617E6">
        <w:rPr>
          <w:rStyle w:val="ab"/>
          <w:rFonts w:ascii="仿宋" w:eastAsia="仿宋" w:hAnsi="仿宋" w:hint="eastAsia"/>
          <w:b w:val="0"/>
          <w:bCs/>
          <w:sz w:val="32"/>
          <w:szCs w:val="32"/>
        </w:rPr>
        <w:t>295.10</w:t>
      </w:r>
      <w:r>
        <w:rPr>
          <w:rStyle w:val="ab"/>
          <w:rFonts w:ascii="仿宋" w:eastAsia="仿宋" w:hAnsi="仿宋" w:hint="eastAsia"/>
          <w:b w:val="0"/>
          <w:bCs/>
          <w:sz w:val="32"/>
          <w:szCs w:val="32"/>
        </w:rPr>
        <w:t>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，决算数等于预算数。</w:t>
      </w:r>
    </w:p>
    <w:p w14:paraId="522FE48B" w14:textId="77777777" w:rsidR="00EF3470" w:rsidRDefault="00000000">
      <w:pPr>
        <w:tabs>
          <w:tab w:val="right" w:pos="8306"/>
        </w:tabs>
        <w:spacing w:line="600" w:lineRule="exact"/>
        <w:ind w:firstLine="640"/>
        <w:outlineLvl w:val="1"/>
        <w:rPr>
          <w:rStyle w:val="20"/>
        </w:rPr>
      </w:pPr>
      <w:bookmarkStart w:id="34" w:name="_Toc15396608"/>
      <w:bookmarkStart w:id="35"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34"/>
      <w:bookmarkEnd w:id="35"/>
      <w:r>
        <w:rPr>
          <w:rStyle w:val="20"/>
          <w:rFonts w:ascii="黑体" w:eastAsia="黑体" w:hAnsi="黑体"/>
          <w:b w:val="0"/>
        </w:rPr>
        <w:tab/>
      </w:r>
    </w:p>
    <w:p w14:paraId="125F9512" w14:textId="7543C24C" w:rsidR="00EF3470" w:rsidRDefault="007E7B8B">
      <w:pPr>
        <w:spacing w:line="600" w:lineRule="exact"/>
        <w:ind w:firstLine="645"/>
        <w:rPr>
          <w:rFonts w:ascii="仿宋" w:eastAsia="仿宋" w:hAnsi="仿宋" w:hint="eastAsia"/>
          <w:sz w:val="32"/>
          <w:szCs w:val="32"/>
        </w:rPr>
      </w:pPr>
      <w:r>
        <w:rPr>
          <w:rFonts w:ascii="仿宋" w:eastAsia="仿宋" w:hAnsi="仿宋"/>
          <w:sz w:val="32"/>
          <w:szCs w:val="32"/>
        </w:rPr>
        <w:t>2023</w:t>
      </w:r>
      <w:r>
        <w:rPr>
          <w:rFonts w:ascii="仿宋" w:eastAsia="仿宋" w:hAnsi="仿宋" w:hint="eastAsia"/>
          <w:sz w:val="32"/>
          <w:szCs w:val="32"/>
        </w:rPr>
        <w:t>年一般公共预算财政拨款基本支出</w:t>
      </w:r>
      <w:r w:rsidR="002B1378" w:rsidRPr="002B1378">
        <w:rPr>
          <w:rFonts w:ascii="仿宋" w:eastAsia="仿宋" w:hAnsi="仿宋"/>
          <w:sz w:val="32"/>
          <w:szCs w:val="32"/>
        </w:rPr>
        <w:t>1130.79</w:t>
      </w:r>
      <w:r>
        <w:rPr>
          <w:rFonts w:ascii="仿宋" w:eastAsia="仿宋" w:hAnsi="仿宋" w:hint="eastAsia"/>
          <w:sz w:val="32"/>
          <w:szCs w:val="32"/>
        </w:rPr>
        <w:t>万元，其中：</w:t>
      </w:r>
    </w:p>
    <w:p w14:paraId="77E68E94" w14:textId="7E05D85D" w:rsidR="00EF3470" w:rsidRDefault="00000000">
      <w:pPr>
        <w:spacing w:line="600" w:lineRule="exact"/>
        <w:ind w:firstLine="645"/>
        <w:rPr>
          <w:rFonts w:ascii="仿宋" w:eastAsia="仿宋" w:hAnsi="仿宋" w:hint="eastAsia"/>
          <w:sz w:val="32"/>
          <w:szCs w:val="32"/>
        </w:rPr>
      </w:pPr>
      <w:r>
        <w:rPr>
          <w:rFonts w:ascii="仿宋" w:eastAsia="仿宋" w:hAnsi="仿宋" w:hint="eastAsia"/>
          <w:sz w:val="32"/>
          <w:szCs w:val="32"/>
        </w:rPr>
        <w:t>人员经费</w:t>
      </w:r>
      <w:r w:rsidR="002B1378" w:rsidRPr="002B1378">
        <w:rPr>
          <w:rFonts w:ascii="仿宋" w:eastAsia="仿宋" w:hAnsi="仿宋"/>
          <w:sz w:val="32"/>
          <w:szCs w:val="32"/>
        </w:rPr>
        <w:t>925.38</w:t>
      </w:r>
      <w:r>
        <w:rPr>
          <w:rFonts w:ascii="仿宋" w:eastAsia="仿宋" w:hAnsi="仿宋" w:hint="eastAsia"/>
          <w:sz w:val="32"/>
          <w:szCs w:val="32"/>
        </w:rPr>
        <w:t>万元，主要包括：基本工资</w:t>
      </w:r>
      <w:r w:rsidR="002B1378" w:rsidRPr="002B1378">
        <w:rPr>
          <w:rFonts w:ascii="仿宋" w:eastAsia="仿宋" w:hAnsi="仿宋"/>
          <w:sz w:val="32"/>
          <w:szCs w:val="32"/>
        </w:rPr>
        <w:t>424.26</w:t>
      </w:r>
      <w:r>
        <w:rPr>
          <w:rFonts w:ascii="仿宋" w:eastAsia="仿宋" w:hAnsi="仿宋" w:hint="eastAsia"/>
          <w:sz w:val="32"/>
          <w:szCs w:val="32"/>
        </w:rPr>
        <w:t>万元、津贴补贴</w:t>
      </w:r>
      <w:r w:rsidR="002B1378" w:rsidRPr="002B1378">
        <w:rPr>
          <w:rFonts w:ascii="仿宋" w:eastAsia="仿宋" w:hAnsi="仿宋"/>
          <w:sz w:val="32"/>
          <w:szCs w:val="32"/>
        </w:rPr>
        <w:t>4.98</w:t>
      </w:r>
      <w:r>
        <w:rPr>
          <w:rFonts w:ascii="仿宋" w:eastAsia="仿宋" w:hAnsi="仿宋" w:hint="eastAsia"/>
          <w:sz w:val="32"/>
          <w:szCs w:val="32"/>
        </w:rPr>
        <w:t>万元、绩效工资</w:t>
      </w:r>
      <w:r w:rsidR="002B1378">
        <w:rPr>
          <w:rFonts w:ascii="仿宋" w:eastAsia="仿宋" w:hAnsi="仿宋" w:hint="eastAsia"/>
          <w:sz w:val="32"/>
          <w:szCs w:val="32"/>
        </w:rPr>
        <w:t>233.75</w:t>
      </w:r>
      <w:r>
        <w:rPr>
          <w:rFonts w:ascii="仿宋" w:eastAsia="仿宋" w:hAnsi="仿宋" w:hint="eastAsia"/>
          <w:sz w:val="32"/>
          <w:szCs w:val="32"/>
        </w:rPr>
        <w:t>万元、机关事业单位基本养老保险缴费</w:t>
      </w:r>
      <w:r w:rsidR="002B1378" w:rsidRPr="002B1378">
        <w:rPr>
          <w:rFonts w:ascii="仿宋" w:eastAsia="仿宋" w:hAnsi="仿宋"/>
          <w:sz w:val="32"/>
          <w:szCs w:val="32"/>
        </w:rPr>
        <w:t>143.75</w:t>
      </w:r>
      <w:r>
        <w:rPr>
          <w:rFonts w:ascii="仿宋" w:eastAsia="仿宋" w:hAnsi="仿宋" w:hint="eastAsia"/>
          <w:sz w:val="32"/>
          <w:szCs w:val="32"/>
        </w:rPr>
        <w:t>万元、职工基本医疗保险缴费</w:t>
      </w:r>
      <w:r w:rsidR="002B1378" w:rsidRPr="002B1378">
        <w:rPr>
          <w:rFonts w:ascii="仿宋" w:eastAsia="仿宋" w:hAnsi="仿宋"/>
          <w:sz w:val="32"/>
          <w:szCs w:val="32"/>
        </w:rPr>
        <w:t>39.65</w:t>
      </w:r>
      <w:r w:rsidR="002B1378">
        <w:rPr>
          <w:rFonts w:ascii="仿宋" w:eastAsia="仿宋" w:hAnsi="仿宋" w:hint="eastAsia"/>
          <w:sz w:val="32"/>
          <w:szCs w:val="32"/>
        </w:rPr>
        <w:t>万元</w:t>
      </w:r>
      <w:r>
        <w:rPr>
          <w:rFonts w:ascii="仿宋" w:eastAsia="仿宋" w:hAnsi="仿宋" w:hint="eastAsia"/>
          <w:sz w:val="32"/>
          <w:szCs w:val="32"/>
        </w:rPr>
        <w:t>、其他社会保障缴费</w:t>
      </w:r>
      <w:r w:rsidR="002B1378" w:rsidRPr="002B1378">
        <w:rPr>
          <w:rFonts w:ascii="仿宋" w:eastAsia="仿宋" w:hAnsi="仿宋"/>
          <w:sz w:val="32"/>
          <w:szCs w:val="32"/>
        </w:rPr>
        <w:t>10.64</w:t>
      </w:r>
      <w:r>
        <w:rPr>
          <w:rFonts w:ascii="仿宋" w:eastAsia="仿宋" w:hAnsi="仿宋" w:hint="eastAsia"/>
          <w:sz w:val="32"/>
          <w:szCs w:val="32"/>
        </w:rPr>
        <w:t>万元、其他工资福利支出</w:t>
      </w:r>
      <w:r w:rsidR="002B1378">
        <w:rPr>
          <w:rFonts w:ascii="仿宋" w:eastAsia="仿宋" w:hAnsi="仿宋" w:hint="eastAsia"/>
          <w:sz w:val="32"/>
          <w:szCs w:val="32"/>
        </w:rPr>
        <w:t>1.76</w:t>
      </w:r>
      <w:r>
        <w:rPr>
          <w:rFonts w:ascii="仿宋" w:eastAsia="仿宋" w:hAnsi="仿宋" w:hint="eastAsia"/>
          <w:sz w:val="32"/>
          <w:szCs w:val="32"/>
        </w:rPr>
        <w:t>万元、生活补助</w:t>
      </w:r>
      <w:r w:rsidR="002B1378">
        <w:rPr>
          <w:rFonts w:ascii="仿宋" w:eastAsia="仿宋" w:hAnsi="仿宋" w:hint="eastAsia"/>
          <w:sz w:val="32"/>
          <w:szCs w:val="32"/>
        </w:rPr>
        <w:t>0.00</w:t>
      </w:r>
      <w:r>
        <w:rPr>
          <w:rFonts w:ascii="仿宋" w:eastAsia="仿宋" w:hAnsi="仿宋" w:hint="eastAsia"/>
          <w:sz w:val="32"/>
          <w:szCs w:val="32"/>
        </w:rPr>
        <w:t>万元、奖励金</w:t>
      </w:r>
      <w:r w:rsidR="002B1378">
        <w:rPr>
          <w:rFonts w:ascii="仿宋" w:eastAsia="仿宋" w:hAnsi="仿宋" w:hint="eastAsia"/>
          <w:sz w:val="32"/>
          <w:szCs w:val="32"/>
        </w:rPr>
        <w:t>0.1</w:t>
      </w:r>
      <w:r>
        <w:rPr>
          <w:rFonts w:ascii="仿宋" w:eastAsia="仿宋" w:hAnsi="仿宋" w:hint="eastAsia"/>
          <w:sz w:val="32"/>
          <w:szCs w:val="32"/>
        </w:rPr>
        <w:t>万元、住房公积金</w:t>
      </w:r>
      <w:r w:rsidR="002B1378" w:rsidRPr="002B1378">
        <w:rPr>
          <w:rFonts w:ascii="仿宋" w:eastAsia="仿宋" w:hAnsi="仿宋"/>
          <w:sz w:val="32"/>
          <w:szCs w:val="32"/>
        </w:rPr>
        <w:t>66.49</w:t>
      </w:r>
      <w:r>
        <w:rPr>
          <w:rFonts w:ascii="仿宋" w:eastAsia="仿宋" w:hAnsi="仿宋" w:hint="eastAsia"/>
          <w:sz w:val="32"/>
          <w:szCs w:val="32"/>
        </w:rPr>
        <w:t>万元、其他对个人和家庭的补助支出</w:t>
      </w:r>
      <w:r w:rsidR="002B1378">
        <w:rPr>
          <w:rFonts w:ascii="仿宋" w:eastAsia="仿宋" w:hAnsi="仿宋" w:hint="eastAsia"/>
          <w:sz w:val="32"/>
          <w:szCs w:val="32"/>
        </w:rPr>
        <w:t>0.1</w:t>
      </w:r>
      <w:r>
        <w:rPr>
          <w:rFonts w:ascii="仿宋" w:eastAsia="仿宋" w:hAnsi="仿宋" w:hint="eastAsia"/>
          <w:sz w:val="32"/>
          <w:szCs w:val="32"/>
        </w:rPr>
        <w:t>万元。</w:t>
      </w:r>
      <w:r>
        <w:rPr>
          <w:rFonts w:ascii="仿宋" w:eastAsia="仿宋" w:hAnsi="仿宋"/>
          <w:sz w:val="32"/>
          <w:szCs w:val="32"/>
        </w:rPr>
        <w:br/>
      </w:r>
      <w:r>
        <w:rPr>
          <w:rFonts w:ascii="仿宋" w:eastAsia="仿宋" w:hAnsi="仿宋" w:hint="eastAsia"/>
          <w:sz w:val="32"/>
          <w:szCs w:val="32"/>
        </w:rPr>
        <w:t xml:space="preserve">　　公用经费</w:t>
      </w:r>
      <w:r w:rsidR="002B1378">
        <w:rPr>
          <w:rFonts w:ascii="仿宋" w:eastAsia="仿宋" w:hAnsi="仿宋" w:hint="eastAsia"/>
          <w:sz w:val="32"/>
          <w:szCs w:val="32"/>
        </w:rPr>
        <w:t>205.42</w:t>
      </w:r>
      <w:r>
        <w:rPr>
          <w:rFonts w:ascii="仿宋" w:eastAsia="仿宋" w:hAnsi="仿宋" w:hint="eastAsia"/>
          <w:sz w:val="32"/>
          <w:szCs w:val="32"/>
        </w:rPr>
        <w:t>万元，主要包括：办公费</w:t>
      </w:r>
      <w:r w:rsidR="002B1378" w:rsidRPr="002B1378">
        <w:rPr>
          <w:rFonts w:ascii="仿宋" w:eastAsia="仿宋" w:hAnsi="仿宋"/>
          <w:sz w:val="32"/>
          <w:szCs w:val="32"/>
        </w:rPr>
        <w:t>36.17</w:t>
      </w:r>
      <w:r>
        <w:rPr>
          <w:rFonts w:ascii="仿宋" w:eastAsia="仿宋" w:hAnsi="仿宋" w:hint="eastAsia"/>
          <w:sz w:val="32"/>
          <w:szCs w:val="32"/>
        </w:rPr>
        <w:t>万元、印刷费</w:t>
      </w:r>
      <w:r w:rsidR="002B1378">
        <w:rPr>
          <w:rFonts w:ascii="仿宋" w:eastAsia="仿宋" w:hAnsi="仿宋" w:hint="eastAsia"/>
          <w:sz w:val="32"/>
          <w:szCs w:val="32"/>
        </w:rPr>
        <w:t>21.71</w:t>
      </w:r>
      <w:r>
        <w:rPr>
          <w:rFonts w:ascii="仿宋" w:eastAsia="仿宋" w:hAnsi="仿宋" w:hint="eastAsia"/>
          <w:sz w:val="32"/>
          <w:szCs w:val="32"/>
        </w:rPr>
        <w:t>万元、咨询费1万元、手续费</w:t>
      </w:r>
      <w:r w:rsidR="002B1378">
        <w:rPr>
          <w:rFonts w:ascii="仿宋" w:eastAsia="仿宋" w:hAnsi="仿宋" w:hint="eastAsia"/>
          <w:sz w:val="32"/>
          <w:szCs w:val="32"/>
        </w:rPr>
        <w:t>0.01</w:t>
      </w:r>
      <w:r>
        <w:rPr>
          <w:rFonts w:ascii="仿宋" w:eastAsia="仿宋" w:hAnsi="仿宋" w:hint="eastAsia"/>
          <w:sz w:val="32"/>
          <w:szCs w:val="32"/>
        </w:rPr>
        <w:t>万元、水费</w:t>
      </w:r>
      <w:r w:rsidR="002B1378">
        <w:rPr>
          <w:rFonts w:ascii="仿宋" w:eastAsia="仿宋" w:hAnsi="仿宋" w:hint="eastAsia"/>
          <w:sz w:val="32"/>
          <w:szCs w:val="32"/>
        </w:rPr>
        <w:t>12.86</w:t>
      </w:r>
      <w:r>
        <w:rPr>
          <w:rFonts w:ascii="仿宋" w:eastAsia="仿宋" w:hAnsi="仿宋" w:hint="eastAsia"/>
          <w:sz w:val="32"/>
          <w:szCs w:val="32"/>
        </w:rPr>
        <w:t>万元、电费</w:t>
      </w:r>
      <w:r w:rsidR="002B1378">
        <w:rPr>
          <w:rFonts w:ascii="仿宋" w:eastAsia="仿宋" w:hAnsi="仿宋" w:hint="eastAsia"/>
          <w:sz w:val="32"/>
          <w:szCs w:val="32"/>
        </w:rPr>
        <w:t>29.56</w:t>
      </w:r>
      <w:r>
        <w:rPr>
          <w:rFonts w:ascii="仿宋" w:eastAsia="仿宋" w:hAnsi="仿宋" w:hint="eastAsia"/>
          <w:sz w:val="32"/>
          <w:szCs w:val="32"/>
        </w:rPr>
        <w:t>万元、邮电费</w:t>
      </w:r>
      <w:r w:rsidR="002B1378">
        <w:rPr>
          <w:rFonts w:ascii="仿宋" w:eastAsia="仿宋" w:hAnsi="仿宋" w:hint="eastAsia"/>
          <w:sz w:val="32"/>
          <w:szCs w:val="32"/>
        </w:rPr>
        <w:t>11.08</w:t>
      </w:r>
      <w:r>
        <w:rPr>
          <w:rFonts w:ascii="仿宋" w:eastAsia="仿宋" w:hAnsi="仿宋" w:hint="eastAsia"/>
          <w:sz w:val="32"/>
          <w:szCs w:val="32"/>
        </w:rPr>
        <w:t>万元、物业管理费</w:t>
      </w:r>
      <w:r w:rsidR="002B1378">
        <w:rPr>
          <w:rFonts w:ascii="仿宋" w:eastAsia="仿宋" w:hAnsi="仿宋" w:hint="eastAsia"/>
          <w:sz w:val="32"/>
          <w:szCs w:val="32"/>
        </w:rPr>
        <w:t>10.96</w:t>
      </w:r>
      <w:r>
        <w:rPr>
          <w:rFonts w:ascii="仿宋" w:eastAsia="仿宋" w:hAnsi="仿宋" w:hint="eastAsia"/>
          <w:sz w:val="32"/>
          <w:szCs w:val="32"/>
        </w:rPr>
        <w:t>万元、差旅费</w:t>
      </w:r>
      <w:r w:rsidR="002B1378">
        <w:rPr>
          <w:rFonts w:ascii="仿宋" w:eastAsia="仿宋" w:hAnsi="仿宋" w:hint="eastAsia"/>
          <w:sz w:val="32"/>
          <w:szCs w:val="32"/>
        </w:rPr>
        <w:t>2.88</w:t>
      </w:r>
      <w:r>
        <w:rPr>
          <w:rFonts w:ascii="仿宋" w:eastAsia="仿宋" w:hAnsi="仿宋" w:hint="eastAsia"/>
          <w:sz w:val="32"/>
          <w:szCs w:val="32"/>
        </w:rPr>
        <w:t>万元、维修（护）费</w:t>
      </w:r>
      <w:r w:rsidR="002B1378">
        <w:rPr>
          <w:rFonts w:ascii="仿宋" w:eastAsia="仿宋" w:hAnsi="仿宋" w:hint="eastAsia"/>
          <w:sz w:val="32"/>
          <w:szCs w:val="32"/>
        </w:rPr>
        <w:t>29.93</w:t>
      </w:r>
      <w:r>
        <w:rPr>
          <w:rFonts w:ascii="仿宋" w:eastAsia="仿宋" w:hAnsi="仿宋" w:hint="eastAsia"/>
          <w:sz w:val="32"/>
          <w:szCs w:val="32"/>
        </w:rPr>
        <w:t>万元、培训费11.</w:t>
      </w:r>
      <w:r w:rsidR="002B1378">
        <w:rPr>
          <w:rFonts w:ascii="仿宋" w:eastAsia="仿宋" w:hAnsi="仿宋" w:hint="eastAsia"/>
          <w:sz w:val="32"/>
          <w:szCs w:val="32"/>
        </w:rPr>
        <w:t>65</w:t>
      </w:r>
      <w:r>
        <w:rPr>
          <w:rFonts w:ascii="仿宋" w:eastAsia="仿宋" w:hAnsi="仿宋" w:hint="eastAsia"/>
          <w:sz w:val="32"/>
          <w:szCs w:val="32"/>
        </w:rPr>
        <w:t>万元、</w:t>
      </w:r>
      <w:r w:rsidR="002B1378">
        <w:rPr>
          <w:rFonts w:ascii="仿宋" w:eastAsia="仿宋" w:hAnsi="仿宋" w:hint="eastAsia"/>
          <w:sz w:val="32"/>
          <w:szCs w:val="32"/>
        </w:rPr>
        <w:t>租赁费6.56万元、专用材料费1.6万元、</w:t>
      </w:r>
      <w:r>
        <w:rPr>
          <w:rFonts w:ascii="仿宋" w:eastAsia="仿宋" w:hAnsi="仿宋" w:hint="eastAsia"/>
          <w:sz w:val="32"/>
          <w:szCs w:val="32"/>
        </w:rPr>
        <w:t>劳务费</w:t>
      </w:r>
      <w:r w:rsidR="002B1378">
        <w:rPr>
          <w:rFonts w:ascii="仿宋" w:eastAsia="仿宋" w:hAnsi="仿宋" w:hint="eastAsia"/>
          <w:sz w:val="32"/>
          <w:szCs w:val="32"/>
        </w:rPr>
        <w:t>10.56</w:t>
      </w:r>
      <w:r>
        <w:rPr>
          <w:rFonts w:ascii="仿宋" w:eastAsia="仿宋" w:hAnsi="仿宋" w:hint="eastAsia"/>
          <w:sz w:val="32"/>
          <w:szCs w:val="32"/>
        </w:rPr>
        <w:t>万元、工会经费</w:t>
      </w:r>
      <w:r w:rsidR="002B1378">
        <w:rPr>
          <w:rFonts w:ascii="仿宋" w:eastAsia="仿宋" w:hAnsi="仿宋" w:hint="eastAsia"/>
          <w:sz w:val="32"/>
          <w:szCs w:val="32"/>
        </w:rPr>
        <w:t>3.33</w:t>
      </w:r>
      <w:r>
        <w:rPr>
          <w:rFonts w:ascii="仿宋" w:eastAsia="仿宋" w:hAnsi="仿宋" w:hint="eastAsia"/>
          <w:sz w:val="32"/>
          <w:szCs w:val="32"/>
        </w:rPr>
        <w:t>万元、福利费10</w:t>
      </w:r>
      <w:r w:rsidR="002B1378">
        <w:rPr>
          <w:rFonts w:ascii="仿宋" w:eastAsia="仿宋" w:hAnsi="仿宋" w:hint="eastAsia"/>
          <w:sz w:val="32"/>
          <w:szCs w:val="32"/>
        </w:rPr>
        <w:t>.00</w:t>
      </w:r>
      <w:r>
        <w:rPr>
          <w:rFonts w:ascii="仿宋" w:eastAsia="仿宋" w:hAnsi="仿宋" w:hint="eastAsia"/>
          <w:sz w:val="32"/>
          <w:szCs w:val="32"/>
        </w:rPr>
        <w:t>万元</w:t>
      </w:r>
      <w:r w:rsidR="002B1378">
        <w:rPr>
          <w:rFonts w:ascii="仿宋" w:eastAsia="仿宋" w:hAnsi="仿宋" w:hint="eastAsia"/>
          <w:sz w:val="32"/>
          <w:szCs w:val="32"/>
        </w:rPr>
        <w:t>、资本性支出5.55万元、办公设备购置5.25万元，专</w:t>
      </w:r>
      <w:r w:rsidR="002B1378">
        <w:rPr>
          <w:rFonts w:ascii="仿宋" w:eastAsia="仿宋" w:hAnsi="仿宋" w:hint="eastAsia"/>
          <w:sz w:val="32"/>
          <w:szCs w:val="32"/>
        </w:rPr>
        <w:lastRenderedPageBreak/>
        <w:t>用设备购置0.30万元</w:t>
      </w:r>
      <w:r>
        <w:rPr>
          <w:rFonts w:ascii="仿宋" w:eastAsia="仿宋" w:hAnsi="仿宋" w:hint="eastAsia"/>
          <w:sz w:val="32"/>
          <w:szCs w:val="32"/>
        </w:rPr>
        <w:t>。</w:t>
      </w:r>
    </w:p>
    <w:p w14:paraId="62F8C910" w14:textId="77777777" w:rsidR="00EF3470" w:rsidRDefault="00000000">
      <w:pPr>
        <w:spacing w:line="600" w:lineRule="exact"/>
        <w:ind w:firstLine="640"/>
        <w:outlineLvl w:val="1"/>
        <w:rPr>
          <w:rStyle w:val="20"/>
          <w:rFonts w:ascii="黑体" w:eastAsia="黑体" w:hAnsi="黑体" w:hint="eastAsia"/>
          <w:b w:val="0"/>
        </w:rPr>
      </w:pPr>
      <w:bookmarkStart w:id="36" w:name="_Toc15396609"/>
      <w:bookmarkStart w:id="37" w:name="_Toc15377215"/>
      <w:r>
        <w:rPr>
          <w:rFonts w:ascii="黑体" w:eastAsia="黑体" w:hint="eastAsia"/>
          <w:sz w:val="32"/>
          <w:szCs w:val="32"/>
        </w:rPr>
        <w:t>七、</w:t>
      </w:r>
      <w:r>
        <w:rPr>
          <w:rStyle w:val="20"/>
          <w:rFonts w:ascii="黑体" w:eastAsia="黑体" w:hAnsi="黑体" w:hint="eastAsia"/>
          <w:b w:val="0"/>
        </w:rPr>
        <w:t>财政拨款</w:t>
      </w:r>
      <w:r>
        <w:rPr>
          <w:rStyle w:val="20"/>
          <w:rFonts w:ascii="黑体" w:eastAsia="黑体" w:hAnsi="黑体" w:hint="eastAsia"/>
        </w:rPr>
        <w:t>“</w:t>
      </w:r>
      <w:r>
        <w:rPr>
          <w:rStyle w:val="20"/>
          <w:rFonts w:ascii="黑体" w:eastAsia="黑体" w:hAnsi="黑体" w:hint="eastAsia"/>
          <w:b w:val="0"/>
        </w:rPr>
        <w:t>三公”经费支出决算情况说明</w:t>
      </w:r>
      <w:bookmarkEnd w:id="36"/>
      <w:bookmarkEnd w:id="37"/>
    </w:p>
    <w:p w14:paraId="7D464A0B" w14:textId="77777777" w:rsidR="00EF3470" w:rsidRDefault="00000000">
      <w:pPr>
        <w:spacing w:line="600" w:lineRule="exact"/>
        <w:ind w:firstLine="640"/>
        <w:outlineLvl w:val="2"/>
        <w:rPr>
          <w:rFonts w:ascii="仿宋" w:eastAsia="仿宋" w:hAnsi="仿宋" w:hint="eastAsia"/>
          <w:b/>
          <w:sz w:val="32"/>
          <w:szCs w:val="32"/>
        </w:rPr>
      </w:pPr>
      <w:bookmarkStart w:id="38" w:name="_Toc15377216"/>
      <w:r>
        <w:rPr>
          <w:rFonts w:ascii="仿宋" w:eastAsia="仿宋" w:hAnsi="仿宋" w:hint="eastAsia"/>
          <w:b/>
          <w:sz w:val="32"/>
          <w:szCs w:val="32"/>
        </w:rPr>
        <w:t>（一）“三公”经费财政拨款支出决算总体情况说明</w:t>
      </w:r>
      <w:bookmarkEnd w:id="38"/>
    </w:p>
    <w:p w14:paraId="0C938308" w14:textId="4FD28B18" w:rsidR="00EF3470" w:rsidRDefault="007E7B8B">
      <w:pPr>
        <w:spacing w:line="600" w:lineRule="exact"/>
        <w:ind w:firstLine="640"/>
        <w:rPr>
          <w:rFonts w:ascii="仿宋" w:eastAsia="仿宋" w:hAnsi="仿宋" w:hint="eastAsia"/>
          <w:sz w:val="32"/>
          <w:szCs w:val="32"/>
        </w:rPr>
      </w:pPr>
      <w:r>
        <w:rPr>
          <w:rFonts w:ascii="仿宋" w:eastAsia="仿宋" w:hAnsi="仿宋"/>
          <w:sz w:val="32"/>
          <w:szCs w:val="32"/>
        </w:rPr>
        <w:t>2023</w:t>
      </w:r>
      <w:r>
        <w:rPr>
          <w:rFonts w:ascii="仿宋" w:eastAsia="仿宋" w:hAnsi="仿宋" w:hint="eastAsia"/>
          <w:sz w:val="32"/>
          <w:szCs w:val="32"/>
        </w:rPr>
        <w:t>年“三公”经费财政拨款支出决算为0万元，完成预算0</w:t>
      </w:r>
      <w:r>
        <w:rPr>
          <w:rFonts w:ascii="仿宋" w:eastAsia="仿宋" w:hAnsi="仿宋"/>
          <w:sz w:val="32"/>
          <w:szCs w:val="32"/>
        </w:rPr>
        <w:t>%</w:t>
      </w:r>
      <w:r>
        <w:rPr>
          <w:rFonts w:ascii="仿宋" w:eastAsia="仿宋" w:hAnsi="仿宋" w:hint="eastAsia"/>
          <w:sz w:val="32"/>
          <w:szCs w:val="32"/>
        </w:rPr>
        <w:t>，较上年增加/减少0万元，增长/下降0%。决算数与预算数持平。</w:t>
      </w:r>
    </w:p>
    <w:p w14:paraId="12168747" w14:textId="77777777" w:rsidR="00EF3470" w:rsidRDefault="00000000">
      <w:pPr>
        <w:spacing w:line="600" w:lineRule="exact"/>
        <w:ind w:firstLine="640"/>
        <w:outlineLvl w:val="2"/>
        <w:rPr>
          <w:rFonts w:ascii="仿宋" w:eastAsia="仿宋" w:hAnsi="仿宋" w:hint="eastAsia"/>
          <w:b/>
          <w:sz w:val="32"/>
          <w:szCs w:val="32"/>
        </w:rPr>
      </w:pPr>
      <w:bookmarkStart w:id="39" w:name="_Toc15377217"/>
      <w:r>
        <w:rPr>
          <w:rFonts w:ascii="仿宋" w:eastAsia="仿宋" w:hAnsi="仿宋" w:hint="eastAsia"/>
          <w:b/>
          <w:sz w:val="32"/>
          <w:szCs w:val="32"/>
        </w:rPr>
        <w:t>（二）“三公”经费财政拨款支出决算具体情况说明</w:t>
      </w:r>
      <w:bookmarkEnd w:id="39"/>
    </w:p>
    <w:p w14:paraId="05505935" w14:textId="5D1FF931" w:rsidR="00EF3470" w:rsidRDefault="007E7B8B">
      <w:pPr>
        <w:spacing w:line="600" w:lineRule="exact"/>
        <w:ind w:firstLine="640"/>
        <w:rPr>
          <w:rFonts w:ascii="仿宋" w:eastAsia="仿宋" w:hAnsi="仿宋" w:hint="eastAsia"/>
          <w:sz w:val="32"/>
          <w:szCs w:val="32"/>
        </w:rPr>
      </w:pPr>
      <w:r>
        <w:rPr>
          <w:rFonts w:ascii="仿宋" w:eastAsia="仿宋" w:hAnsi="仿宋"/>
          <w:sz w:val="32"/>
          <w:szCs w:val="32"/>
        </w:rPr>
        <w:t>2023</w:t>
      </w:r>
      <w:r>
        <w:rPr>
          <w:rFonts w:ascii="仿宋" w:eastAsia="仿宋" w:hAnsi="仿宋" w:hint="eastAsia"/>
          <w:sz w:val="32"/>
          <w:szCs w:val="32"/>
        </w:rPr>
        <w:t>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；公务用车购置及运行维护费支出决算0万元，占0</w:t>
      </w:r>
      <w:r>
        <w:rPr>
          <w:rFonts w:ascii="仿宋" w:eastAsia="仿宋" w:hAnsi="仿宋"/>
          <w:sz w:val="32"/>
          <w:szCs w:val="32"/>
        </w:rPr>
        <w:t>%</w:t>
      </w:r>
      <w:r>
        <w:rPr>
          <w:rFonts w:ascii="仿宋" w:eastAsia="仿宋" w:hAnsi="仿宋" w:hint="eastAsia"/>
          <w:sz w:val="32"/>
          <w:szCs w:val="32"/>
        </w:rPr>
        <w:t>；公务接待费支出决算0万元，占0</w:t>
      </w:r>
      <w:r>
        <w:rPr>
          <w:rFonts w:ascii="仿宋" w:eastAsia="仿宋" w:hAnsi="仿宋"/>
          <w:sz w:val="32"/>
          <w:szCs w:val="32"/>
        </w:rPr>
        <w:t>%</w:t>
      </w:r>
      <w:r>
        <w:rPr>
          <w:rFonts w:ascii="仿宋" w:eastAsia="仿宋" w:hAnsi="仿宋" w:hint="eastAsia"/>
          <w:sz w:val="32"/>
          <w:szCs w:val="32"/>
        </w:rPr>
        <w:t>。具体情况如下：</w:t>
      </w:r>
    </w:p>
    <w:p w14:paraId="65B19947" w14:textId="064EA975" w:rsidR="00EF3470" w:rsidRDefault="00000000">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b"/>
          <w:rFonts w:ascii="仿宋" w:eastAsia="仿宋" w:hAnsi="仿宋" w:hint="eastAsia"/>
          <w:b w:val="0"/>
          <w:bCs/>
          <w:sz w:val="32"/>
          <w:szCs w:val="32"/>
        </w:rPr>
        <w:t>完成预算0</w:t>
      </w:r>
      <w:r>
        <w:rPr>
          <w:rStyle w:val="ab"/>
          <w:rFonts w:ascii="仿宋" w:eastAsia="仿宋" w:hAnsi="仿宋"/>
          <w:b w:val="0"/>
          <w:bCs/>
          <w:sz w:val="32"/>
          <w:szCs w:val="32"/>
        </w:rPr>
        <w:t>%</w:t>
      </w:r>
      <w:r>
        <w:rPr>
          <w:rStyle w:val="ab"/>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全年安排因公出国（境）团组0次，出国（境）0人。因公出国（境）支出决算比</w:t>
      </w:r>
      <w:r w:rsidR="007E7B8B">
        <w:rPr>
          <w:rFonts w:ascii="仿宋_GB2312" w:eastAsia="仿宋_GB2312"/>
          <w:sz w:val="32"/>
          <w:szCs w:val="32"/>
        </w:rPr>
        <w:t>2022</w:t>
      </w:r>
      <w:r>
        <w:rPr>
          <w:rFonts w:ascii="仿宋_GB2312" w:eastAsia="仿宋_GB2312" w:hint="eastAsia"/>
          <w:sz w:val="32"/>
          <w:szCs w:val="32"/>
        </w:rPr>
        <w:t>年增加</w:t>
      </w:r>
      <w:r>
        <w:rPr>
          <w:rFonts w:ascii="仿宋_GB2312" w:eastAsia="仿宋_GB2312"/>
          <w:sz w:val="32"/>
          <w:szCs w:val="32"/>
        </w:rPr>
        <w:t>/</w:t>
      </w:r>
      <w:r>
        <w:rPr>
          <w:rFonts w:ascii="仿宋_GB2312" w:eastAsia="仿宋_GB2312" w:hint="eastAsia"/>
          <w:sz w:val="32"/>
          <w:szCs w:val="32"/>
        </w:rPr>
        <w:t>减少0万元，增长</w:t>
      </w:r>
      <w:r>
        <w:rPr>
          <w:rFonts w:ascii="仿宋_GB2312" w:eastAsia="仿宋_GB2312"/>
          <w:sz w:val="32"/>
          <w:szCs w:val="32"/>
        </w:rPr>
        <w:t>/</w:t>
      </w:r>
      <w:r>
        <w:rPr>
          <w:rFonts w:ascii="仿宋_GB2312" w:eastAsia="仿宋_GB2312" w:hint="eastAsia"/>
          <w:sz w:val="32"/>
          <w:szCs w:val="32"/>
        </w:rPr>
        <w:t>下降0</w:t>
      </w:r>
      <w:r>
        <w:rPr>
          <w:rFonts w:ascii="仿宋_GB2312" w:eastAsia="仿宋_GB2312"/>
          <w:sz w:val="32"/>
          <w:szCs w:val="32"/>
        </w:rPr>
        <w:t>%</w:t>
      </w:r>
      <w:r>
        <w:rPr>
          <w:rFonts w:ascii="仿宋_GB2312" w:eastAsia="仿宋_GB2312" w:hint="eastAsia"/>
          <w:sz w:val="32"/>
          <w:szCs w:val="32"/>
        </w:rPr>
        <w:t>。</w:t>
      </w:r>
    </w:p>
    <w:p w14:paraId="69522669" w14:textId="112C7B33" w:rsidR="00EF3470" w:rsidRDefault="00000000">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r>
        <w:rPr>
          <w:rStyle w:val="ab"/>
          <w:rFonts w:ascii="仿宋" w:eastAsia="仿宋" w:hAnsi="仿宋" w:hint="eastAsia"/>
          <w:b w:val="0"/>
          <w:bCs/>
          <w:sz w:val="32"/>
          <w:szCs w:val="32"/>
        </w:rPr>
        <w:t>完成预算0</w:t>
      </w:r>
      <w:r>
        <w:rPr>
          <w:rStyle w:val="ab"/>
          <w:rFonts w:ascii="仿宋" w:eastAsia="仿宋" w:hAnsi="仿宋"/>
          <w:b w:val="0"/>
          <w:bCs/>
          <w:sz w:val="32"/>
          <w:szCs w:val="32"/>
        </w:rPr>
        <w:t>%</w:t>
      </w:r>
      <w:r>
        <w:rPr>
          <w:rStyle w:val="ab"/>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sidR="007E7B8B">
        <w:rPr>
          <w:rFonts w:ascii="仿宋_GB2312" w:eastAsia="仿宋_GB2312"/>
          <w:sz w:val="32"/>
          <w:szCs w:val="32"/>
        </w:rPr>
        <w:t>2022</w:t>
      </w:r>
      <w:r>
        <w:rPr>
          <w:rFonts w:ascii="仿宋_GB2312" w:eastAsia="仿宋_GB2312" w:hint="eastAsia"/>
          <w:sz w:val="32"/>
          <w:szCs w:val="32"/>
        </w:rPr>
        <w:t>年增加</w:t>
      </w:r>
      <w:r>
        <w:rPr>
          <w:rFonts w:ascii="仿宋_GB2312" w:eastAsia="仿宋_GB2312"/>
          <w:sz w:val="32"/>
          <w:szCs w:val="32"/>
        </w:rPr>
        <w:t>/</w:t>
      </w:r>
      <w:r>
        <w:rPr>
          <w:rFonts w:ascii="仿宋_GB2312" w:eastAsia="仿宋_GB2312" w:hint="eastAsia"/>
          <w:sz w:val="32"/>
          <w:szCs w:val="32"/>
        </w:rPr>
        <w:t>减少0万元，增长</w:t>
      </w:r>
      <w:r>
        <w:rPr>
          <w:rFonts w:ascii="仿宋_GB2312" w:eastAsia="仿宋_GB2312"/>
          <w:sz w:val="32"/>
          <w:szCs w:val="32"/>
        </w:rPr>
        <w:t>/</w:t>
      </w:r>
      <w:r>
        <w:rPr>
          <w:rFonts w:ascii="仿宋_GB2312" w:eastAsia="仿宋_GB2312" w:hint="eastAsia"/>
          <w:sz w:val="32"/>
          <w:szCs w:val="32"/>
        </w:rPr>
        <w:t>下降0</w:t>
      </w:r>
      <w:r>
        <w:rPr>
          <w:rFonts w:ascii="仿宋_GB2312" w:eastAsia="仿宋_GB2312"/>
          <w:sz w:val="32"/>
          <w:szCs w:val="32"/>
        </w:rPr>
        <w:t>%</w:t>
      </w:r>
      <w:r>
        <w:rPr>
          <w:rFonts w:ascii="仿宋_GB2312" w:eastAsia="仿宋_GB2312" w:hint="eastAsia"/>
          <w:sz w:val="32"/>
          <w:szCs w:val="32"/>
        </w:rPr>
        <w:t>。</w:t>
      </w:r>
    </w:p>
    <w:p w14:paraId="0F988062" w14:textId="3D348D71" w:rsidR="00EF3470" w:rsidRDefault="00000000">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0万元。全年按规定更新购置公务用车0辆。截至</w:t>
      </w:r>
      <w:r w:rsidR="007E7B8B">
        <w:rPr>
          <w:rFonts w:ascii="仿宋_GB2312" w:eastAsia="仿宋_GB2312"/>
          <w:sz w:val="32"/>
          <w:szCs w:val="32"/>
        </w:rPr>
        <w:t>2023</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月底，单位共有公务用车0辆。</w:t>
      </w:r>
    </w:p>
    <w:p w14:paraId="6881FB34" w14:textId="77777777" w:rsidR="00EF3470" w:rsidRDefault="0000000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w:t>
      </w:r>
    </w:p>
    <w:p w14:paraId="5D8EDE4B" w14:textId="12081753" w:rsidR="00EF3470" w:rsidRDefault="00000000">
      <w:pPr>
        <w:numPr>
          <w:ilvl w:val="0"/>
          <w:numId w:val="3"/>
        </w:numPr>
        <w:spacing w:line="600" w:lineRule="exact"/>
        <w:ind w:firstLine="640"/>
        <w:rPr>
          <w:rFonts w:ascii="仿宋_GB2312" w:eastAsia="仿宋_GB2312"/>
          <w:sz w:val="32"/>
          <w:szCs w:val="32"/>
        </w:rPr>
      </w:pPr>
      <w:r>
        <w:rPr>
          <w:rFonts w:ascii="仿宋_GB2312" w:eastAsia="仿宋_GB2312" w:hint="eastAsia"/>
          <w:b/>
          <w:sz w:val="32"/>
          <w:szCs w:val="32"/>
        </w:rPr>
        <w:t>公务接待费支出</w:t>
      </w:r>
      <w:r>
        <w:rPr>
          <w:rFonts w:ascii="仿宋_GB2312" w:eastAsia="仿宋_GB2312" w:hint="eastAsia"/>
          <w:sz w:val="32"/>
          <w:szCs w:val="32"/>
        </w:rPr>
        <w:t>0万元，</w:t>
      </w:r>
      <w:r>
        <w:rPr>
          <w:rStyle w:val="ab"/>
          <w:rFonts w:ascii="仿宋" w:eastAsia="仿宋" w:hAnsi="仿宋" w:hint="eastAsia"/>
          <w:b w:val="0"/>
          <w:bCs/>
          <w:sz w:val="32"/>
          <w:szCs w:val="32"/>
        </w:rPr>
        <w:t>完成预算0</w:t>
      </w:r>
      <w:r>
        <w:rPr>
          <w:rStyle w:val="ab"/>
          <w:rFonts w:ascii="仿宋" w:eastAsia="仿宋" w:hAnsi="仿宋"/>
          <w:b w:val="0"/>
          <w:bCs/>
          <w:sz w:val="32"/>
          <w:szCs w:val="32"/>
        </w:rPr>
        <w:t>%</w:t>
      </w:r>
      <w:r>
        <w:rPr>
          <w:rStyle w:val="ab"/>
          <w:rFonts w:ascii="仿宋" w:eastAsia="仿宋" w:hAnsi="仿宋" w:hint="eastAsia"/>
          <w:b w:val="0"/>
          <w:bCs/>
          <w:sz w:val="32"/>
          <w:szCs w:val="32"/>
        </w:rPr>
        <w:t>。</w:t>
      </w:r>
      <w:r>
        <w:rPr>
          <w:rFonts w:ascii="仿宋_GB2312" w:eastAsia="仿宋_GB2312" w:hint="eastAsia"/>
          <w:sz w:val="32"/>
          <w:szCs w:val="32"/>
        </w:rPr>
        <w:t>公务接待费支出决算比</w:t>
      </w:r>
      <w:r w:rsidR="007E7B8B">
        <w:rPr>
          <w:rFonts w:ascii="仿宋_GB2312" w:eastAsia="仿宋_GB2312"/>
          <w:sz w:val="32"/>
          <w:szCs w:val="32"/>
        </w:rPr>
        <w:t>2022</w:t>
      </w:r>
      <w:r>
        <w:rPr>
          <w:rFonts w:ascii="仿宋_GB2312" w:eastAsia="仿宋_GB2312" w:hint="eastAsia"/>
          <w:sz w:val="32"/>
          <w:szCs w:val="32"/>
        </w:rPr>
        <w:t>年增加</w:t>
      </w:r>
      <w:r>
        <w:rPr>
          <w:rFonts w:ascii="仿宋_GB2312" w:eastAsia="仿宋_GB2312"/>
          <w:sz w:val="32"/>
          <w:szCs w:val="32"/>
        </w:rPr>
        <w:t>/</w:t>
      </w:r>
      <w:r>
        <w:rPr>
          <w:rFonts w:ascii="仿宋_GB2312" w:eastAsia="仿宋_GB2312" w:hint="eastAsia"/>
          <w:sz w:val="32"/>
          <w:szCs w:val="32"/>
        </w:rPr>
        <w:t>减少0万元，增长</w:t>
      </w:r>
      <w:r>
        <w:rPr>
          <w:rFonts w:ascii="仿宋_GB2312" w:eastAsia="仿宋_GB2312"/>
          <w:sz w:val="32"/>
          <w:szCs w:val="32"/>
        </w:rPr>
        <w:t>/</w:t>
      </w:r>
      <w:r>
        <w:rPr>
          <w:rFonts w:ascii="仿宋_GB2312" w:eastAsia="仿宋_GB2312" w:hint="eastAsia"/>
          <w:sz w:val="32"/>
          <w:szCs w:val="32"/>
        </w:rPr>
        <w:t>下降0</w:t>
      </w:r>
      <w:r>
        <w:rPr>
          <w:rFonts w:ascii="仿宋_GB2312" w:eastAsia="仿宋_GB2312"/>
          <w:sz w:val="32"/>
          <w:szCs w:val="32"/>
        </w:rPr>
        <w:t>%</w:t>
      </w:r>
      <w:r>
        <w:rPr>
          <w:rFonts w:ascii="仿宋_GB2312" w:eastAsia="仿宋_GB2312" w:hint="eastAsia"/>
          <w:sz w:val="32"/>
          <w:szCs w:val="32"/>
        </w:rPr>
        <w:t>。</w:t>
      </w:r>
    </w:p>
    <w:p w14:paraId="4CF2CC5F" w14:textId="77777777" w:rsidR="00EF3470" w:rsidRDefault="00000000">
      <w:pPr>
        <w:spacing w:line="600" w:lineRule="exact"/>
        <w:ind w:firstLineChars="200" w:firstLine="643"/>
        <w:rPr>
          <w:rFonts w:ascii="仿宋_GB2312" w:eastAsia="仿宋_GB2312"/>
          <w:sz w:val="32"/>
          <w:szCs w:val="32"/>
        </w:rPr>
      </w:pPr>
      <w:r>
        <w:rPr>
          <w:rFonts w:ascii="仿宋" w:eastAsia="仿宋" w:hAnsi="仿宋" w:hint="eastAsia"/>
          <w:b/>
          <w:sz w:val="32"/>
          <w:szCs w:val="32"/>
        </w:rPr>
        <w:lastRenderedPageBreak/>
        <w:t>国内公务接待支出</w:t>
      </w:r>
      <w:r>
        <w:rPr>
          <w:rFonts w:ascii="仿宋" w:eastAsia="仿宋" w:hAnsi="仿宋" w:hint="eastAsia"/>
          <w:sz w:val="32"/>
          <w:szCs w:val="32"/>
        </w:rPr>
        <w:t>0</w:t>
      </w:r>
      <w:r>
        <w:rPr>
          <w:rFonts w:ascii="仿宋_GB2312" w:eastAsia="仿宋_GB2312" w:hint="eastAsia"/>
          <w:sz w:val="32"/>
          <w:szCs w:val="32"/>
        </w:rPr>
        <w:t>万元。</w:t>
      </w:r>
    </w:p>
    <w:p w14:paraId="19972C49" w14:textId="77777777" w:rsidR="00EF3470" w:rsidRDefault="00000000">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w:t>
      </w:r>
      <w:bookmarkStart w:id="40" w:name="_Toc15396610"/>
      <w:bookmarkStart w:id="41" w:name="_Toc15377218"/>
    </w:p>
    <w:p w14:paraId="7C960664" w14:textId="77777777" w:rsidR="00EF3470" w:rsidRDefault="00000000">
      <w:pPr>
        <w:spacing w:line="600" w:lineRule="exact"/>
        <w:ind w:firstLine="640"/>
        <w:outlineLvl w:val="1"/>
        <w:rPr>
          <w:rStyle w:val="20"/>
          <w:rFonts w:ascii="黑体" w:eastAsia="黑体" w:hAnsi="黑体" w:hint="eastAsia"/>
        </w:rPr>
      </w:pPr>
      <w:r>
        <w:rPr>
          <w:rFonts w:ascii="黑体" w:eastAsia="黑体" w:hint="eastAsia"/>
          <w:sz w:val="32"/>
          <w:szCs w:val="32"/>
        </w:rPr>
        <w:t>八、</w:t>
      </w:r>
      <w:r>
        <w:rPr>
          <w:rStyle w:val="20"/>
          <w:rFonts w:ascii="黑体" w:eastAsia="黑体" w:hAnsi="黑体" w:hint="eastAsia"/>
          <w:b w:val="0"/>
        </w:rPr>
        <w:t>政府性基金预算支出决算情况说明</w:t>
      </w:r>
      <w:bookmarkEnd w:id="40"/>
      <w:bookmarkEnd w:id="41"/>
    </w:p>
    <w:p w14:paraId="228026F0" w14:textId="6AF8BCEF" w:rsidR="00EF3470" w:rsidRDefault="007E7B8B">
      <w:pPr>
        <w:spacing w:line="600" w:lineRule="exact"/>
        <w:ind w:firstLine="640"/>
        <w:rPr>
          <w:rFonts w:ascii="仿宋_GB2312" w:eastAsia="仿宋_GB2312"/>
          <w:sz w:val="32"/>
          <w:szCs w:val="32"/>
        </w:rPr>
      </w:pPr>
      <w:r>
        <w:rPr>
          <w:rFonts w:ascii="仿宋_GB2312" w:eastAsia="仿宋_GB2312"/>
          <w:sz w:val="32"/>
          <w:szCs w:val="32"/>
        </w:rPr>
        <w:t>2023</w:t>
      </w:r>
      <w:r>
        <w:rPr>
          <w:rFonts w:ascii="仿宋_GB2312" w:eastAsia="仿宋_GB2312" w:hint="eastAsia"/>
          <w:sz w:val="32"/>
          <w:szCs w:val="32"/>
        </w:rPr>
        <w:t>年政府性基金预算财政拨款支出0万元。</w:t>
      </w:r>
    </w:p>
    <w:p w14:paraId="42235EC6" w14:textId="77777777" w:rsidR="00EF3470" w:rsidRDefault="00000000">
      <w:pPr>
        <w:numPr>
          <w:ilvl w:val="0"/>
          <w:numId w:val="4"/>
        </w:numPr>
        <w:spacing w:line="600" w:lineRule="exact"/>
        <w:ind w:firstLine="640"/>
        <w:outlineLvl w:val="1"/>
        <w:rPr>
          <w:rStyle w:val="20"/>
          <w:rFonts w:ascii="黑体" w:eastAsia="黑体" w:hAnsi="黑体" w:hint="eastAsia"/>
          <w:b w:val="0"/>
        </w:rPr>
      </w:pPr>
      <w:bookmarkStart w:id="42" w:name="_Toc15377219"/>
      <w:bookmarkStart w:id="43" w:name="_Toc15396611"/>
      <w:r>
        <w:rPr>
          <w:rStyle w:val="20"/>
          <w:rFonts w:ascii="黑体" w:eastAsia="黑体" w:hAnsi="黑体" w:hint="eastAsia"/>
          <w:b w:val="0"/>
        </w:rPr>
        <w:t>国有资本经营预算支出决算情况说明</w:t>
      </w:r>
      <w:bookmarkEnd w:id="42"/>
      <w:bookmarkEnd w:id="43"/>
    </w:p>
    <w:p w14:paraId="7637AE38" w14:textId="2219A70F" w:rsidR="00EF3470" w:rsidRPr="00C85E3D" w:rsidRDefault="007E7B8B" w:rsidP="00C85E3D">
      <w:pPr>
        <w:spacing w:line="600" w:lineRule="exact"/>
        <w:ind w:firstLine="640"/>
        <w:rPr>
          <w:rFonts w:ascii="仿宋_GB2312" w:eastAsia="仿宋_GB2312"/>
          <w:sz w:val="32"/>
          <w:szCs w:val="32"/>
        </w:rPr>
      </w:pPr>
      <w:r>
        <w:rPr>
          <w:rFonts w:ascii="仿宋_GB2312" w:eastAsia="仿宋_GB2312"/>
          <w:sz w:val="32"/>
          <w:szCs w:val="32"/>
        </w:rPr>
        <w:t>2023</w:t>
      </w:r>
      <w:r>
        <w:rPr>
          <w:rFonts w:ascii="仿宋_GB2312" w:eastAsia="仿宋_GB2312" w:hint="eastAsia"/>
          <w:sz w:val="32"/>
          <w:szCs w:val="32"/>
        </w:rPr>
        <w:t>年国有资本经营预算财政拨款支出0万元。</w:t>
      </w:r>
    </w:p>
    <w:p w14:paraId="512380C5" w14:textId="77777777" w:rsidR="00EF3470" w:rsidRDefault="00000000">
      <w:pPr>
        <w:numPr>
          <w:ilvl w:val="0"/>
          <w:numId w:val="4"/>
        </w:numPr>
        <w:spacing w:line="600" w:lineRule="exact"/>
        <w:ind w:firstLine="640"/>
        <w:outlineLvl w:val="1"/>
        <w:rPr>
          <w:rStyle w:val="20"/>
          <w:rFonts w:ascii="黑体" w:eastAsia="黑体" w:hAnsi="黑体" w:hint="eastAsia"/>
          <w:b w:val="0"/>
        </w:rPr>
      </w:pPr>
      <w:bookmarkStart w:id="44" w:name="_Toc15396612"/>
      <w:bookmarkStart w:id="45" w:name="_Toc15377221"/>
      <w:r>
        <w:rPr>
          <w:rStyle w:val="20"/>
          <w:rFonts w:ascii="黑体" w:eastAsia="黑体" w:hAnsi="黑体" w:hint="eastAsia"/>
          <w:b w:val="0"/>
        </w:rPr>
        <w:t>其他重要事项的情况说明</w:t>
      </w:r>
      <w:bookmarkEnd w:id="44"/>
      <w:bookmarkEnd w:id="45"/>
    </w:p>
    <w:p w14:paraId="5A0FEB18" w14:textId="77777777" w:rsidR="00EF3470" w:rsidRDefault="00000000">
      <w:pPr>
        <w:spacing w:line="600" w:lineRule="exact"/>
        <w:ind w:firstLineChars="200" w:firstLine="643"/>
        <w:outlineLvl w:val="2"/>
        <w:rPr>
          <w:rFonts w:ascii="仿宋" w:eastAsia="仿宋" w:hAnsi="仿宋" w:hint="eastAsia"/>
          <w:sz w:val="32"/>
          <w:szCs w:val="32"/>
        </w:rPr>
      </w:pPr>
      <w:bookmarkStart w:id="46" w:name="_Toc15377222"/>
      <w:r>
        <w:rPr>
          <w:rFonts w:ascii="仿宋" w:eastAsia="仿宋" w:hAnsi="仿宋" w:hint="eastAsia"/>
          <w:b/>
          <w:sz w:val="32"/>
          <w:szCs w:val="32"/>
        </w:rPr>
        <w:t>（一）机关运行经费支出情况</w:t>
      </w:r>
      <w:bookmarkEnd w:id="46"/>
    </w:p>
    <w:p w14:paraId="2FBAD648" w14:textId="40CC8362" w:rsidR="00EF3470" w:rsidRDefault="007E7B8B">
      <w:pPr>
        <w:spacing w:line="600" w:lineRule="exact"/>
        <w:ind w:firstLineChars="200" w:firstLine="640"/>
        <w:rPr>
          <w:rFonts w:ascii="仿宋_GB2312" w:eastAsia="仿宋_GB2312"/>
          <w:sz w:val="32"/>
          <w:szCs w:val="32"/>
        </w:rPr>
      </w:pPr>
      <w:r>
        <w:rPr>
          <w:rFonts w:ascii="仿宋_GB2312" w:eastAsia="仿宋_GB2312"/>
          <w:sz w:val="32"/>
          <w:szCs w:val="32"/>
        </w:rPr>
        <w:t>2023</w:t>
      </w:r>
      <w:r>
        <w:rPr>
          <w:rFonts w:ascii="仿宋_GB2312" w:eastAsia="仿宋_GB2312" w:hint="eastAsia"/>
          <w:sz w:val="32"/>
          <w:szCs w:val="32"/>
        </w:rPr>
        <w:t>年，0机关运行经费支出0万元，比</w:t>
      </w:r>
      <w:r>
        <w:rPr>
          <w:rFonts w:ascii="仿宋_GB2312" w:eastAsia="仿宋_GB2312"/>
          <w:sz w:val="32"/>
          <w:szCs w:val="32"/>
        </w:rPr>
        <w:t>2022</w:t>
      </w:r>
      <w:r>
        <w:rPr>
          <w:rFonts w:ascii="仿宋_GB2312" w:eastAsia="仿宋_GB2312" w:hint="eastAsia"/>
          <w:sz w:val="32"/>
          <w:szCs w:val="32"/>
        </w:rPr>
        <w:t>年增加</w:t>
      </w:r>
      <w:r>
        <w:rPr>
          <w:rFonts w:ascii="仿宋_GB2312" w:eastAsia="仿宋_GB2312"/>
          <w:sz w:val="32"/>
          <w:szCs w:val="32"/>
        </w:rPr>
        <w:t>/</w:t>
      </w:r>
      <w:r>
        <w:rPr>
          <w:rFonts w:ascii="仿宋_GB2312" w:eastAsia="仿宋_GB2312" w:hint="eastAsia"/>
          <w:sz w:val="32"/>
          <w:szCs w:val="32"/>
        </w:rPr>
        <w:t>减少0万元，与</w:t>
      </w:r>
      <w:r>
        <w:rPr>
          <w:rFonts w:ascii="仿宋_GB2312" w:eastAsia="仿宋_GB2312"/>
          <w:sz w:val="32"/>
          <w:szCs w:val="32"/>
        </w:rPr>
        <w:t>2022</w:t>
      </w:r>
      <w:r>
        <w:rPr>
          <w:rFonts w:ascii="仿宋_GB2312" w:eastAsia="仿宋_GB2312" w:hint="eastAsia"/>
          <w:sz w:val="32"/>
          <w:szCs w:val="32"/>
        </w:rPr>
        <w:t>年决算数持平.</w:t>
      </w:r>
    </w:p>
    <w:p w14:paraId="2DBB447A" w14:textId="77777777" w:rsidR="00EF3470" w:rsidRDefault="00000000">
      <w:pPr>
        <w:autoSpaceDE w:val="0"/>
        <w:autoSpaceDN w:val="0"/>
        <w:adjustRightInd w:val="0"/>
        <w:spacing w:line="600" w:lineRule="exact"/>
        <w:ind w:firstLineChars="200" w:firstLine="643"/>
        <w:jc w:val="left"/>
        <w:outlineLvl w:val="2"/>
        <w:rPr>
          <w:rFonts w:ascii="仿宋" w:eastAsia="仿宋" w:hAnsi="仿宋" w:hint="eastAsia"/>
          <w:b/>
          <w:sz w:val="32"/>
          <w:szCs w:val="32"/>
        </w:rPr>
      </w:pPr>
      <w:bookmarkStart w:id="47" w:name="_Toc15377223"/>
      <w:r>
        <w:rPr>
          <w:rFonts w:ascii="仿宋" w:eastAsia="仿宋" w:hAnsi="仿宋" w:hint="eastAsia"/>
          <w:b/>
          <w:sz w:val="32"/>
          <w:szCs w:val="32"/>
        </w:rPr>
        <w:t>（二）政府采购支出情况</w:t>
      </w:r>
      <w:bookmarkEnd w:id="47"/>
    </w:p>
    <w:p w14:paraId="043EB844" w14:textId="0EDA9D89" w:rsidR="00EF3470" w:rsidRDefault="007E7B8B">
      <w:pPr>
        <w:spacing w:line="600" w:lineRule="exact"/>
        <w:ind w:firstLineChars="200" w:firstLine="640"/>
        <w:rPr>
          <w:rFonts w:ascii="仿宋_GB2312" w:eastAsia="仿宋_GB2312"/>
          <w:sz w:val="32"/>
          <w:szCs w:val="32"/>
        </w:rPr>
      </w:pPr>
      <w:r>
        <w:rPr>
          <w:rFonts w:ascii="仿宋_GB2312" w:eastAsia="仿宋_GB2312"/>
          <w:sz w:val="32"/>
          <w:szCs w:val="32"/>
        </w:rPr>
        <w:t>2023</w:t>
      </w:r>
      <w:r>
        <w:rPr>
          <w:rFonts w:ascii="仿宋_GB2312" w:eastAsia="仿宋_GB2312" w:hint="eastAsia"/>
          <w:sz w:val="32"/>
          <w:szCs w:val="32"/>
        </w:rPr>
        <w:t>年，兴安初中政府采购支出总额</w:t>
      </w:r>
      <w:r w:rsidR="004E7ACD">
        <w:rPr>
          <w:rFonts w:ascii="仿宋_GB2312" w:eastAsia="仿宋_GB2312" w:hint="eastAsia"/>
          <w:sz w:val="32"/>
          <w:szCs w:val="32"/>
        </w:rPr>
        <w:t>91.59</w:t>
      </w:r>
      <w:r>
        <w:rPr>
          <w:rFonts w:ascii="仿宋_GB2312" w:eastAsia="仿宋_GB2312" w:hint="eastAsia"/>
          <w:sz w:val="32"/>
          <w:szCs w:val="32"/>
        </w:rPr>
        <w:t>万元，其中：政府采购货物支出</w:t>
      </w:r>
      <w:r w:rsidR="004E7ACD">
        <w:rPr>
          <w:rFonts w:ascii="仿宋_GB2312" w:eastAsia="仿宋_GB2312" w:hint="eastAsia"/>
          <w:sz w:val="32"/>
          <w:szCs w:val="32"/>
        </w:rPr>
        <w:t>91.59</w:t>
      </w:r>
      <w:r>
        <w:rPr>
          <w:rFonts w:ascii="仿宋_GB2312" w:eastAsia="仿宋_GB2312" w:hint="eastAsia"/>
          <w:sz w:val="32"/>
          <w:szCs w:val="32"/>
        </w:rPr>
        <w:t>万元、政府采购工程支出</w:t>
      </w:r>
      <w:r w:rsidR="004E7ACD">
        <w:rPr>
          <w:rFonts w:ascii="仿宋_GB2312" w:eastAsia="仿宋_GB2312" w:hint="eastAsia"/>
          <w:sz w:val="32"/>
          <w:szCs w:val="32"/>
        </w:rPr>
        <w:t>0.00</w:t>
      </w:r>
    </w:p>
    <w:p w14:paraId="752FC82A" w14:textId="17FAAB5B" w:rsidR="00EF3470" w:rsidRDefault="00000000">
      <w:pPr>
        <w:spacing w:line="600" w:lineRule="exact"/>
        <w:rPr>
          <w:rFonts w:ascii="仿宋_GB2312" w:eastAsia="仿宋_GB2312"/>
          <w:sz w:val="32"/>
          <w:szCs w:val="32"/>
        </w:rPr>
      </w:pPr>
      <w:r>
        <w:rPr>
          <w:rFonts w:ascii="仿宋_GB2312" w:eastAsia="仿宋_GB2312" w:hint="eastAsia"/>
          <w:sz w:val="32"/>
          <w:szCs w:val="32"/>
        </w:rPr>
        <w:t>万元。主要用于教学仪器设备采购、工程款支付。授予中小企业合同金额</w:t>
      </w:r>
      <w:r w:rsidR="004E7ACD">
        <w:rPr>
          <w:rFonts w:ascii="仿宋_GB2312" w:eastAsia="仿宋_GB2312" w:hint="eastAsia"/>
          <w:sz w:val="32"/>
          <w:szCs w:val="32"/>
        </w:rPr>
        <w:t>91.59</w:t>
      </w:r>
      <w:r>
        <w:rPr>
          <w:rFonts w:ascii="仿宋_GB2312" w:eastAsia="仿宋_GB2312" w:hint="eastAsia"/>
          <w:sz w:val="32"/>
          <w:szCs w:val="32"/>
        </w:rPr>
        <w:t>万元，占政府采购支出总额的100</w:t>
      </w:r>
      <w:r>
        <w:rPr>
          <w:rFonts w:ascii="仿宋_GB2312" w:eastAsia="仿宋_GB2312"/>
          <w:sz w:val="32"/>
          <w:szCs w:val="32"/>
        </w:rPr>
        <w:t>%</w:t>
      </w:r>
      <w:r>
        <w:rPr>
          <w:rFonts w:ascii="仿宋_GB2312" w:eastAsia="仿宋_GB2312" w:hint="eastAsia"/>
          <w:sz w:val="32"/>
          <w:szCs w:val="32"/>
        </w:rPr>
        <w:t>，</w:t>
      </w:r>
    </w:p>
    <w:p w14:paraId="451EEDB1" w14:textId="77777777" w:rsidR="00EF3470" w:rsidRDefault="00000000">
      <w:pPr>
        <w:autoSpaceDE w:val="0"/>
        <w:autoSpaceDN w:val="0"/>
        <w:adjustRightInd w:val="0"/>
        <w:spacing w:line="600" w:lineRule="exact"/>
        <w:ind w:firstLineChars="200" w:firstLine="643"/>
        <w:jc w:val="left"/>
        <w:outlineLvl w:val="2"/>
        <w:rPr>
          <w:rFonts w:ascii="仿宋" w:eastAsia="仿宋" w:hAnsi="仿宋" w:hint="eastAsia"/>
          <w:b/>
          <w:sz w:val="32"/>
          <w:szCs w:val="32"/>
        </w:rPr>
      </w:pPr>
      <w:bookmarkStart w:id="48" w:name="_Toc15377224"/>
      <w:r>
        <w:rPr>
          <w:rFonts w:ascii="仿宋" w:eastAsia="仿宋" w:hAnsi="仿宋" w:hint="eastAsia"/>
          <w:b/>
          <w:sz w:val="32"/>
          <w:szCs w:val="32"/>
        </w:rPr>
        <w:t>（三）国有资产占有使用情况</w:t>
      </w:r>
      <w:bookmarkEnd w:id="48"/>
    </w:p>
    <w:p w14:paraId="4E9171A5" w14:textId="79F586E5" w:rsidR="00EF3470" w:rsidRDefault="0000000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sidR="007E7B8B">
        <w:rPr>
          <w:rFonts w:ascii="仿宋_GB2312" w:eastAsia="仿宋_GB2312"/>
          <w:sz w:val="32"/>
          <w:szCs w:val="32"/>
        </w:rPr>
        <w:t>2023</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日，兴安初中共有车辆0辆。单价</w:t>
      </w:r>
      <w:r>
        <w:rPr>
          <w:rFonts w:ascii="仿宋_GB2312" w:eastAsia="仿宋_GB2312"/>
          <w:sz w:val="32"/>
          <w:szCs w:val="32"/>
        </w:rPr>
        <w:t>100</w:t>
      </w:r>
      <w:r>
        <w:rPr>
          <w:rFonts w:ascii="仿宋_GB2312" w:eastAsia="仿宋_GB2312" w:hint="eastAsia"/>
          <w:sz w:val="32"/>
          <w:szCs w:val="32"/>
        </w:rPr>
        <w:t>万元以上专用设备0台（套）。</w:t>
      </w:r>
    </w:p>
    <w:p w14:paraId="3CC1B8AF" w14:textId="77777777" w:rsidR="00EF3470" w:rsidRDefault="00000000">
      <w:pPr>
        <w:autoSpaceDE w:val="0"/>
        <w:autoSpaceDN w:val="0"/>
        <w:adjustRightInd w:val="0"/>
        <w:spacing w:line="600" w:lineRule="exact"/>
        <w:ind w:firstLineChars="200" w:firstLine="643"/>
        <w:jc w:val="left"/>
        <w:outlineLvl w:val="2"/>
        <w:rPr>
          <w:rFonts w:ascii="仿宋" w:eastAsia="仿宋" w:hAnsi="仿宋" w:hint="eastAsia"/>
          <w:b/>
          <w:sz w:val="32"/>
          <w:szCs w:val="32"/>
        </w:rPr>
      </w:pPr>
      <w:r>
        <w:rPr>
          <w:rFonts w:ascii="仿宋" w:eastAsia="仿宋" w:hAnsi="仿宋" w:hint="eastAsia"/>
          <w:b/>
          <w:sz w:val="32"/>
          <w:szCs w:val="32"/>
        </w:rPr>
        <w:t>（四）预算绩效管理情况</w:t>
      </w:r>
    </w:p>
    <w:p w14:paraId="6ED6E112" w14:textId="4EFFD559" w:rsidR="00EF3470" w:rsidRDefault="00000000">
      <w:pPr>
        <w:pStyle w:val="a3"/>
        <w:spacing w:before="93"/>
        <w:ind w:firstLineChars="200" w:firstLine="640"/>
        <w:rPr>
          <w:rFonts w:hAnsi="仿宋_GB2312" w:cs="仿宋_GB2312"/>
          <w:sz w:val="32"/>
          <w:szCs w:val="32"/>
        </w:rPr>
      </w:pPr>
      <w:r>
        <w:rPr>
          <w:rFonts w:hAnsi="仿宋_GB2312" w:cs="仿宋_GB2312" w:hint="eastAsia"/>
          <w:sz w:val="32"/>
          <w:szCs w:val="32"/>
        </w:rPr>
        <w:t>根据预算绩效管理要求，本单位在</w:t>
      </w:r>
      <w:r w:rsidR="007E7B8B">
        <w:rPr>
          <w:rFonts w:hAnsi="仿宋_GB2312" w:cs="仿宋_GB2312" w:hint="eastAsia"/>
          <w:sz w:val="32"/>
          <w:szCs w:val="32"/>
        </w:rPr>
        <w:t>2023</w:t>
      </w:r>
      <w:r>
        <w:rPr>
          <w:rFonts w:hAnsi="仿宋_GB2312" w:cs="仿宋_GB2312" w:hint="eastAsia"/>
          <w:sz w:val="32"/>
          <w:szCs w:val="32"/>
        </w:rPr>
        <w:t>年度预算编制阶段，组织对兴安初中兴安初中建设项目等</w:t>
      </w:r>
      <w:r w:rsidR="002F23E9">
        <w:rPr>
          <w:rFonts w:hAnsi="仿宋_GB2312" w:cs="仿宋_GB2312" w:hint="eastAsia"/>
          <w:sz w:val="32"/>
          <w:szCs w:val="32"/>
        </w:rPr>
        <w:t>17</w:t>
      </w:r>
      <w:r>
        <w:rPr>
          <w:rFonts w:hAnsi="仿宋_GB2312" w:cs="仿宋_GB2312" w:hint="eastAsia"/>
          <w:sz w:val="32"/>
          <w:szCs w:val="32"/>
        </w:rPr>
        <w:t>个项目开展了预算事前绩效评估，对</w:t>
      </w:r>
      <w:r w:rsidR="002F23E9">
        <w:rPr>
          <w:rFonts w:hAnsi="仿宋_GB2312" w:cs="仿宋_GB2312" w:hint="eastAsia"/>
          <w:sz w:val="32"/>
          <w:szCs w:val="32"/>
        </w:rPr>
        <w:t>17</w:t>
      </w:r>
      <w:r>
        <w:rPr>
          <w:rFonts w:hAnsi="仿宋_GB2312" w:cs="仿宋_GB2312" w:hint="eastAsia"/>
          <w:sz w:val="32"/>
          <w:szCs w:val="32"/>
        </w:rPr>
        <w:t>个项目编制了绩效目标，预算执行过程中，组织对</w:t>
      </w:r>
      <w:r w:rsidR="002F23E9">
        <w:rPr>
          <w:rFonts w:hAnsi="仿宋_GB2312" w:cs="仿宋_GB2312" w:hint="eastAsia"/>
          <w:sz w:val="32"/>
          <w:szCs w:val="32"/>
        </w:rPr>
        <w:t>17</w:t>
      </w:r>
      <w:r>
        <w:rPr>
          <w:rFonts w:hAnsi="仿宋_GB2312" w:cs="仿宋_GB2312" w:hint="eastAsia"/>
          <w:sz w:val="32"/>
          <w:szCs w:val="32"/>
        </w:rPr>
        <w:t>个项目开展绩效自评，绩效自评表详见</w:t>
      </w:r>
      <w:r>
        <w:rPr>
          <w:rFonts w:hAnsi="仿宋_GB2312" w:cs="仿宋_GB2312" w:hint="eastAsia"/>
          <w:sz w:val="32"/>
          <w:szCs w:val="32"/>
        </w:rPr>
        <w:lastRenderedPageBreak/>
        <w:t>第四部分附件。</w:t>
      </w:r>
    </w:p>
    <w:p w14:paraId="02E69110" w14:textId="77777777" w:rsidR="003C6535" w:rsidRDefault="003C6535">
      <w:pPr>
        <w:pStyle w:val="a3"/>
        <w:spacing w:before="93"/>
        <w:ind w:firstLineChars="200" w:firstLine="640"/>
        <w:rPr>
          <w:rFonts w:hAnsi="仿宋_GB2312" w:cs="仿宋_GB2312"/>
          <w:sz w:val="32"/>
          <w:szCs w:val="32"/>
        </w:rPr>
      </w:pPr>
    </w:p>
    <w:p w14:paraId="4B62B1FE" w14:textId="77777777" w:rsidR="003C6535" w:rsidRDefault="003C6535">
      <w:pPr>
        <w:pStyle w:val="a3"/>
        <w:spacing w:before="93"/>
        <w:ind w:firstLineChars="200" w:firstLine="600"/>
        <w:rPr>
          <w:rFonts w:hint="eastAsia"/>
          <w:highlight w:val="yellow"/>
        </w:rPr>
      </w:pPr>
    </w:p>
    <w:p w14:paraId="4C819030" w14:textId="77777777" w:rsidR="00EF3470" w:rsidRDefault="00000000">
      <w:pPr>
        <w:numPr>
          <w:ilvl w:val="0"/>
          <w:numId w:val="5"/>
        </w:numPr>
        <w:spacing w:line="600" w:lineRule="exact"/>
        <w:ind w:firstLineChars="150" w:firstLine="660"/>
        <w:jc w:val="center"/>
        <w:outlineLvl w:val="0"/>
        <w:rPr>
          <w:rStyle w:val="10"/>
          <w:rFonts w:ascii="黑体" w:eastAsia="黑体" w:hAnsi="黑体" w:hint="eastAsia"/>
          <w:b w:val="0"/>
        </w:rPr>
      </w:pPr>
      <w:bookmarkStart w:id="49" w:name="_Toc15377225"/>
      <w:bookmarkStart w:id="50" w:name="_Toc15396613"/>
      <w:r>
        <w:rPr>
          <w:rFonts w:ascii="黑体" w:eastAsia="黑体" w:hAnsi="黑体" w:hint="eastAsia"/>
          <w:sz w:val="44"/>
          <w:szCs w:val="44"/>
        </w:rPr>
        <w:t>名</w:t>
      </w:r>
      <w:r>
        <w:rPr>
          <w:rStyle w:val="10"/>
          <w:rFonts w:ascii="黑体" w:eastAsia="黑体" w:hAnsi="黑体" w:hint="eastAsia"/>
          <w:b w:val="0"/>
        </w:rPr>
        <w:t>词解释</w:t>
      </w:r>
      <w:bookmarkEnd w:id="49"/>
      <w:bookmarkEnd w:id="50"/>
    </w:p>
    <w:p w14:paraId="218568B1" w14:textId="77777777" w:rsidR="00EF3470" w:rsidRDefault="00EF3470">
      <w:pPr>
        <w:spacing w:line="600" w:lineRule="exact"/>
        <w:jc w:val="left"/>
        <w:rPr>
          <w:rFonts w:ascii="宋体"/>
          <w:b/>
          <w:sz w:val="44"/>
          <w:szCs w:val="44"/>
        </w:rPr>
      </w:pPr>
    </w:p>
    <w:p w14:paraId="160E0D52"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1.财政拨款收入：指单位从同级财政部门取得的财政预算资金。</w:t>
      </w:r>
    </w:p>
    <w:p w14:paraId="3421AD0D"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2.事业收入：指事业单位开展专业业务活动及辅助活动取得的收入。</w:t>
      </w:r>
    </w:p>
    <w:p w14:paraId="0AF89049"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3.其他收入：指单位取得的除上述收入以外的各项收入。主要是学前教育保育教育费收入、银行存款利息收入等。 </w:t>
      </w:r>
    </w:p>
    <w:p w14:paraId="7CC3FBB6"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4.年初结转和结余：指以前年度尚未完成、结转到本年按有关规定继续使用的资金。 </w:t>
      </w:r>
    </w:p>
    <w:p w14:paraId="059C61FE"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5.结余分配：指事业单位按照事业单位会计制度的规定从非财政补助结余中分配的事业基金和职工福利基金等。</w:t>
      </w:r>
    </w:p>
    <w:p w14:paraId="5B67FDE7"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6.年末结转和结余：指单位按有关规定结转到下年或以后年度继续使用的资金。</w:t>
      </w:r>
    </w:p>
    <w:p w14:paraId="3F845C56"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7. 教育支出（类）教育管理事务（款）其它教育管理事务支出（项）:反映除上述项目以外其它用户教育管理事务方面的支出。</w:t>
      </w:r>
    </w:p>
    <w:p w14:paraId="53D72BC7"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8. 教育支出（类）普通教育（款）初中教育（项）: 反映各部门举办的初中教育支出。政府各部门对社会中介组织等举办的初中教育的资助，如捐赠、补贴等，也在本科目中反映。</w:t>
      </w:r>
    </w:p>
    <w:p w14:paraId="00B757A6"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9. 教育支出（类）普通教育（款）其它普通教育（项）: 反映除上述项目以外其他用于普通教育方面的支出。</w:t>
      </w:r>
    </w:p>
    <w:p w14:paraId="14AA336E"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lastRenderedPageBreak/>
        <w:t>10. 社会保障和就业支出（类）行政事业单位离退休（款）机关事业单位基本养老保险缴费支出（项）: 指机关事业单位实施养老保险制度由单位缴纳的基本养老保险费支出。</w:t>
      </w:r>
    </w:p>
    <w:p w14:paraId="6083B84F"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11. 社会保障和就业支出（类）行政事业单位离退休（款）机关事业单位职业年金缴费支出（项）: 指机关事业单位实施养老保险制度由单位实际缴纳的职业年金支出。</w:t>
      </w:r>
    </w:p>
    <w:p w14:paraId="3842A0A1"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12. 社会</w:t>
      </w:r>
      <w:r>
        <w:rPr>
          <w:rFonts w:ascii="仿宋_GB2312" w:eastAsia="仿宋_GB2312" w:hint="eastAsia"/>
          <w:color w:val="auto"/>
          <w:spacing w:val="-6"/>
          <w:sz w:val="28"/>
          <w:szCs w:val="28"/>
        </w:rPr>
        <w:t>保障和就业支出（类）抚恤（款）死亡抚恤（项）: 指按规定用于烈士和牺牲、病故人员家属的一次性和定期抚恤金以及丧葬补助费。</w:t>
      </w:r>
    </w:p>
    <w:p w14:paraId="6F190E43"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13. 医疗卫生与计划生育（类）行政事业单位医疗（款）事业单位医疗（项）: 指财政部门安排的事业单位基本医疗保险缴费经费，未参加医疗保险的事业单位的公费医疗经费，按国家规定享受离休人员待遇的医疗经费。</w:t>
      </w:r>
    </w:p>
    <w:p w14:paraId="2F450F03"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14. 住房保障支出（类）住房改革支出（款）住房公积金（项）: 指行政事业单位按人力资源和社会保障部、财政部规定的基本工资和津贴补贴以及规定比例为职工缴纳的住房公积金。</w:t>
      </w:r>
    </w:p>
    <w:p w14:paraId="075DA482"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15. 其他支出（类）其他支出（款）其他支出（项）: 指上述项目以外其他不能划分到具体功能科目中的支出项目。</w:t>
      </w:r>
    </w:p>
    <w:p w14:paraId="2E7CCE78"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16.基本支出：指为保障机构正常运转、完成日常工作任务而发生的人员支出和公用支出。</w:t>
      </w:r>
    </w:p>
    <w:p w14:paraId="050990C3"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17.项目支出：指在基本支出之外为完成特定行政任务和事业发展目标所发生的支出。 </w:t>
      </w:r>
    </w:p>
    <w:p w14:paraId="5B034109" w14:textId="77777777" w:rsidR="00EF3470" w:rsidRDefault="00000000">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18.经营支出：指事业单位在专业业务活动及其辅助活动之外开展非独立核算经营活动发生的支出。</w:t>
      </w:r>
    </w:p>
    <w:p w14:paraId="10ECDF7C" w14:textId="77777777" w:rsidR="00EB04A5" w:rsidRDefault="00000000" w:rsidP="00EB04A5">
      <w:pPr>
        <w:spacing w:line="600" w:lineRule="exact"/>
        <w:outlineLvl w:val="0"/>
        <w:rPr>
          <w:rFonts w:ascii="仿宋_GB2312" w:eastAsia="仿宋_GB2312"/>
          <w:sz w:val="28"/>
          <w:szCs w:val="28"/>
        </w:rPr>
      </w:pPr>
      <w:r>
        <w:rPr>
          <w:rFonts w:ascii="仿宋_GB2312" w:eastAsia="仿宋_GB2312" w:hint="eastAsia"/>
          <w:sz w:val="28"/>
          <w:szCs w:val="28"/>
        </w:rPr>
        <w:lastRenderedPageBreak/>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710F6BD" w14:textId="77777777" w:rsidR="00EB04A5" w:rsidRDefault="00EB04A5" w:rsidP="00EB04A5">
      <w:pPr>
        <w:spacing w:line="600" w:lineRule="exact"/>
        <w:outlineLvl w:val="0"/>
        <w:rPr>
          <w:rFonts w:ascii="仿宋_GB2312" w:eastAsia="仿宋_GB2312"/>
          <w:sz w:val="28"/>
          <w:szCs w:val="28"/>
        </w:rPr>
      </w:pPr>
    </w:p>
    <w:p w14:paraId="50AECC21" w14:textId="77777777" w:rsidR="00EB04A5" w:rsidRDefault="00EB04A5" w:rsidP="00EB04A5">
      <w:pPr>
        <w:spacing w:line="600" w:lineRule="exact"/>
        <w:outlineLvl w:val="0"/>
        <w:rPr>
          <w:rFonts w:ascii="仿宋_GB2312" w:eastAsia="仿宋_GB2312"/>
          <w:sz w:val="28"/>
          <w:szCs w:val="28"/>
        </w:rPr>
      </w:pPr>
    </w:p>
    <w:p w14:paraId="301DD07D" w14:textId="77777777" w:rsidR="00EB04A5" w:rsidRDefault="00EB04A5" w:rsidP="00EB04A5">
      <w:pPr>
        <w:spacing w:line="600" w:lineRule="exact"/>
        <w:outlineLvl w:val="0"/>
        <w:rPr>
          <w:rFonts w:ascii="仿宋_GB2312" w:eastAsia="仿宋_GB2312"/>
          <w:sz w:val="28"/>
          <w:szCs w:val="28"/>
        </w:rPr>
      </w:pPr>
    </w:p>
    <w:p w14:paraId="76AD7755" w14:textId="5CD9F1CB" w:rsidR="00EB04A5" w:rsidRDefault="00EB04A5" w:rsidP="00EB04A5">
      <w:pPr>
        <w:spacing w:line="600" w:lineRule="exact"/>
        <w:jc w:val="center"/>
        <w:outlineLvl w:val="0"/>
        <w:rPr>
          <w:rStyle w:val="10"/>
          <w:rFonts w:ascii="黑体" w:eastAsia="黑体" w:hAnsi="黑体" w:hint="eastAsia"/>
          <w:b w:val="0"/>
        </w:rPr>
      </w:pPr>
      <w:r>
        <w:rPr>
          <w:rFonts w:ascii="黑体" w:eastAsia="黑体" w:hAnsi="黑体" w:hint="eastAsia"/>
          <w:sz w:val="44"/>
          <w:szCs w:val="44"/>
        </w:rPr>
        <w:t>第</w:t>
      </w:r>
      <w:r>
        <w:rPr>
          <w:rStyle w:val="10"/>
          <w:rFonts w:ascii="黑体" w:eastAsia="黑体" w:hAnsi="黑体" w:hint="eastAsia"/>
          <w:b w:val="0"/>
        </w:rPr>
        <w:t>四部分 附件</w:t>
      </w:r>
    </w:p>
    <w:p w14:paraId="77C7FB9A" w14:textId="77777777" w:rsidR="00EB04A5" w:rsidRDefault="00EB04A5" w:rsidP="00EB04A5">
      <w:pPr>
        <w:spacing w:line="572" w:lineRule="exact"/>
        <w:jc w:val="left"/>
        <w:outlineLvl w:val="0"/>
        <w:rPr>
          <w:rFonts w:ascii="仿宋_GB2312" w:eastAsia="仿宋_GB2312" w:hAnsi="仿宋_GB2312" w:cs="仿宋_GB2312" w:hint="eastAsia"/>
          <w:sz w:val="32"/>
          <w:szCs w:val="32"/>
        </w:rPr>
      </w:pPr>
    </w:p>
    <w:p w14:paraId="4E0C295F" w14:textId="77777777" w:rsidR="00EB04A5" w:rsidRDefault="00EB04A5" w:rsidP="00EB04A5">
      <w:pPr>
        <w:pStyle w:val="a3"/>
        <w:spacing w:before="93"/>
        <w:rPr>
          <w:rFonts w:ascii="宋体" w:eastAsia="宋体" w:hAnsi="宋体" w:cs="宋体" w:hint="eastAsia"/>
          <w:sz w:val="32"/>
          <w:szCs w:val="32"/>
        </w:rPr>
      </w:pPr>
      <w:r>
        <w:rPr>
          <w:rFonts w:ascii="宋体" w:eastAsia="宋体" w:hAnsi="宋体" w:cs="宋体" w:hint="eastAsia"/>
          <w:sz w:val="32"/>
          <w:szCs w:val="32"/>
        </w:rPr>
        <w:t>部门预算项目支出绩效自评表（2023年度）</w:t>
      </w:r>
    </w:p>
    <w:p w14:paraId="26E2D8F4" w14:textId="439C070A" w:rsidR="00EF3470" w:rsidRPr="00EB04A5" w:rsidRDefault="00EF3470">
      <w:pPr>
        <w:pStyle w:val="Default"/>
        <w:spacing w:line="560" w:lineRule="exact"/>
        <w:ind w:firstLineChars="200" w:firstLine="560"/>
        <w:rPr>
          <w:rFonts w:ascii="仿宋_GB2312" w:eastAsia="仿宋_GB2312"/>
          <w:color w:val="auto"/>
          <w:sz w:val="28"/>
          <w:szCs w:val="28"/>
        </w:rPr>
      </w:pPr>
    </w:p>
    <w:p w14:paraId="67E434F0" w14:textId="74E96CAF" w:rsidR="00EF3470" w:rsidRPr="00EB04A5" w:rsidRDefault="00000000" w:rsidP="00EB04A5">
      <w:pPr>
        <w:spacing w:line="600" w:lineRule="exact"/>
        <w:outlineLvl w:val="0"/>
        <w:rPr>
          <w:rFonts w:ascii="黑体" w:eastAsia="黑体" w:hAnsi="黑体" w:hint="eastAsia"/>
          <w:bCs/>
          <w:kern w:val="44"/>
          <w:sz w:val="44"/>
          <w:szCs w:val="44"/>
        </w:rPr>
      </w:pPr>
      <w:bookmarkStart w:id="51" w:name="_Toc15377226"/>
      <w:r>
        <w:rPr>
          <w:rFonts w:ascii="宋体"/>
          <w:b/>
          <w:sz w:val="44"/>
          <w:szCs w:val="44"/>
        </w:rPr>
        <w:br w:type="page"/>
      </w:r>
      <w:bookmarkStart w:id="52" w:name="_Toc15396618"/>
    </w:p>
    <w:p w14:paraId="38CFCB81" w14:textId="77777777" w:rsidR="00EF3470" w:rsidRDefault="00000000">
      <w:pPr>
        <w:spacing w:line="600" w:lineRule="exact"/>
        <w:jc w:val="center"/>
        <w:outlineLvl w:val="0"/>
        <w:rPr>
          <w:rFonts w:ascii="仿宋" w:eastAsia="仿宋" w:hAnsi="仿宋" w:hint="eastAsia"/>
        </w:rPr>
      </w:pPr>
      <w:r>
        <w:rPr>
          <w:rFonts w:ascii="黑体" w:eastAsia="黑体" w:hAnsi="黑体" w:hint="eastAsia"/>
          <w:sz w:val="44"/>
          <w:szCs w:val="44"/>
        </w:rPr>
        <w:lastRenderedPageBreak/>
        <w:t>第</w:t>
      </w:r>
      <w:r>
        <w:rPr>
          <w:rStyle w:val="10"/>
          <w:rFonts w:ascii="黑体" w:eastAsia="黑体" w:hAnsi="黑体" w:hint="eastAsia"/>
          <w:b w:val="0"/>
        </w:rPr>
        <w:t>五部分 附表</w:t>
      </w:r>
      <w:bookmarkStart w:id="53" w:name="_Toc15396619"/>
      <w:bookmarkEnd w:id="51"/>
      <w:bookmarkEnd w:id="52"/>
    </w:p>
    <w:p w14:paraId="16BEF86B" w14:textId="77777777" w:rsidR="00EF3470" w:rsidRDefault="00000000">
      <w:pPr>
        <w:pStyle w:val="2"/>
        <w:rPr>
          <w:rFonts w:ascii="仿宋" w:eastAsia="仿宋" w:hAnsi="仿宋" w:hint="eastAsia"/>
        </w:rPr>
      </w:pPr>
      <w:r>
        <w:rPr>
          <w:rFonts w:ascii="仿宋" w:eastAsia="仿宋" w:hAnsi="仿宋" w:hint="eastAsia"/>
          <w:b w:val="0"/>
        </w:rPr>
        <w:t>一、收</w:t>
      </w:r>
      <w:r>
        <w:rPr>
          <w:rStyle w:val="20"/>
          <w:rFonts w:ascii="仿宋" w:eastAsia="仿宋" w:hAnsi="仿宋" w:hint="eastAsia"/>
        </w:rPr>
        <w:t>入支出决算总表</w:t>
      </w:r>
      <w:bookmarkEnd w:id="53"/>
    </w:p>
    <w:p w14:paraId="374CF192" w14:textId="77777777" w:rsidR="00EF3470" w:rsidRDefault="00000000">
      <w:pPr>
        <w:pStyle w:val="2"/>
        <w:rPr>
          <w:rFonts w:ascii="仿宋" w:eastAsia="仿宋" w:hAnsi="仿宋" w:hint="eastAsia"/>
        </w:rPr>
      </w:pPr>
      <w:bookmarkStart w:id="54" w:name="_Toc15396620"/>
      <w:r>
        <w:rPr>
          <w:rFonts w:ascii="仿宋" w:eastAsia="仿宋" w:hAnsi="仿宋" w:hint="eastAsia"/>
          <w:b w:val="0"/>
        </w:rPr>
        <w:t>二、收</w:t>
      </w:r>
      <w:r>
        <w:rPr>
          <w:rStyle w:val="20"/>
          <w:rFonts w:ascii="仿宋" w:eastAsia="仿宋" w:hAnsi="仿宋" w:hint="eastAsia"/>
        </w:rPr>
        <w:t>入决算表</w:t>
      </w:r>
      <w:bookmarkEnd w:id="54"/>
    </w:p>
    <w:p w14:paraId="1DDC3992" w14:textId="77777777" w:rsidR="00EF3470" w:rsidRDefault="00000000">
      <w:pPr>
        <w:pStyle w:val="2"/>
        <w:rPr>
          <w:rFonts w:ascii="仿宋" w:eastAsia="仿宋" w:hAnsi="仿宋" w:hint="eastAsia"/>
        </w:rPr>
      </w:pPr>
      <w:bookmarkStart w:id="55" w:name="_Toc15396621"/>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55"/>
    </w:p>
    <w:p w14:paraId="24994D1D" w14:textId="77777777" w:rsidR="00EF3470" w:rsidRDefault="00000000">
      <w:pPr>
        <w:pStyle w:val="2"/>
        <w:rPr>
          <w:rFonts w:ascii="仿宋" w:eastAsia="仿宋" w:hAnsi="仿宋" w:hint="eastAsia"/>
          <w:b w:val="0"/>
        </w:rPr>
      </w:pPr>
      <w:bookmarkStart w:id="56" w:name="_Toc15396622"/>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56"/>
    </w:p>
    <w:p w14:paraId="2830186B" w14:textId="77777777" w:rsidR="00EF3470" w:rsidRDefault="00000000">
      <w:pPr>
        <w:pStyle w:val="2"/>
        <w:rPr>
          <w:rStyle w:val="20"/>
          <w:rFonts w:ascii="仿宋" w:eastAsia="仿宋" w:hAnsi="仿宋" w:hint="eastAsia"/>
        </w:rPr>
      </w:pPr>
      <w:bookmarkStart w:id="57" w:name="_Toc15396623"/>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58" w:name="_Toc15396624"/>
      <w:bookmarkEnd w:id="57"/>
    </w:p>
    <w:p w14:paraId="58259444" w14:textId="77777777" w:rsidR="00EF3470" w:rsidRDefault="00000000">
      <w:pPr>
        <w:pStyle w:val="2"/>
        <w:rPr>
          <w:rFonts w:ascii="仿宋" w:eastAsia="仿宋" w:hAnsi="仿宋" w:hint="eastAsia"/>
        </w:rPr>
      </w:pPr>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58"/>
    </w:p>
    <w:p w14:paraId="34B5D4E9" w14:textId="77777777" w:rsidR="00EF3470" w:rsidRDefault="00000000">
      <w:pPr>
        <w:pStyle w:val="2"/>
        <w:rPr>
          <w:rFonts w:ascii="仿宋" w:eastAsia="仿宋" w:hAnsi="仿宋" w:hint="eastAsia"/>
        </w:rPr>
      </w:pPr>
      <w:bookmarkStart w:id="59" w:name="_Toc15396625"/>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59"/>
    </w:p>
    <w:p w14:paraId="3EB5D12D" w14:textId="77777777" w:rsidR="00EF3470" w:rsidRDefault="00000000">
      <w:pPr>
        <w:pStyle w:val="2"/>
        <w:rPr>
          <w:rFonts w:ascii="仿宋" w:eastAsia="仿宋" w:hAnsi="仿宋" w:hint="eastAsia"/>
        </w:rPr>
      </w:pPr>
      <w:bookmarkStart w:id="60" w:name="_Toc15396626"/>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60"/>
    </w:p>
    <w:p w14:paraId="60267FB7" w14:textId="77777777" w:rsidR="00EF3470" w:rsidRDefault="00000000">
      <w:pPr>
        <w:pStyle w:val="2"/>
        <w:rPr>
          <w:rFonts w:ascii="仿宋" w:eastAsia="仿宋" w:hAnsi="仿宋" w:hint="eastAsia"/>
        </w:rPr>
      </w:pPr>
      <w:bookmarkStart w:id="61" w:name="_Toc15396627"/>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61"/>
    </w:p>
    <w:p w14:paraId="3FFE7D8D" w14:textId="77777777" w:rsidR="00EF3470" w:rsidRDefault="00000000">
      <w:pPr>
        <w:pStyle w:val="2"/>
        <w:rPr>
          <w:rFonts w:ascii="仿宋" w:eastAsia="仿宋" w:hAnsi="仿宋" w:hint="eastAsia"/>
        </w:rPr>
      </w:pPr>
      <w:bookmarkStart w:id="62" w:name="_Toc15396628"/>
      <w:r>
        <w:rPr>
          <w:rStyle w:val="20"/>
          <w:rFonts w:ascii="仿宋" w:eastAsia="仿宋" w:hAnsi="仿宋" w:hint="eastAsia"/>
        </w:rPr>
        <w:t>十、</w:t>
      </w:r>
      <w:bookmarkEnd w:id="62"/>
      <w:r>
        <w:rPr>
          <w:rFonts w:ascii="仿宋" w:eastAsia="仿宋" w:hAnsi="仿宋" w:hint="eastAsia"/>
          <w:b w:val="0"/>
        </w:rPr>
        <w:t>政</w:t>
      </w:r>
      <w:r>
        <w:rPr>
          <w:rStyle w:val="20"/>
          <w:rFonts w:ascii="仿宋" w:eastAsia="仿宋" w:hAnsi="仿宋" w:hint="eastAsia"/>
        </w:rPr>
        <w:t>府性基金预算财政拨款收入支出决算表</w:t>
      </w:r>
    </w:p>
    <w:p w14:paraId="21235D8C" w14:textId="77777777" w:rsidR="00EF3470" w:rsidRDefault="00000000">
      <w:pPr>
        <w:pStyle w:val="2"/>
        <w:rPr>
          <w:rFonts w:ascii="仿宋" w:eastAsia="仿宋" w:hAnsi="仿宋" w:hint="eastAsia"/>
        </w:rPr>
      </w:pPr>
      <w:bookmarkStart w:id="63" w:name="_Toc15396629"/>
      <w:r>
        <w:rPr>
          <w:rStyle w:val="20"/>
          <w:rFonts w:ascii="仿宋" w:eastAsia="仿宋" w:hAnsi="仿宋" w:hint="eastAsia"/>
        </w:rPr>
        <w:t>十一、</w:t>
      </w:r>
      <w:bookmarkEnd w:id="63"/>
      <w:r>
        <w:rPr>
          <w:rFonts w:ascii="仿宋" w:eastAsia="仿宋" w:hAnsi="仿宋" w:hint="eastAsia"/>
          <w:b w:val="0"/>
        </w:rPr>
        <w:t>国</w:t>
      </w:r>
      <w:r>
        <w:rPr>
          <w:rStyle w:val="20"/>
          <w:rFonts w:ascii="仿宋" w:eastAsia="仿宋" w:hAnsi="仿宋" w:hint="eastAsia"/>
        </w:rPr>
        <w:t>有资本经营预算财政拨款收入支出决算表</w:t>
      </w:r>
    </w:p>
    <w:p w14:paraId="64C876BC" w14:textId="77777777" w:rsidR="00EF3470" w:rsidRDefault="00000000">
      <w:pPr>
        <w:pStyle w:val="2"/>
        <w:rPr>
          <w:rFonts w:ascii="仿宋" w:eastAsia="仿宋" w:hAnsi="仿宋" w:hint="eastAsia"/>
        </w:rPr>
      </w:pPr>
      <w:bookmarkStart w:id="64" w:name="_Toc15396630"/>
      <w:r>
        <w:rPr>
          <w:rStyle w:val="20"/>
          <w:rFonts w:ascii="仿宋" w:eastAsia="仿宋" w:hAnsi="仿宋" w:hint="eastAsia"/>
        </w:rPr>
        <w:t>十二、</w:t>
      </w:r>
      <w:bookmarkEnd w:id="64"/>
      <w:r>
        <w:rPr>
          <w:rStyle w:val="20"/>
          <w:rFonts w:ascii="仿宋" w:eastAsia="仿宋" w:hAnsi="仿宋" w:hint="eastAsia"/>
        </w:rPr>
        <w:t>国有资本经营预算财政拨款支出决算表</w:t>
      </w:r>
    </w:p>
    <w:p w14:paraId="797FF0F2" w14:textId="77777777" w:rsidR="00EF3470" w:rsidRDefault="00000000">
      <w:pPr>
        <w:pStyle w:val="2"/>
        <w:rPr>
          <w:rFonts w:eastAsia="仿宋"/>
        </w:rPr>
      </w:pPr>
      <w:bookmarkStart w:id="65" w:name="_Toc15396631"/>
      <w:r>
        <w:rPr>
          <w:rStyle w:val="20"/>
          <w:rFonts w:ascii="仿宋" w:eastAsia="仿宋" w:hAnsi="仿宋" w:hint="eastAsia"/>
        </w:rPr>
        <w:t>十三、</w:t>
      </w:r>
      <w:bookmarkEnd w:id="65"/>
      <w:r>
        <w:rPr>
          <w:rStyle w:val="20"/>
          <w:rFonts w:ascii="仿宋" w:eastAsia="仿宋" w:hAnsi="仿宋" w:hint="eastAsia"/>
        </w:rPr>
        <w:t>财政拨款“三公”经费支出决算表</w:t>
      </w:r>
    </w:p>
    <w:sectPr w:rsidR="00EF3470">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950A7" w14:textId="77777777" w:rsidR="009412E3" w:rsidRDefault="009412E3">
      <w:r>
        <w:separator/>
      </w:r>
    </w:p>
  </w:endnote>
  <w:endnote w:type="continuationSeparator" w:id="0">
    <w:p w14:paraId="56FAECBF" w14:textId="77777777" w:rsidR="009412E3" w:rsidRDefault="0094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6A763979-0B1D-4665-9C2E-70CFAEE306C4}"/>
    <w:embedBold r:id="rId2" w:subsetted="1" w:fontKey="{DD075E90-69D5-45E9-97C3-840709ECF654}"/>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embedRegular r:id="rId3" w:subsetted="1" w:fontKey="{DFF55648-5417-42B2-BB11-54397202BFB9}"/>
    <w:embedBold r:id="rId4" w:subsetted="1" w:fontKey="{4B7FFF52-7449-4320-B1B6-E62A7DA3A500}"/>
  </w:font>
  <w:font w:name="Calibri">
    <w:panose1 w:val="020F0502020204030204"/>
    <w:charset w:val="00"/>
    <w:family w:val="swiss"/>
    <w:pitch w:val="variable"/>
    <w:sig w:usb0="E4002EFF" w:usb1="C200247B" w:usb2="00000009" w:usb3="00000000" w:csb0="000001FF" w:csb1="00000000"/>
    <w:embedRegular r:id="rId5" w:subsetted="1" w:fontKey="{1EB8B9EE-2523-4C37-8509-41D57BA5A2C2}"/>
  </w:font>
  <w:font w:name="仿宋">
    <w:panose1 w:val="02010609060101010101"/>
    <w:charset w:val="86"/>
    <w:family w:val="modern"/>
    <w:pitch w:val="fixed"/>
    <w:sig w:usb0="800002BF" w:usb1="38CF7CFA" w:usb2="00000016" w:usb3="00000000" w:csb0="00040001" w:csb1="00000000"/>
    <w:embedRegular r:id="rId6" w:subsetted="1" w:fontKey="{2CEF8D55-68E6-404E-B9C0-668F8538D821}"/>
    <w:embedBold r:id="rId7" w:subsetted="1" w:fontKey="{3D418990-BEC2-46C3-A49C-6462BE24B466}"/>
  </w:font>
  <w:font w:name="??">
    <w:altName w:val="Times New Roman"/>
    <w:charset w:val="00"/>
    <w:family w:val="auto"/>
    <w:pitch w:val="default"/>
    <w:sig w:usb0="00000000" w:usb1="00000000" w:usb2="00000000" w:usb3="00000000" w:csb0="00000001" w:csb1="00000000"/>
  </w:font>
  <w:font w:name="方正小标宋简体">
    <w:altName w:val="微软雅黑"/>
    <w:charset w:val="86"/>
    <w:family w:val="script"/>
    <w:pitch w:val="default"/>
    <w:sig w:usb0="00000001" w:usb1="080E0000" w:usb2="00000000" w:usb3="00000000" w:csb0="00040000" w:csb1="00000000"/>
    <w:embedRegular r:id="rId8" w:fontKey="{30DD72C1-191E-40F0-9DD2-B296F26C749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781956"/>
    </w:sdtPr>
    <w:sdtContent>
      <w:p w14:paraId="3F42B5A1" w14:textId="77777777" w:rsidR="00EF3470" w:rsidRDefault="00000000">
        <w:pPr>
          <w:pStyle w:val="a7"/>
          <w:jc w:val="center"/>
        </w:pPr>
        <w:r>
          <w:fldChar w:fldCharType="begin"/>
        </w:r>
        <w:r>
          <w:instrText>PAGE   \* MERGEFORMAT</w:instrText>
        </w:r>
        <w:r>
          <w:fldChar w:fldCharType="separate"/>
        </w:r>
        <w:r>
          <w:rPr>
            <w:lang w:val="zh-CN"/>
          </w:rPr>
          <w:t>8</w:t>
        </w:r>
        <w:r>
          <w:fldChar w:fldCharType="end"/>
        </w:r>
      </w:p>
    </w:sdtContent>
  </w:sdt>
  <w:p w14:paraId="7D3EBBD9" w14:textId="77777777" w:rsidR="00EF3470" w:rsidRDefault="00EF34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1E0DD" w14:textId="77777777" w:rsidR="009412E3" w:rsidRDefault="009412E3">
      <w:r>
        <w:separator/>
      </w:r>
    </w:p>
  </w:footnote>
  <w:footnote w:type="continuationSeparator" w:id="0">
    <w:p w14:paraId="59A62EC2" w14:textId="77777777" w:rsidR="009412E3" w:rsidRDefault="0094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B40A" w14:textId="77777777" w:rsidR="00EF3470" w:rsidRDefault="00EF3470">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15:restartNumberingAfterBreak="0">
    <w:nsid w:val="0CFE0C12"/>
    <w:multiLevelType w:val="singleLevel"/>
    <w:tmpl w:val="0CFE0C12"/>
    <w:lvl w:ilvl="0">
      <w:start w:val="3"/>
      <w:numFmt w:val="decimal"/>
      <w:lvlText w:val="%1."/>
      <w:lvlJc w:val="left"/>
      <w:pPr>
        <w:tabs>
          <w:tab w:val="left" w:pos="312"/>
        </w:tabs>
      </w:pPr>
    </w:lvl>
  </w:abstractNum>
  <w:abstractNum w:abstractNumId="3"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3818A09A"/>
    <w:multiLevelType w:val="singleLevel"/>
    <w:tmpl w:val="3818A09A"/>
    <w:lvl w:ilvl="0">
      <w:start w:val="1"/>
      <w:numFmt w:val="chineseCounting"/>
      <w:suff w:val="nothing"/>
      <w:lvlText w:val="%1、"/>
      <w:lvlJc w:val="left"/>
      <w:rPr>
        <w:rFonts w:hint="eastAsia"/>
      </w:rPr>
    </w:lvl>
  </w:abstractNum>
  <w:num w:numId="1" w16cid:durableId="1507400616">
    <w:abstractNumId w:val="4"/>
  </w:num>
  <w:num w:numId="2" w16cid:durableId="160968115">
    <w:abstractNumId w:val="3"/>
  </w:num>
  <w:num w:numId="3" w16cid:durableId="1134061495">
    <w:abstractNumId w:val="2"/>
  </w:num>
  <w:num w:numId="4" w16cid:durableId="2093114014">
    <w:abstractNumId w:val="0"/>
  </w:num>
  <w:num w:numId="5" w16cid:durableId="95984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gwZjE2MDM5MWVmMzBhZGFmZGYwOTEzZDZiYWIyZmIifQ=="/>
  </w:docVars>
  <w:rsids>
    <w:rsidRoot w:val="00F1361C"/>
    <w:rsid w:val="9E3A10E2"/>
    <w:rsid w:val="F2E1F9D4"/>
    <w:rsid w:val="F7880819"/>
    <w:rsid w:val="000156FA"/>
    <w:rsid w:val="000222C6"/>
    <w:rsid w:val="0002549F"/>
    <w:rsid w:val="000468DB"/>
    <w:rsid w:val="0006487A"/>
    <w:rsid w:val="00065E05"/>
    <w:rsid w:val="00065F8F"/>
    <w:rsid w:val="00070A43"/>
    <w:rsid w:val="000768F2"/>
    <w:rsid w:val="0009184B"/>
    <w:rsid w:val="00094236"/>
    <w:rsid w:val="000949B7"/>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6DF0"/>
    <w:rsid w:val="0014729F"/>
    <w:rsid w:val="00157BAB"/>
    <w:rsid w:val="001654D1"/>
    <w:rsid w:val="00174518"/>
    <w:rsid w:val="0018106D"/>
    <w:rsid w:val="001877A7"/>
    <w:rsid w:val="00191536"/>
    <w:rsid w:val="00196687"/>
    <w:rsid w:val="001B1D73"/>
    <w:rsid w:val="001B52AE"/>
    <w:rsid w:val="001C0962"/>
    <w:rsid w:val="001C2828"/>
    <w:rsid w:val="001D7531"/>
    <w:rsid w:val="001E737D"/>
    <w:rsid w:val="001F0592"/>
    <w:rsid w:val="001F7506"/>
    <w:rsid w:val="002006CD"/>
    <w:rsid w:val="00202B36"/>
    <w:rsid w:val="00204B7A"/>
    <w:rsid w:val="00204CDE"/>
    <w:rsid w:val="0021101A"/>
    <w:rsid w:val="00215513"/>
    <w:rsid w:val="00220536"/>
    <w:rsid w:val="00233D53"/>
    <w:rsid w:val="00235629"/>
    <w:rsid w:val="00260C38"/>
    <w:rsid w:val="002616C0"/>
    <w:rsid w:val="00265372"/>
    <w:rsid w:val="002662AA"/>
    <w:rsid w:val="00280496"/>
    <w:rsid w:val="00294DC9"/>
    <w:rsid w:val="00295495"/>
    <w:rsid w:val="002A31DE"/>
    <w:rsid w:val="002B1378"/>
    <w:rsid w:val="002B2613"/>
    <w:rsid w:val="002D6D05"/>
    <w:rsid w:val="002E505D"/>
    <w:rsid w:val="002F1818"/>
    <w:rsid w:val="002F23E9"/>
    <w:rsid w:val="002F567B"/>
    <w:rsid w:val="003216A9"/>
    <w:rsid w:val="00335A74"/>
    <w:rsid w:val="00335F7E"/>
    <w:rsid w:val="0036277C"/>
    <w:rsid w:val="0036561B"/>
    <w:rsid w:val="0037013F"/>
    <w:rsid w:val="00380C92"/>
    <w:rsid w:val="003A484F"/>
    <w:rsid w:val="003A4883"/>
    <w:rsid w:val="003B0BE0"/>
    <w:rsid w:val="003B0C1B"/>
    <w:rsid w:val="003B688C"/>
    <w:rsid w:val="003C0291"/>
    <w:rsid w:val="003C39AE"/>
    <w:rsid w:val="003C6535"/>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6A16"/>
    <w:rsid w:val="004E0A2D"/>
    <w:rsid w:val="004E206B"/>
    <w:rsid w:val="004E6DF7"/>
    <w:rsid w:val="004E7ACD"/>
    <w:rsid w:val="004F0FBD"/>
    <w:rsid w:val="00505A47"/>
    <w:rsid w:val="00512FDA"/>
    <w:rsid w:val="005136DC"/>
    <w:rsid w:val="00520DA0"/>
    <w:rsid w:val="005664BB"/>
    <w:rsid w:val="00566FFA"/>
    <w:rsid w:val="0057481D"/>
    <w:rsid w:val="0058486E"/>
    <w:rsid w:val="00585B33"/>
    <w:rsid w:val="0059014D"/>
    <w:rsid w:val="00597272"/>
    <w:rsid w:val="005B5C64"/>
    <w:rsid w:val="005C3FAA"/>
    <w:rsid w:val="005C5337"/>
    <w:rsid w:val="005C6BD0"/>
    <w:rsid w:val="005D1C8B"/>
    <w:rsid w:val="005D468D"/>
    <w:rsid w:val="005D5CED"/>
    <w:rsid w:val="005F1A4C"/>
    <w:rsid w:val="00603428"/>
    <w:rsid w:val="006036E4"/>
    <w:rsid w:val="00605688"/>
    <w:rsid w:val="006070AF"/>
    <w:rsid w:val="00607E6C"/>
    <w:rsid w:val="00610012"/>
    <w:rsid w:val="006101B1"/>
    <w:rsid w:val="00614E44"/>
    <w:rsid w:val="0062270A"/>
    <w:rsid w:val="00622830"/>
    <w:rsid w:val="00623DA0"/>
    <w:rsid w:val="00630AEF"/>
    <w:rsid w:val="006325F8"/>
    <w:rsid w:val="00632AC3"/>
    <w:rsid w:val="00633463"/>
    <w:rsid w:val="00634C9A"/>
    <w:rsid w:val="006440E4"/>
    <w:rsid w:val="0066343B"/>
    <w:rsid w:val="00664777"/>
    <w:rsid w:val="006748A4"/>
    <w:rsid w:val="00680149"/>
    <w:rsid w:val="00681A31"/>
    <w:rsid w:val="00683E73"/>
    <w:rsid w:val="006A3141"/>
    <w:rsid w:val="006A5E34"/>
    <w:rsid w:val="006B2422"/>
    <w:rsid w:val="006B2B9A"/>
    <w:rsid w:val="006C1937"/>
    <w:rsid w:val="006F020C"/>
    <w:rsid w:val="006F141B"/>
    <w:rsid w:val="007127B7"/>
    <w:rsid w:val="00715128"/>
    <w:rsid w:val="0071798E"/>
    <w:rsid w:val="007416B6"/>
    <w:rsid w:val="00746F48"/>
    <w:rsid w:val="0075404D"/>
    <w:rsid w:val="0076182A"/>
    <w:rsid w:val="00767B7E"/>
    <w:rsid w:val="007770C3"/>
    <w:rsid w:val="007800C7"/>
    <w:rsid w:val="00784D24"/>
    <w:rsid w:val="00785FBA"/>
    <w:rsid w:val="00786E4A"/>
    <w:rsid w:val="007875EB"/>
    <w:rsid w:val="0079426B"/>
    <w:rsid w:val="007C23DF"/>
    <w:rsid w:val="007D1682"/>
    <w:rsid w:val="007D312A"/>
    <w:rsid w:val="007D3F19"/>
    <w:rsid w:val="007E0449"/>
    <w:rsid w:val="007E23B0"/>
    <w:rsid w:val="007E23E5"/>
    <w:rsid w:val="007E7B8B"/>
    <w:rsid w:val="007F1991"/>
    <w:rsid w:val="007F2C2F"/>
    <w:rsid w:val="007F324F"/>
    <w:rsid w:val="007F55FC"/>
    <w:rsid w:val="007F5665"/>
    <w:rsid w:val="00800112"/>
    <w:rsid w:val="0081029D"/>
    <w:rsid w:val="00813348"/>
    <w:rsid w:val="0081382C"/>
    <w:rsid w:val="008253BB"/>
    <w:rsid w:val="0083706E"/>
    <w:rsid w:val="008408F6"/>
    <w:rsid w:val="008423A5"/>
    <w:rsid w:val="00850625"/>
    <w:rsid w:val="00853718"/>
    <w:rsid w:val="00855221"/>
    <w:rsid w:val="00860645"/>
    <w:rsid w:val="00871F71"/>
    <w:rsid w:val="00872FD8"/>
    <w:rsid w:val="00881FAB"/>
    <w:rsid w:val="00885AF4"/>
    <w:rsid w:val="008937AF"/>
    <w:rsid w:val="008939CD"/>
    <w:rsid w:val="008A35E6"/>
    <w:rsid w:val="008B768C"/>
    <w:rsid w:val="008C4DB1"/>
    <w:rsid w:val="008C4EAF"/>
    <w:rsid w:val="008C5176"/>
    <w:rsid w:val="008C7FD0"/>
    <w:rsid w:val="008E1DE7"/>
    <w:rsid w:val="008E707C"/>
    <w:rsid w:val="008F1543"/>
    <w:rsid w:val="00900B08"/>
    <w:rsid w:val="00902155"/>
    <w:rsid w:val="00902FA3"/>
    <w:rsid w:val="00903466"/>
    <w:rsid w:val="009119C9"/>
    <w:rsid w:val="00923564"/>
    <w:rsid w:val="0092392E"/>
    <w:rsid w:val="00926FB6"/>
    <w:rsid w:val="009315F9"/>
    <w:rsid w:val="00933499"/>
    <w:rsid w:val="00935C98"/>
    <w:rsid w:val="009412E3"/>
    <w:rsid w:val="00946468"/>
    <w:rsid w:val="00946945"/>
    <w:rsid w:val="00951248"/>
    <w:rsid w:val="0095152F"/>
    <w:rsid w:val="00954A7C"/>
    <w:rsid w:val="00954C49"/>
    <w:rsid w:val="00955E37"/>
    <w:rsid w:val="0097099F"/>
    <w:rsid w:val="00971997"/>
    <w:rsid w:val="00971FFC"/>
    <w:rsid w:val="0098660A"/>
    <w:rsid w:val="009931C3"/>
    <w:rsid w:val="009935D1"/>
    <w:rsid w:val="009B2C43"/>
    <w:rsid w:val="009B4EAE"/>
    <w:rsid w:val="009B7573"/>
    <w:rsid w:val="009C22F4"/>
    <w:rsid w:val="009C2A4B"/>
    <w:rsid w:val="009C2E98"/>
    <w:rsid w:val="009C68B8"/>
    <w:rsid w:val="009D2BA9"/>
    <w:rsid w:val="009D3447"/>
    <w:rsid w:val="009D4711"/>
    <w:rsid w:val="009D5F99"/>
    <w:rsid w:val="009E0706"/>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0B37"/>
    <w:rsid w:val="00A91760"/>
    <w:rsid w:val="00A93B00"/>
    <w:rsid w:val="00A93C21"/>
    <w:rsid w:val="00A9772F"/>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65B"/>
    <w:rsid w:val="00BC6B50"/>
    <w:rsid w:val="00BD0E25"/>
    <w:rsid w:val="00BF5BD6"/>
    <w:rsid w:val="00C03E31"/>
    <w:rsid w:val="00C33E72"/>
    <w:rsid w:val="00C354B2"/>
    <w:rsid w:val="00C35554"/>
    <w:rsid w:val="00C42709"/>
    <w:rsid w:val="00C533CC"/>
    <w:rsid w:val="00C5751C"/>
    <w:rsid w:val="00C61BFC"/>
    <w:rsid w:val="00C62B85"/>
    <w:rsid w:val="00C65438"/>
    <w:rsid w:val="00C71024"/>
    <w:rsid w:val="00C85E3D"/>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167"/>
    <w:rsid w:val="00D35489"/>
    <w:rsid w:val="00D36AFE"/>
    <w:rsid w:val="00D41DFE"/>
    <w:rsid w:val="00D51276"/>
    <w:rsid w:val="00D7035F"/>
    <w:rsid w:val="00DA634F"/>
    <w:rsid w:val="00DA65AC"/>
    <w:rsid w:val="00DB1913"/>
    <w:rsid w:val="00DC410D"/>
    <w:rsid w:val="00DC5A81"/>
    <w:rsid w:val="00DC68CA"/>
    <w:rsid w:val="00DC7CBA"/>
    <w:rsid w:val="00DD73B7"/>
    <w:rsid w:val="00DF28BC"/>
    <w:rsid w:val="00DF34B9"/>
    <w:rsid w:val="00DF6B9C"/>
    <w:rsid w:val="00E000F4"/>
    <w:rsid w:val="00E01053"/>
    <w:rsid w:val="00E07ACF"/>
    <w:rsid w:val="00E11A91"/>
    <w:rsid w:val="00E331A1"/>
    <w:rsid w:val="00E33202"/>
    <w:rsid w:val="00E336A9"/>
    <w:rsid w:val="00E472B1"/>
    <w:rsid w:val="00E50624"/>
    <w:rsid w:val="00E568DF"/>
    <w:rsid w:val="00E617E6"/>
    <w:rsid w:val="00E64269"/>
    <w:rsid w:val="00E7628F"/>
    <w:rsid w:val="00E82267"/>
    <w:rsid w:val="00E853CE"/>
    <w:rsid w:val="00E867B6"/>
    <w:rsid w:val="00EA010F"/>
    <w:rsid w:val="00EB04A5"/>
    <w:rsid w:val="00ED1B63"/>
    <w:rsid w:val="00ED3C1F"/>
    <w:rsid w:val="00ED4085"/>
    <w:rsid w:val="00ED420E"/>
    <w:rsid w:val="00ED6FBE"/>
    <w:rsid w:val="00EE2F57"/>
    <w:rsid w:val="00EF3470"/>
    <w:rsid w:val="00EF4044"/>
    <w:rsid w:val="00EF4C34"/>
    <w:rsid w:val="00EF5D49"/>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1F12"/>
    <w:rsid w:val="00FA23E8"/>
    <w:rsid w:val="00FD3CC1"/>
    <w:rsid w:val="00FF1E02"/>
    <w:rsid w:val="00FF30B4"/>
    <w:rsid w:val="053A62B5"/>
    <w:rsid w:val="0A2032A3"/>
    <w:rsid w:val="0B0539F9"/>
    <w:rsid w:val="0B8A37D8"/>
    <w:rsid w:val="0D464D9C"/>
    <w:rsid w:val="0E4415FC"/>
    <w:rsid w:val="101051ED"/>
    <w:rsid w:val="10C055FF"/>
    <w:rsid w:val="118107EC"/>
    <w:rsid w:val="11DD6519"/>
    <w:rsid w:val="16BB723D"/>
    <w:rsid w:val="18015F3F"/>
    <w:rsid w:val="1BE8440E"/>
    <w:rsid w:val="1D155CEE"/>
    <w:rsid w:val="1F3A5DE3"/>
    <w:rsid w:val="20F57F95"/>
    <w:rsid w:val="212C3E51"/>
    <w:rsid w:val="240371BF"/>
    <w:rsid w:val="25711CC6"/>
    <w:rsid w:val="25C741E6"/>
    <w:rsid w:val="27842671"/>
    <w:rsid w:val="29FD04D3"/>
    <w:rsid w:val="2ABE7A3E"/>
    <w:rsid w:val="2CA234A8"/>
    <w:rsid w:val="2EFA178C"/>
    <w:rsid w:val="2FD14412"/>
    <w:rsid w:val="30B46D73"/>
    <w:rsid w:val="319F7F4E"/>
    <w:rsid w:val="383D272C"/>
    <w:rsid w:val="38D86A27"/>
    <w:rsid w:val="39AE70AB"/>
    <w:rsid w:val="3C0C0783"/>
    <w:rsid w:val="3F9F3A96"/>
    <w:rsid w:val="409018AF"/>
    <w:rsid w:val="469A077B"/>
    <w:rsid w:val="47694C08"/>
    <w:rsid w:val="48BF60AB"/>
    <w:rsid w:val="493C27E9"/>
    <w:rsid w:val="496F39ED"/>
    <w:rsid w:val="49C33C00"/>
    <w:rsid w:val="49FF41D3"/>
    <w:rsid w:val="4BE068DB"/>
    <w:rsid w:val="4BF6002B"/>
    <w:rsid w:val="4ECE2238"/>
    <w:rsid w:val="51DB4B86"/>
    <w:rsid w:val="55333C3E"/>
    <w:rsid w:val="579B321D"/>
    <w:rsid w:val="5B7269CC"/>
    <w:rsid w:val="64CA39A1"/>
    <w:rsid w:val="69630ADE"/>
    <w:rsid w:val="6C4A05C8"/>
    <w:rsid w:val="6D3B1A89"/>
    <w:rsid w:val="6E7339A7"/>
    <w:rsid w:val="71BF4EC2"/>
    <w:rsid w:val="72734D90"/>
    <w:rsid w:val="7412278C"/>
    <w:rsid w:val="79E7B28D"/>
    <w:rsid w:val="7B061B53"/>
    <w:rsid w:val="7E81225C"/>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4714A241"/>
  <w15:docId w15:val="{D5946861-1A47-4908-842E-83490450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Lines="30"/>
    </w:pPr>
    <w:rPr>
      <w:rFonts w:ascii="仿宋_GB2312" w:eastAsia="仿宋_GB2312"/>
      <w:kern w:val="0"/>
      <w:sz w:val="30"/>
    </w:rPr>
  </w:style>
  <w:style w:type="paragraph" w:styleId="TOC3">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character" w:styleId="ab">
    <w:name w:val="Strong"/>
    <w:basedOn w:val="a0"/>
    <w:uiPriority w:val="99"/>
    <w:qFormat/>
    <w:rPr>
      <w:b/>
    </w:rPr>
  </w:style>
  <w:style w:type="character" w:styleId="ac">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d">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e">
    <w:name w:val="四号正文"/>
    <w:basedOn w:val="a"/>
    <w:qFormat/>
    <w:pPr>
      <w:spacing w:line="360" w:lineRule="auto"/>
    </w:pPr>
    <w:rPr>
      <w:rFonts w:ascii="??" w:eastAsia="Times New Roman" w:hAnsi="??"/>
      <w:color w:val="000000"/>
      <w:kern w:val="0"/>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05773626931902E-2"/>
          <c:y val="0.19243696810625899"/>
          <c:w val="0.79472226021375103"/>
          <c:h val="0.68585898353614905"/>
        </c:manualLayout>
      </c:layout>
      <c:barChart>
        <c:barDir val="col"/>
        <c:grouping val="clustered"/>
        <c:varyColors val="0"/>
        <c:ser>
          <c:idx val="0"/>
          <c:order val="0"/>
          <c:tx>
            <c:strRef>
              <c:f>Sheet1!$B$1</c:f>
              <c:strCache>
                <c:ptCount val="1"/>
                <c:pt idx="0">
                  <c:v>收、支决算总计（万元）</c:v>
                </c:pt>
              </c:strCache>
            </c:strRef>
          </c:tx>
          <c:invertIfNegative val="0"/>
          <c:cat>
            <c:strRef>
              <c:f>Sheet1!$A$2:$A$3</c:f>
              <c:strCache>
                <c:ptCount val="2"/>
                <c:pt idx="0">
                  <c:v>2022年</c:v>
                </c:pt>
                <c:pt idx="1">
                  <c:v>2023年</c:v>
                </c:pt>
              </c:strCache>
            </c:strRef>
          </c:cat>
          <c:val>
            <c:numRef>
              <c:f>Sheet1!$B$2:$B$3</c:f>
              <c:numCache>
                <c:formatCode>General</c:formatCode>
                <c:ptCount val="2"/>
                <c:pt idx="0">
                  <c:v>2288.64</c:v>
                </c:pt>
                <c:pt idx="1">
                  <c:v>2022.46</c:v>
                </c:pt>
              </c:numCache>
            </c:numRef>
          </c:val>
          <c:extLst>
            <c:ext xmlns:c16="http://schemas.microsoft.com/office/drawing/2014/chart" uri="{C3380CC4-5D6E-409C-BE32-E72D297353CC}">
              <c16:uniqueId val="{00000000-5673-45B4-A08F-48AA3FF01916}"/>
            </c:ext>
          </c:extLst>
        </c:ser>
        <c:dLbls>
          <c:showLegendKey val="0"/>
          <c:showVal val="0"/>
          <c:showCatName val="0"/>
          <c:showSerName val="0"/>
          <c:showPercent val="0"/>
          <c:showBubbleSize val="0"/>
        </c:dLbls>
        <c:gapWidth val="150"/>
        <c:axId val="361518976"/>
        <c:axId val="362205568"/>
      </c:barChart>
      <c:catAx>
        <c:axId val="36151897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62205568"/>
        <c:crosses val="autoZero"/>
        <c:auto val="1"/>
        <c:lblAlgn val="ctr"/>
        <c:lblOffset val="100"/>
        <c:noMultiLvlLbl val="0"/>
      </c:catAx>
      <c:valAx>
        <c:axId val="3622055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61518976"/>
        <c:crosses val="autoZero"/>
        <c:crossBetween val="between"/>
      </c:valAx>
      <c:spPr>
        <a:solidFill>
          <a:schemeClr val="bg1"/>
        </a:solidFill>
      </c:spPr>
    </c:plotArea>
    <c:legend>
      <c:legendPos val="r"/>
      <c:layout>
        <c:manualLayout>
          <c:xMode val="edge"/>
          <c:yMode val="edge"/>
          <c:x val="0.56141439205955301"/>
          <c:y val="6.25E-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noFill/>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dPt>
            <c:idx val="0"/>
            <c:bubble3D val="0"/>
            <c:extLst>
              <c:ext xmlns:c16="http://schemas.microsoft.com/office/drawing/2014/chart" uri="{C3380CC4-5D6E-409C-BE32-E72D297353CC}">
                <c16:uniqueId val="{00000000-6D21-45A2-9C50-75F5AA76E553}"/>
              </c:ext>
            </c:extLst>
          </c:dPt>
          <c:dPt>
            <c:idx val="1"/>
            <c:bubble3D val="0"/>
            <c:extLst>
              <c:ext xmlns:c16="http://schemas.microsoft.com/office/drawing/2014/chart" uri="{C3380CC4-5D6E-409C-BE32-E72D297353CC}">
                <c16:uniqueId val="{00000001-6D21-45A2-9C50-75F5AA76E553}"/>
              </c:ext>
            </c:extLst>
          </c:dPt>
          <c:dPt>
            <c:idx val="2"/>
            <c:bubble3D val="0"/>
            <c:extLst>
              <c:ext xmlns:c16="http://schemas.microsoft.com/office/drawing/2014/chart" uri="{C3380CC4-5D6E-409C-BE32-E72D297353CC}">
                <c16:uniqueId val="{00000002-6D21-45A2-9C50-75F5AA76E553}"/>
              </c:ext>
            </c:extLst>
          </c:dPt>
          <c:dPt>
            <c:idx val="3"/>
            <c:bubble3D val="0"/>
            <c:extLst>
              <c:ext xmlns:c16="http://schemas.microsoft.com/office/drawing/2014/chart" uri="{C3380CC4-5D6E-409C-BE32-E72D297353CC}">
                <c16:uniqueId val="{00000003-6D21-45A2-9C50-75F5AA76E553}"/>
              </c:ext>
            </c:extLst>
          </c:dPt>
          <c:dPt>
            <c:idx val="4"/>
            <c:bubble3D val="0"/>
            <c:extLst>
              <c:ext xmlns:c16="http://schemas.microsoft.com/office/drawing/2014/chart" uri="{C3380CC4-5D6E-409C-BE32-E72D297353CC}">
                <c16:uniqueId val="{00000004-6D21-45A2-9C50-75F5AA76E553}"/>
              </c:ext>
            </c:extLst>
          </c:dPt>
          <c:dPt>
            <c:idx val="5"/>
            <c:bubble3D val="0"/>
            <c:extLst>
              <c:ext xmlns:c16="http://schemas.microsoft.com/office/drawing/2014/chart" uri="{C3380CC4-5D6E-409C-BE32-E72D297353CC}">
                <c16:uniqueId val="{00000005-6D21-45A2-9C50-75F5AA76E553}"/>
              </c:ext>
            </c:extLst>
          </c:dPt>
          <c:dPt>
            <c:idx val="6"/>
            <c:bubble3D val="0"/>
            <c:extLst>
              <c:ext xmlns:c16="http://schemas.microsoft.com/office/drawing/2014/chart" uri="{C3380CC4-5D6E-409C-BE32-E72D297353CC}">
                <c16:uniqueId val="{00000006-6D21-45A2-9C50-75F5AA76E553}"/>
              </c:ext>
            </c:extLst>
          </c:dPt>
          <c:dLbls>
            <c:dLbl>
              <c:idx val="0"/>
              <c:layout>
                <c:manualLayout>
                  <c:x val="-4.4145918433253398E-2"/>
                  <c:y val="-0.1331269349845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299"/>
                    </c:manualLayout>
                  </c15:layout>
                </c:ext>
                <c:ext xmlns:c16="http://schemas.microsoft.com/office/drawing/2014/chart" uri="{C3380CC4-5D6E-409C-BE32-E72D297353CC}">
                  <c16:uniqueId val="{00000000-6D21-45A2-9C50-75F5AA76E553}"/>
                </c:ext>
              </c:extLst>
            </c:dLbl>
            <c:dLbl>
              <c:idx val="1"/>
              <c:delete val="1"/>
              <c:extLst>
                <c:ext xmlns:c15="http://schemas.microsoft.com/office/drawing/2012/chart" uri="{CE6537A1-D6FC-4f65-9D91-7224C49458BB}"/>
                <c:ext xmlns:c16="http://schemas.microsoft.com/office/drawing/2014/chart" uri="{C3380CC4-5D6E-409C-BE32-E72D297353CC}">
                  <c16:uniqueId val="{00000001-6D21-45A2-9C50-75F5AA76E553}"/>
                </c:ext>
              </c:extLst>
            </c:dLbl>
            <c:dLbl>
              <c:idx val="2"/>
              <c:delete val="1"/>
              <c:extLst>
                <c:ext xmlns:c15="http://schemas.microsoft.com/office/drawing/2012/chart" uri="{CE6537A1-D6FC-4f65-9D91-7224C49458BB}"/>
                <c:ext xmlns:c16="http://schemas.microsoft.com/office/drawing/2014/chart" uri="{C3380CC4-5D6E-409C-BE32-E72D297353CC}">
                  <c16:uniqueId val="{00000002-6D21-45A2-9C50-75F5AA76E553}"/>
                </c:ext>
              </c:extLst>
            </c:dLbl>
            <c:dLbl>
              <c:idx val="3"/>
              <c:delete val="1"/>
              <c:extLst>
                <c:ext xmlns:c15="http://schemas.microsoft.com/office/drawing/2012/chart" uri="{CE6537A1-D6FC-4f65-9D91-7224C49458BB}"/>
                <c:ext xmlns:c16="http://schemas.microsoft.com/office/drawing/2014/chart" uri="{C3380CC4-5D6E-409C-BE32-E72D297353CC}">
                  <c16:uniqueId val="{00000003-6D21-45A2-9C50-75F5AA76E553}"/>
                </c:ext>
              </c:extLst>
            </c:dLbl>
            <c:dLbl>
              <c:idx val="4"/>
              <c:delete val="1"/>
              <c:extLst>
                <c:ext xmlns:c15="http://schemas.microsoft.com/office/drawing/2012/chart" uri="{CE6537A1-D6FC-4f65-9D91-7224C49458BB}"/>
                <c:ext xmlns:c16="http://schemas.microsoft.com/office/drawing/2014/chart" uri="{C3380CC4-5D6E-409C-BE32-E72D297353CC}">
                  <c16:uniqueId val="{00000004-6D21-45A2-9C50-75F5AA76E553}"/>
                </c:ext>
              </c:extLst>
            </c:dLbl>
            <c:dLbl>
              <c:idx val="5"/>
              <c:delete val="1"/>
              <c:extLst>
                <c:ext xmlns:c15="http://schemas.microsoft.com/office/drawing/2012/chart" uri="{CE6537A1-D6FC-4f65-9D91-7224C49458BB}"/>
                <c:ext xmlns:c16="http://schemas.microsoft.com/office/drawing/2014/chart" uri="{C3380CC4-5D6E-409C-BE32-E72D297353CC}">
                  <c16:uniqueId val="{00000005-6D21-45A2-9C50-75F5AA76E553}"/>
                </c:ext>
              </c:extLst>
            </c:dLbl>
            <c:dLbl>
              <c:idx val="6"/>
              <c:layout>
                <c:manualLayout>
                  <c:x val="-0.150802964308168"/>
                  <c:y val="5.6057763977109499E-3"/>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6932338068865902"/>
                      <c:h val="0.11186790505676"/>
                    </c:manualLayout>
                  </c15:layout>
                </c:ext>
                <c:ext xmlns:c16="http://schemas.microsoft.com/office/drawing/2014/chart" uri="{C3380CC4-5D6E-409C-BE32-E72D297353CC}">
                  <c16:uniqueId val="{00000006-6D21-45A2-9C50-75F5AA76E553}"/>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1747.36</c:v>
                </c:pt>
                <c:pt idx="1">
                  <c:v>0</c:v>
                </c:pt>
                <c:pt idx="2">
                  <c:v>0</c:v>
                </c:pt>
                <c:pt idx="3">
                  <c:v>131.69999999999999</c:v>
                </c:pt>
                <c:pt idx="4">
                  <c:v>0</c:v>
                </c:pt>
                <c:pt idx="5">
                  <c:v>0</c:v>
                </c:pt>
                <c:pt idx="6">
                  <c:v>143.4</c:v>
                </c:pt>
              </c:numCache>
            </c:numRef>
          </c:val>
          <c:extLst>
            <c:ext xmlns:c16="http://schemas.microsoft.com/office/drawing/2014/chart" uri="{C3380CC4-5D6E-409C-BE32-E72D297353CC}">
              <c16:uniqueId val="{00000007-6D21-45A2-9C50-75F5AA76E553}"/>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dPt>
            <c:idx val="0"/>
            <c:bubble3D val="0"/>
            <c:extLst>
              <c:ext xmlns:c16="http://schemas.microsoft.com/office/drawing/2014/chart" uri="{C3380CC4-5D6E-409C-BE32-E72D297353CC}">
                <c16:uniqueId val="{00000000-C91B-4CDE-B35E-B07AEA8B31F3}"/>
              </c:ext>
            </c:extLst>
          </c:dPt>
          <c:dPt>
            <c:idx val="1"/>
            <c:bubble3D val="0"/>
            <c:extLst>
              <c:ext xmlns:c16="http://schemas.microsoft.com/office/drawing/2014/chart" uri="{C3380CC4-5D6E-409C-BE32-E72D297353CC}">
                <c16:uniqueId val="{00000001-C91B-4CDE-B35E-B07AEA8B31F3}"/>
              </c:ext>
            </c:extLst>
          </c:dPt>
          <c:dPt>
            <c:idx val="2"/>
            <c:bubble3D val="0"/>
            <c:extLst>
              <c:ext xmlns:c16="http://schemas.microsoft.com/office/drawing/2014/chart" uri="{C3380CC4-5D6E-409C-BE32-E72D297353CC}">
                <c16:uniqueId val="{00000002-C91B-4CDE-B35E-B07AEA8B31F3}"/>
              </c:ext>
            </c:extLst>
          </c:dPt>
          <c:dPt>
            <c:idx val="3"/>
            <c:bubble3D val="0"/>
            <c:extLst>
              <c:ext xmlns:c16="http://schemas.microsoft.com/office/drawing/2014/chart" uri="{C3380CC4-5D6E-409C-BE32-E72D297353CC}">
                <c16:uniqueId val="{00000003-C91B-4CDE-B35E-B07AEA8B31F3}"/>
              </c:ext>
            </c:extLst>
          </c:dPt>
          <c:dPt>
            <c:idx val="4"/>
            <c:bubble3D val="0"/>
            <c:extLst>
              <c:ext xmlns:c16="http://schemas.microsoft.com/office/drawing/2014/chart" uri="{C3380CC4-5D6E-409C-BE32-E72D297353CC}">
                <c16:uniqueId val="{00000004-C91B-4CDE-B35E-B07AEA8B31F3}"/>
              </c:ext>
            </c:extLst>
          </c:dPt>
          <c:dLbls>
            <c:dLbl>
              <c:idx val="0"/>
              <c:layout>
                <c:manualLayout>
                  <c:x val="-8.5053308750359394E-2"/>
                  <c:y val="0.1878650083570999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91B-4CDE-B35E-B07AEA8B31F3}"/>
                </c:ext>
              </c:extLst>
            </c:dLbl>
            <c:dLbl>
              <c:idx val="1"/>
              <c:layout>
                <c:manualLayout>
                  <c:x val="0.12391389646211499"/>
                  <c:y val="-0.22066776989791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91B-4CDE-B35E-B07AEA8B31F3}"/>
                </c:ext>
              </c:extLst>
            </c:dLbl>
            <c:dLbl>
              <c:idx val="2"/>
              <c:delete val="1"/>
              <c:extLst>
                <c:ext xmlns:c15="http://schemas.microsoft.com/office/drawing/2012/chart" uri="{CE6537A1-D6FC-4f65-9D91-7224C49458BB}"/>
                <c:ext xmlns:c16="http://schemas.microsoft.com/office/drawing/2014/chart" uri="{C3380CC4-5D6E-409C-BE32-E72D297353CC}">
                  <c16:uniqueId val="{00000002-C91B-4CDE-B35E-B07AEA8B31F3}"/>
                </c:ext>
              </c:extLst>
            </c:dLbl>
            <c:dLbl>
              <c:idx val="3"/>
              <c:delete val="1"/>
              <c:extLst>
                <c:ext xmlns:c15="http://schemas.microsoft.com/office/drawing/2012/chart" uri="{CE6537A1-D6FC-4f65-9D91-7224C49458BB}"/>
                <c:ext xmlns:c16="http://schemas.microsoft.com/office/drawing/2014/chart" uri="{C3380CC4-5D6E-409C-BE32-E72D297353CC}">
                  <c16:uniqueId val="{00000003-C91B-4CDE-B35E-B07AEA8B31F3}"/>
                </c:ext>
              </c:extLst>
            </c:dLbl>
            <c:dLbl>
              <c:idx val="4"/>
              <c:delete val="1"/>
              <c:extLst>
                <c:ext xmlns:c15="http://schemas.microsoft.com/office/drawing/2012/chart" uri="{CE6537A1-D6FC-4f65-9D91-7224C49458BB}"/>
                <c:ext xmlns:c16="http://schemas.microsoft.com/office/drawing/2014/chart" uri="{C3380CC4-5D6E-409C-BE32-E72D297353CC}">
                  <c16:uniqueId val="{00000004-C91B-4CDE-B35E-B07AEA8B31F3}"/>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1130.99</c:v>
                </c:pt>
                <c:pt idx="1">
                  <c:v>891.46</c:v>
                </c:pt>
                <c:pt idx="2">
                  <c:v>0</c:v>
                </c:pt>
                <c:pt idx="3">
                  <c:v>0</c:v>
                </c:pt>
                <c:pt idx="4">
                  <c:v>0</c:v>
                </c:pt>
              </c:numCache>
            </c:numRef>
          </c:val>
          <c:extLst>
            <c:ext xmlns:c16="http://schemas.microsoft.com/office/drawing/2014/chart" uri="{C3380CC4-5D6E-409C-BE32-E72D297353CC}">
              <c16:uniqueId val="{00000005-C91B-4CDE-B35E-B07AEA8B31F3}"/>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0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155133088498799E-2"/>
          <c:y val="2.5190999731844702E-2"/>
          <c:w val="0.80216634972157497"/>
          <c:h val="0.84747519563150597"/>
        </c:manualLayout>
      </c:layout>
      <c:barChart>
        <c:barDir val="col"/>
        <c:grouping val="clustered"/>
        <c:varyColors val="0"/>
        <c:ser>
          <c:idx val="0"/>
          <c:order val="0"/>
          <c:tx>
            <c:strRef>
              <c:f>Sheet1!$B$1</c:f>
              <c:strCache>
                <c:ptCount val="1"/>
                <c:pt idx="0">
                  <c:v>财政拨款收、支决算总计（万元）</c:v>
                </c:pt>
              </c:strCache>
            </c:strRef>
          </c:tx>
          <c:invertIfNegative val="0"/>
          <c:cat>
            <c:strRef>
              <c:f>Sheet1!$A$2:$A$3</c:f>
              <c:strCache>
                <c:ptCount val="2"/>
                <c:pt idx="0">
                  <c:v>2022年</c:v>
                </c:pt>
                <c:pt idx="1">
                  <c:v>2023年</c:v>
                </c:pt>
              </c:strCache>
            </c:strRef>
          </c:cat>
          <c:val>
            <c:numRef>
              <c:f>Sheet1!$B$2:$B$3</c:f>
              <c:numCache>
                <c:formatCode>General</c:formatCode>
                <c:ptCount val="2"/>
                <c:pt idx="0">
                  <c:v>2204.11</c:v>
                </c:pt>
                <c:pt idx="1">
                  <c:v>1747.36</c:v>
                </c:pt>
              </c:numCache>
            </c:numRef>
          </c:val>
          <c:extLst>
            <c:ext xmlns:c16="http://schemas.microsoft.com/office/drawing/2014/chart" uri="{C3380CC4-5D6E-409C-BE32-E72D297353CC}">
              <c16:uniqueId val="{00000000-3895-4F34-94A3-F7D390193AEE}"/>
            </c:ext>
          </c:extLst>
        </c:ser>
        <c:dLbls>
          <c:showLegendKey val="0"/>
          <c:showVal val="0"/>
          <c:showCatName val="0"/>
          <c:showSerName val="0"/>
          <c:showPercent val="0"/>
          <c:showBubbleSize val="0"/>
        </c:dLbls>
        <c:gapWidth val="150"/>
        <c:axId val="210563072"/>
        <c:axId val="210564608"/>
      </c:barChart>
      <c:catAx>
        <c:axId val="2105630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0564608"/>
        <c:crosses val="autoZero"/>
        <c:auto val="1"/>
        <c:lblAlgn val="ctr"/>
        <c:lblOffset val="100"/>
        <c:noMultiLvlLbl val="0"/>
      </c:catAx>
      <c:valAx>
        <c:axId val="2105646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0563072"/>
        <c:crosses val="autoZero"/>
        <c:crossBetween val="between"/>
      </c:valAx>
    </c:plotArea>
    <c:legend>
      <c:legendPos val="r"/>
      <c:layout>
        <c:manualLayout>
          <c:xMode val="edge"/>
          <c:yMode val="edge"/>
          <c:x val="0.57959574213610798"/>
          <c:y val="5.7678177810433502E-2"/>
          <c:w val="0.39110154287764598"/>
          <c:h val="0.224467303453343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155133088498799E-2"/>
          <c:y val="2.5190999731844702E-2"/>
          <c:w val="0.80216634972157497"/>
          <c:h val="0.84747519563150597"/>
        </c:manualLayout>
      </c:layout>
      <c:barChart>
        <c:barDir val="col"/>
        <c:grouping val="clustered"/>
        <c:varyColors val="0"/>
        <c:ser>
          <c:idx val="0"/>
          <c:order val="0"/>
          <c:tx>
            <c:strRef>
              <c:f>Sheet1!$B$1</c:f>
              <c:strCache>
                <c:ptCount val="1"/>
                <c:pt idx="0">
                  <c:v>一般公共预算财政拨款支出（万元）</c:v>
                </c:pt>
              </c:strCache>
            </c:strRef>
          </c:tx>
          <c:invertIfNegative val="0"/>
          <c:cat>
            <c:strRef>
              <c:f>Sheet1!$A$2:$A$3</c:f>
              <c:strCache>
                <c:ptCount val="2"/>
                <c:pt idx="0">
                  <c:v>2022年</c:v>
                </c:pt>
                <c:pt idx="1">
                  <c:v>2023年</c:v>
                </c:pt>
              </c:strCache>
            </c:strRef>
          </c:cat>
          <c:val>
            <c:numRef>
              <c:f>Sheet1!$B$2:$B$3</c:f>
              <c:numCache>
                <c:formatCode>General</c:formatCode>
                <c:ptCount val="2"/>
                <c:pt idx="0">
                  <c:v>2204.11</c:v>
                </c:pt>
                <c:pt idx="1">
                  <c:v>1747.36</c:v>
                </c:pt>
              </c:numCache>
            </c:numRef>
          </c:val>
          <c:extLst>
            <c:ext xmlns:c16="http://schemas.microsoft.com/office/drawing/2014/chart" uri="{C3380CC4-5D6E-409C-BE32-E72D297353CC}">
              <c16:uniqueId val="{00000000-A67C-40C9-8181-3A1610C2CFDB}"/>
            </c:ext>
          </c:extLst>
        </c:ser>
        <c:dLbls>
          <c:showLegendKey val="0"/>
          <c:showVal val="0"/>
          <c:showCatName val="0"/>
          <c:showSerName val="0"/>
          <c:showPercent val="0"/>
          <c:showBubbleSize val="0"/>
        </c:dLbls>
        <c:gapWidth val="150"/>
        <c:axId val="281470464"/>
        <c:axId val="281472000"/>
      </c:barChart>
      <c:catAx>
        <c:axId val="28147046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81472000"/>
        <c:crosses val="autoZero"/>
        <c:auto val="1"/>
        <c:lblAlgn val="ctr"/>
        <c:lblOffset val="100"/>
        <c:noMultiLvlLbl val="0"/>
      </c:catAx>
      <c:valAx>
        <c:axId val="2814720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81470464"/>
        <c:crosses val="autoZero"/>
        <c:crossBetween val="between"/>
      </c:valAx>
    </c:plotArea>
    <c:legend>
      <c:legendPos val="r"/>
      <c:layout>
        <c:manualLayout>
          <c:xMode val="edge"/>
          <c:yMode val="edge"/>
          <c:x val="0.55962205477813698"/>
          <c:y val="1.65319617927994E-2"/>
          <c:w val="0.41430450903001997"/>
          <c:h val="0.224467303453343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443-4182-8F92-300573E19F0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443-4182-8F92-300573E19F0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443-4182-8F92-300573E19F05}"/>
              </c:ext>
            </c:extLst>
          </c:dPt>
          <c:dLbls>
            <c:dLbl>
              <c:idx val="0"/>
              <c:layout>
                <c:manualLayout>
                  <c:x val="-4.1568562096115499E-3"/>
                  <c:y val="-0.26080386823813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443-4182-8F92-300573E19F05}"/>
                </c:ext>
              </c:extLst>
            </c:dLbl>
            <c:dLbl>
              <c:idx val="1"/>
              <c:layout>
                <c:manualLayout>
                  <c:x val="-0.18977640730089201"/>
                  <c:y val="0"/>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443-4182-8F92-300573E19F05}"/>
                </c:ext>
              </c:extLst>
            </c:dLbl>
            <c:dLbl>
              <c:idx val="2"/>
              <c:layout>
                <c:manualLayout>
                  <c:x val="0.222830440741944"/>
                  <c:y val="0"/>
                </c:manualLayout>
              </c:layout>
              <c:tx>
                <c:rich>
                  <a:bodyPr/>
                  <a:lstStyle/>
                  <a:p>
                    <a:r>
                      <a:rPr lang="zh-CN" altLang="en-US"/>
                      <a:t>卫生健康支出</a:t>
                    </a:r>
                    <a:r>
                      <a:rPr lang="en-US" altLang="zh-CN"/>
                      <a:t>, 39.15,0.60%</a:t>
                    </a:r>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443-4182-8F92-300573E19F05}"/>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教育支出</c:v>
                </c:pt>
                <c:pt idx="1">
                  <c:v>社会保障和就业支出</c:v>
                </c:pt>
                <c:pt idx="2">
                  <c:v>住房保障支出</c:v>
                </c:pt>
                <c:pt idx="3">
                  <c:v>卫生与健康支出</c:v>
                </c:pt>
              </c:strCache>
            </c:strRef>
          </c:cat>
          <c:val>
            <c:numRef>
              <c:f>Sheet1!$B$2:$B$5</c:f>
              <c:numCache>
                <c:formatCode>General</c:formatCode>
                <c:ptCount val="4"/>
                <c:pt idx="0">
                  <c:v>1734.16</c:v>
                </c:pt>
                <c:pt idx="1">
                  <c:v>6.03</c:v>
                </c:pt>
                <c:pt idx="2">
                  <c:v>4.29</c:v>
                </c:pt>
                <c:pt idx="3">
                  <c:v>2.88</c:v>
                </c:pt>
              </c:numCache>
            </c:numRef>
          </c:val>
          <c:extLst>
            <c:ext xmlns:c16="http://schemas.microsoft.com/office/drawing/2014/chart" uri="{C3380CC4-5D6E-409C-BE32-E72D297353CC}">
              <c16:uniqueId val="{00000006-D443-4182-8F92-300573E19F0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983900482713663"/>
          <c:y val="0.86170274043878825"/>
          <c:w val="0.73269096112105714"/>
          <c:h val="0.1140835183453382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515D1B-A28D-47E4-87DC-631027FC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762</Words>
  <Characters>4347</Characters>
  <Application>Microsoft Office Word</Application>
  <DocSecurity>0</DocSecurity>
  <Lines>36</Lines>
  <Paragraphs>10</Paragraphs>
  <ScaleCrop>false</ScaleCrop>
  <Company>四川省财政厅</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晨 清</cp:lastModifiedBy>
  <cp:revision>7</cp:revision>
  <cp:lastPrinted>2023-07-31T02:35:00Z</cp:lastPrinted>
  <dcterms:created xsi:type="dcterms:W3CDTF">2024-10-08T07:55:00Z</dcterms:created>
  <dcterms:modified xsi:type="dcterms:W3CDTF">2024-10-13T03:23:00Z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C433FE6948AD4FBFB02E3450D9198EC1_12</vt:lpwstr>
  </property>
</Properties>
</file>