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BC6874">
      <w:pPr>
        <w:spacing w:line="600" w:lineRule="exact"/>
        <w:jc w:val="left"/>
        <w:outlineLvl w:val="0"/>
        <w:rPr>
          <w:rFonts w:hint="eastAsia" w:ascii="方正小标宋简体" w:hAnsi="宋体" w:eastAsia="方正小标宋简体"/>
          <w:szCs w:val="21"/>
        </w:rPr>
      </w:pPr>
      <w:bookmarkStart w:id="0" w:name="_Toc15306267"/>
    </w:p>
    <w:p w14:paraId="21DB8590">
      <w:pPr>
        <w:spacing w:line="600" w:lineRule="exact"/>
        <w:jc w:val="center"/>
        <w:outlineLvl w:val="0"/>
        <w:rPr>
          <w:rFonts w:ascii="方正小标宋简体" w:hAnsi="宋体" w:eastAsia="方正小标宋简体"/>
          <w:sz w:val="72"/>
          <w:szCs w:val="72"/>
        </w:rPr>
      </w:pPr>
    </w:p>
    <w:p w14:paraId="3210F695">
      <w:pPr>
        <w:spacing w:line="600" w:lineRule="exact"/>
        <w:jc w:val="center"/>
        <w:outlineLvl w:val="0"/>
        <w:rPr>
          <w:rFonts w:ascii="方正小标宋简体" w:hAnsi="宋体" w:eastAsia="方正小标宋简体"/>
          <w:sz w:val="72"/>
          <w:szCs w:val="72"/>
        </w:rPr>
      </w:pPr>
    </w:p>
    <w:p w14:paraId="692A841C">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8441"/>
      <w:bookmarkStart w:id="2" w:name="_Toc15396475"/>
      <w:bookmarkStart w:id="3" w:name="_Toc15377193"/>
      <w:bookmarkStart w:id="4" w:name="_Toc15377425"/>
      <w:bookmarkStart w:id="5" w:name="_Toc15396597"/>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14:paraId="39E64F70">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广元市利州区上西小学</w:t>
      </w:r>
    </w:p>
    <w:p w14:paraId="07242F2F">
      <w:pPr>
        <w:widowControl/>
        <w:jc w:val="center"/>
        <w:rPr>
          <w:rFonts w:ascii="方正小标宋简体" w:hAnsi="宋体" w:eastAsia="方正小标宋简体"/>
          <w:sz w:val="36"/>
          <w:szCs w:val="36"/>
        </w:rPr>
      </w:pPr>
      <w:bookmarkStart w:id="6" w:name="_Toc19089860"/>
      <w:r>
        <w:rPr>
          <w:rFonts w:hint="eastAsia" w:ascii="方正小标宋简体" w:hAnsi="宋体" w:eastAsia="方正小标宋简体"/>
          <w:sz w:val="72"/>
          <w:szCs w:val="72"/>
        </w:rPr>
        <w:t>单位决算</w:t>
      </w:r>
      <w:bookmarkEnd w:id="6"/>
    </w:p>
    <w:p w14:paraId="57BA8D37">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698570BC">
      <w:pPr>
        <w:widowControl/>
        <w:jc w:val="center"/>
        <w:rPr>
          <w:rFonts w:ascii="黑体" w:hAnsi="黑体" w:eastAsia="黑体" w:cstheme="minorBidi"/>
          <w:sz w:val="28"/>
          <w:szCs w:val="28"/>
        </w:rPr>
      </w:pPr>
    </w:p>
    <w:p w14:paraId="1AF8B060">
      <w:pPr>
        <w:pStyle w:val="8"/>
      </w:pPr>
      <w:r>
        <w:rPr>
          <w:rFonts w:hint="eastAsia"/>
        </w:rPr>
        <w:t>公开时间：202</w:t>
      </w:r>
      <w:r>
        <w:t>4</w:t>
      </w:r>
      <w:r>
        <w:rPr>
          <w:rFonts w:hint="eastAsia"/>
        </w:rPr>
        <w:t xml:space="preserve">年 </w:t>
      </w:r>
      <w:r>
        <w:t>10</w:t>
      </w:r>
      <w:r>
        <w:rPr>
          <w:rFonts w:hint="eastAsia"/>
        </w:rPr>
        <w:t>月1</w:t>
      </w:r>
      <w:r>
        <w:rPr>
          <w:rFonts w:hint="eastAsia"/>
          <w:lang w:val="en-US" w:eastAsia="zh-CN"/>
        </w:rPr>
        <w:t xml:space="preserve">4 </w:t>
      </w:r>
      <w:r>
        <w:rPr>
          <w:rFonts w:hint="eastAsia"/>
        </w:rPr>
        <w:t>日</w:t>
      </w:r>
    </w:p>
    <w:p w14:paraId="1C8E9385"/>
    <w:p w14:paraId="09A759E4">
      <w:pPr>
        <w:widowControl/>
        <w:snapToGrid w:val="0"/>
        <w:spacing w:line="540" w:lineRule="exact"/>
        <w:jc w:val="distribute"/>
        <w:rPr>
          <w:rFonts w:ascii="仿宋" w:hAnsi="仿宋" w:eastAsia="仿宋" w:cs="仿宋"/>
          <w:sz w:val="28"/>
          <w:szCs w:val="28"/>
        </w:rPr>
      </w:pPr>
      <w:r>
        <w:rPr>
          <w:rFonts w:hint="eastAsia" w:ascii="仿宋" w:hAnsi="仿宋" w:eastAsia="仿宋" w:cs="仿宋"/>
          <w:sz w:val="28"/>
          <w:szCs w:val="28"/>
        </w:rPr>
        <w:t>第一部分 单位概况……………………………………………………1</w:t>
      </w:r>
    </w:p>
    <w:p w14:paraId="78A3C8C7">
      <w:pPr>
        <w:widowControl/>
        <w:snapToGrid w:val="0"/>
        <w:spacing w:line="540" w:lineRule="exact"/>
        <w:jc w:val="distribute"/>
        <w:rPr>
          <w:rFonts w:ascii="仿宋" w:hAnsi="仿宋" w:eastAsia="仿宋" w:cs="仿宋"/>
          <w:sz w:val="28"/>
          <w:szCs w:val="28"/>
        </w:rPr>
      </w:pPr>
      <w:r>
        <w:rPr>
          <w:rFonts w:hint="eastAsia" w:ascii="仿宋" w:hAnsi="仿宋" w:eastAsia="仿宋" w:cs="仿宋"/>
          <w:sz w:val="28"/>
          <w:szCs w:val="28"/>
        </w:rPr>
        <w:t>一、主要职责…………………………………………………………1</w:t>
      </w:r>
    </w:p>
    <w:p w14:paraId="350D6657">
      <w:pPr>
        <w:widowControl/>
        <w:snapToGrid w:val="0"/>
        <w:spacing w:line="540" w:lineRule="exact"/>
        <w:jc w:val="distribute"/>
        <w:rPr>
          <w:rFonts w:ascii="仿宋" w:hAnsi="仿宋" w:eastAsia="仿宋" w:cs="仿宋"/>
          <w:sz w:val="28"/>
          <w:szCs w:val="28"/>
        </w:rPr>
      </w:pPr>
      <w:r>
        <w:rPr>
          <w:rFonts w:hint="eastAsia" w:ascii="仿宋" w:hAnsi="仿宋" w:eastAsia="仿宋" w:cs="仿宋"/>
          <w:sz w:val="28"/>
          <w:szCs w:val="28"/>
        </w:rPr>
        <w:t>二、机构设置…………………………………………………………</w:t>
      </w:r>
      <w:r>
        <w:rPr>
          <w:rFonts w:ascii="仿宋" w:hAnsi="仿宋" w:eastAsia="仿宋" w:cs="仿宋"/>
          <w:sz w:val="28"/>
          <w:szCs w:val="28"/>
        </w:rPr>
        <w:t>2</w:t>
      </w:r>
    </w:p>
    <w:p w14:paraId="36775803">
      <w:pPr>
        <w:widowControl/>
        <w:snapToGrid w:val="0"/>
        <w:spacing w:line="540" w:lineRule="exact"/>
        <w:jc w:val="distribute"/>
        <w:rPr>
          <w:rFonts w:ascii="仿宋" w:hAnsi="仿宋" w:eastAsia="仿宋" w:cs="仿宋"/>
          <w:sz w:val="28"/>
          <w:szCs w:val="28"/>
        </w:rPr>
      </w:pPr>
      <w:r>
        <w:rPr>
          <w:rFonts w:hint="eastAsia" w:ascii="仿宋" w:hAnsi="仿宋" w:eastAsia="仿宋" w:cs="仿宋"/>
          <w:sz w:val="28"/>
          <w:szCs w:val="28"/>
        </w:rPr>
        <w:t>第二部分 202</w:t>
      </w:r>
      <w:r>
        <w:rPr>
          <w:rFonts w:ascii="仿宋" w:hAnsi="仿宋" w:eastAsia="仿宋" w:cs="仿宋"/>
          <w:sz w:val="28"/>
          <w:szCs w:val="28"/>
        </w:rPr>
        <w:t>3</w:t>
      </w:r>
      <w:r>
        <w:rPr>
          <w:rFonts w:hint="eastAsia" w:ascii="仿宋" w:hAnsi="仿宋" w:eastAsia="仿宋" w:cs="仿宋"/>
          <w:sz w:val="28"/>
          <w:szCs w:val="28"/>
        </w:rPr>
        <w:t>年度单位决算情况说明………………………………</w:t>
      </w:r>
      <w:r>
        <w:rPr>
          <w:rFonts w:ascii="仿宋" w:hAnsi="仿宋" w:eastAsia="仿宋" w:cs="仿宋"/>
          <w:sz w:val="28"/>
          <w:szCs w:val="28"/>
        </w:rPr>
        <w:t>3</w:t>
      </w:r>
    </w:p>
    <w:p w14:paraId="0F0C87D2">
      <w:pPr>
        <w:widowControl/>
        <w:snapToGrid w:val="0"/>
        <w:spacing w:line="540" w:lineRule="exact"/>
        <w:jc w:val="distribute"/>
        <w:rPr>
          <w:rFonts w:ascii="仿宋" w:hAnsi="仿宋" w:eastAsia="仿宋" w:cs="仿宋"/>
          <w:sz w:val="28"/>
          <w:szCs w:val="28"/>
        </w:rPr>
      </w:pPr>
      <w:r>
        <w:rPr>
          <w:rFonts w:hint="eastAsia" w:ascii="仿宋" w:hAnsi="仿宋" w:eastAsia="仿宋" w:cs="仿宋"/>
          <w:sz w:val="28"/>
          <w:szCs w:val="28"/>
        </w:rPr>
        <w:t>一、收入支出决算总体情况说明………………………………………</w:t>
      </w:r>
      <w:r>
        <w:rPr>
          <w:rFonts w:ascii="仿宋" w:hAnsi="仿宋" w:eastAsia="仿宋" w:cs="仿宋"/>
          <w:sz w:val="28"/>
          <w:szCs w:val="28"/>
        </w:rPr>
        <w:t>3</w:t>
      </w:r>
    </w:p>
    <w:p w14:paraId="2E6D7E90">
      <w:pPr>
        <w:widowControl/>
        <w:snapToGrid w:val="0"/>
        <w:spacing w:line="540" w:lineRule="exact"/>
        <w:jc w:val="distribute"/>
        <w:rPr>
          <w:rFonts w:ascii="仿宋" w:hAnsi="仿宋" w:eastAsia="仿宋" w:cs="仿宋"/>
          <w:sz w:val="28"/>
          <w:szCs w:val="28"/>
        </w:rPr>
      </w:pPr>
      <w:r>
        <w:rPr>
          <w:rFonts w:hint="eastAsia" w:ascii="仿宋" w:hAnsi="仿宋" w:eastAsia="仿宋" w:cs="仿宋"/>
          <w:sz w:val="28"/>
          <w:szCs w:val="28"/>
        </w:rPr>
        <w:t>二、收入决算情况说明………………………………………………</w:t>
      </w:r>
      <w:r>
        <w:rPr>
          <w:rFonts w:ascii="仿宋" w:hAnsi="仿宋" w:eastAsia="仿宋" w:cs="仿宋"/>
          <w:sz w:val="28"/>
          <w:szCs w:val="28"/>
        </w:rPr>
        <w:t>3</w:t>
      </w:r>
    </w:p>
    <w:p w14:paraId="22C286D6">
      <w:pPr>
        <w:widowControl/>
        <w:snapToGrid w:val="0"/>
        <w:spacing w:line="540" w:lineRule="exact"/>
        <w:jc w:val="distribute"/>
        <w:rPr>
          <w:rFonts w:ascii="仿宋" w:hAnsi="仿宋" w:eastAsia="仿宋" w:cs="仿宋"/>
          <w:sz w:val="28"/>
          <w:szCs w:val="28"/>
        </w:rPr>
      </w:pPr>
      <w:r>
        <w:rPr>
          <w:rFonts w:hint="eastAsia" w:ascii="仿宋" w:hAnsi="仿宋" w:eastAsia="仿宋" w:cs="仿宋"/>
          <w:sz w:val="28"/>
          <w:szCs w:val="28"/>
        </w:rPr>
        <w:t>三、支出决算情况说明………………………………………………</w:t>
      </w:r>
      <w:r>
        <w:rPr>
          <w:rFonts w:ascii="仿宋" w:hAnsi="仿宋" w:eastAsia="仿宋" w:cs="仿宋"/>
          <w:sz w:val="28"/>
          <w:szCs w:val="28"/>
        </w:rPr>
        <w:t>4</w:t>
      </w:r>
    </w:p>
    <w:p w14:paraId="5EE7A520">
      <w:pPr>
        <w:widowControl/>
        <w:snapToGrid w:val="0"/>
        <w:spacing w:line="540" w:lineRule="exact"/>
        <w:jc w:val="distribute"/>
        <w:rPr>
          <w:rFonts w:ascii="仿宋" w:hAnsi="仿宋" w:eastAsia="仿宋" w:cs="仿宋"/>
          <w:sz w:val="28"/>
          <w:szCs w:val="28"/>
        </w:rPr>
      </w:pPr>
      <w:r>
        <w:rPr>
          <w:rFonts w:hint="eastAsia" w:ascii="仿宋" w:hAnsi="仿宋" w:eastAsia="仿宋" w:cs="仿宋"/>
          <w:sz w:val="28"/>
          <w:szCs w:val="28"/>
        </w:rPr>
        <w:t>四、财政拨款收入支出决算总体情况说明…………………………</w:t>
      </w:r>
      <w:r>
        <w:rPr>
          <w:rFonts w:ascii="仿宋" w:hAnsi="仿宋" w:eastAsia="仿宋" w:cs="仿宋"/>
          <w:sz w:val="28"/>
          <w:szCs w:val="28"/>
        </w:rPr>
        <w:t>5</w:t>
      </w:r>
    </w:p>
    <w:p w14:paraId="53792877">
      <w:pPr>
        <w:widowControl/>
        <w:snapToGrid w:val="0"/>
        <w:spacing w:line="540" w:lineRule="exact"/>
        <w:jc w:val="distribute"/>
        <w:rPr>
          <w:rFonts w:ascii="仿宋" w:hAnsi="仿宋" w:eastAsia="仿宋" w:cs="仿宋"/>
          <w:sz w:val="28"/>
          <w:szCs w:val="28"/>
        </w:rPr>
      </w:pPr>
      <w:r>
        <w:rPr>
          <w:rFonts w:hint="eastAsia" w:ascii="仿宋" w:hAnsi="仿宋" w:eastAsia="仿宋" w:cs="仿宋"/>
          <w:sz w:val="28"/>
          <w:szCs w:val="28"/>
        </w:rPr>
        <w:t>五、一般公共预算财政拨款支出决算情况说明……………………</w:t>
      </w:r>
      <w:r>
        <w:rPr>
          <w:rFonts w:ascii="仿宋" w:hAnsi="仿宋" w:eastAsia="仿宋" w:cs="仿宋"/>
          <w:sz w:val="28"/>
          <w:szCs w:val="28"/>
        </w:rPr>
        <w:t>6</w:t>
      </w:r>
    </w:p>
    <w:p w14:paraId="2C9EC5B8">
      <w:pPr>
        <w:widowControl/>
        <w:snapToGrid w:val="0"/>
        <w:spacing w:line="540" w:lineRule="exact"/>
        <w:jc w:val="distribute"/>
        <w:rPr>
          <w:rFonts w:ascii="仿宋" w:hAnsi="仿宋" w:eastAsia="仿宋" w:cs="仿宋"/>
          <w:sz w:val="28"/>
          <w:szCs w:val="28"/>
        </w:rPr>
      </w:pPr>
      <w:r>
        <w:rPr>
          <w:rFonts w:hint="eastAsia" w:ascii="仿宋" w:hAnsi="仿宋" w:eastAsia="仿宋" w:cs="仿宋"/>
          <w:sz w:val="28"/>
          <w:szCs w:val="28"/>
        </w:rPr>
        <w:t>六、一般公共预算财政拨款基本支出决算情况说明…………………</w:t>
      </w:r>
      <w:r>
        <w:rPr>
          <w:rFonts w:ascii="仿宋" w:hAnsi="仿宋" w:eastAsia="仿宋" w:cs="仿宋"/>
          <w:sz w:val="28"/>
          <w:szCs w:val="28"/>
        </w:rPr>
        <w:t>8</w:t>
      </w:r>
    </w:p>
    <w:p w14:paraId="408998EE">
      <w:pPr>
        <w:widowControl/>
        <w:snapToGrid w:val="0"/>
        <w:spacing w:line="540" w:lineRule="exact"/>
        <w:jc w:val="distribute"/>
        <w:rPr>
          <w:rFonts w:ascii="仿宋" w:hAnsi="仿宋" w:eastAsia="仿宋" w:cs="仿宋"/>
          <w:sz w:val="28"/>
          <w:szCs w:val="28"/>
        </w:rPr>
      </w:pPr>
      <w:r>
        <w:rPr>
          <w:rFonts w:hint="eastAsia" w:ascii="仿宋" w:hAnsi="仿宋" w:eastAsia="仿宋" w:cs="仿宋"/>
          <w:sz w:val="28"/>
          <w:szCs w:val="28"/>
        </w:rPr>
        <w:t>七、财政拨款“三公”经费支出决算情况说明……………………</w:t>
      </w:r>
      <w:r>
        <w:rPr>
          <w:rFonts w:ascii="仿宋" w:hAnsi="仿宋" w:eastAsia="仿宋" w:cs="仿宋"/>
          <w:sz w:val="28"/>
          <w:szCs w:val="28"/>
        </w:rPr>
        <w:t>9</w:t>
      </w:r>
    </w:p>
    <w:p w14:paraId="72530FD0">
      <w:pPr>
        <w:widowControl/>
        <w:snapToGrid w:val="0"/>
        <w:spacing w:line="540" w:lineRule="exact"/>
        <w:jc w:val="distribute"/>
        <w:rPr>
          <w:rFonts w:ascii="仿宋" w:hAnsi="仿宋" w:eastAsia="仿宋" w:cs="仿宋"/>
          <w:sz w:val="28"/>
          <w:szCs w:val="28"/>
        </w:rPr>
      </w:pPr>
      <w:r>
        <w:rPr>
          <w:rFonts w:hint="eastAsia" w:ascii="仿宋" w:hAnsi="仿宋" w:eastAsia="仿宋" w:cs="仿宋"/>
          <w:sz w:val="28"/>
          <w:szCs w:val="28"/>
        </w:rPr>
        <w:t>八、政府性基金预算支出决算情况说明……………………</w:t>
      </w:r>
      <w:r>
        <w:rPr>
          <w:rFonts w:ascii="仿宋" w:hAnsi="仿宋" w:eastAsia="仿宋" w:cs="仿宋"/>
          <w:sz w:val="28"/>
          <w:szCs w:val="28"/>
        </w:rPr>
        <w:t>10</w:t>
      </w:r>
    </w:p>
    <w:p w14:paraId="1D499E7D">
      <w:pPr>
        <w:widowControl/>
        <w:snapToGrid w:val="0"/>
        <w:spacing w:line="540" w:lineRule="exact"/>
        <w:jc w:val="distribute"/>
        <w:rPr>
          <w:rFonts w:ascii="仿宋" w:hAnsi="仿宋" w:eastAsia="仿宋" w:cs="仿宋"/>
          <w:sz w:val="28"/>
          <w:szCs w:val="28"/>
        </w:rPr>
      </w:pPr>
      <w:r>
        <w:rPr>
          <w:rFonts w:hint="eastAsia" w:ascii="仿宋" w:hAnsi="仿宋" w:eastAsia="仿宋" w:cs="仿宋"/>
          <w:sz w:val="28"/>
          <w:szCs w:val="28"/>
        </w:rPr>
        <w:t>九、国有资本经营预算支出决算情况说明……………………</w:t>
      </w:r>
      <w:r>
        <w:rPr>
          <w:rFonts w:ascii="仿宋" w:hAnsi="仿宋" w:eastAsia="仿宋" w:cs="仿宋"/>
          <w:sz w:val="28"/>
          <w:szCs w:val="28"/>
        </w:rPr>
        <w:t>10</w:t>
      </w:r>
    </w:p>
    <w:p w14:paraId="69DE54EE">
      <w:pPr>
        <w:widowControl/>
        <w:snapToGrid w:val="0"/>
        <w:spacing w:line="540" w:lineRule="exact"/>
        <w:jc w:val="distribute"/>
        <w:rPr>
          <w:rFonts w:ascii="仿宋" w:hAnsi="仿宋" w:eastAsia="仿宋" w:cs="仿宋"/>
          <w:sz w:val="28"/>
          <w:szCs w:val="28"/>
        </w:rPr>
      </w:pPr>
      <w:r>
        <w:rPr>
          <w:rFonts w:hint="eastAsia" w:ascii="仿宋" w:hAnsi="仿宋" w:eastAsia="仿宋" w:cs="仿宋"/>
          <w:sz w:val="28"/>
          <w:szCs w:val="28"/>
        </w:rPr>
        <w:t>十、其他重要事项的情况说明…………………………………………</w:t>
      </w:r>
      <w:r>
        <w:rPr>
          <w:rFonts w:ascii="仿宋" w:hAnsi="仿宋" w:eastAsia="仿宋" w:cs="仿宋"/>
          <w:sz w:val="28"/>
          <w:szCs w:val="28"/>
        </w:rPr>
        <w:t>10</w:t>
      </w:r>
    </w:p>
    <w:p w14:paraId="3D6032F7">
      <w:pPr>
        <w:widowControl/>
        <w:snapToGrid w:val="0"/>
        <w:spacing w:line="540" w:lineRule="exact"/>
        <w:jc w:val="distribute"/>
        <w:rPr>
          <w:rFonts w:ascii="仿宋" w:hAnsi="仿宋" w:eastAsia="仿宋" w:cs="仿宋"/>
          <w:sz w:val="28"/>
          <w:szCs w:val="28"/>
        </w:rPr>
      </w:pPr>
      <w:r>
        <w:rPr>
          <w:rFonts w:hint="eastAsia" w:ascii="仿宋" w:hAnsi="仿宋" w:eastAsia="仿宋" w:cs="仿宋"/>
          <w:sz w:val="28"/>
          <w:szCs w:val="28"/>
        </w:rPr>
        <w:t>第三部分 名词解释……………………………………………………1</w:t>
      </w:r>
      <w:r>
        <w:rPr>
          <w:rFonts w:ascii="仿宋" w:hAnsi="仿宋" w:eastAsia="仿宋" w:cs="仿宋"/>
          <w:sz w:val="28"/>
          <w:szCs w:val="28"/>
        </w:rPr>
        <w:t>2</w:t>
      </w:r>
    </w:p>
    <w:p w14:paraId="643BEDCE">
      <w:pPr>
        <w:widowControl/>
        <w:snapToGrid w:val="0"/>
        <w:spacing w:line="540" w:lineRule="exact"/>
        <w:jc w:val="distribute"/>
        <w:rPr>
          <w:rFonts w:ascii="仿宋" w:hAnsi="仿宋" w:eastAsia="仿宋" w:cs="仿宋"/>
          <w:sz w:val="28"/>
          <w:szCs w:val="28"/>
        </w:rPr>
      </w:pPr>
      <w:r>
        <w:rPr>
          <w:rFonts w:hint="eastAsia" w:ascii="仿宋" w:hAnsi="仿宋" w:eastAsia="仿宋" w:cs="仿宋"/>
          <w:sz w:val="28"/>
          <w:szCs w:val="28"/>
        </w:rPr>
        <w:t>第四部分 附件………………………………………………………1</w:t>
      </w:r>
      <w:r>
        <w:rPr>
          <w:rFonts w:ascii="仿宋" w:hAnsi="仿宋" w:eastAsia="仿宋" w:cs="仿宋"/>
          <w:sz w:val="28"/>
          <w:szCs w:val="28"/>
        </w:rPr>
        <w:t>6</w:t>
      </w:r>
    </w:p>
    <w:p w14:paraId="70AA9DFE">
      <w:pPr>
        <w:spacing w:line="600" w:lineRule="exact"/>
        <w:ind w:firstLine="560" w:firstLineChars="200"/>
        <w:outlineLvl w:val="0"/>
      </w:pPr>
      <w:r>
        <w:rPr>
          <w:rFonts w:hint="eastAsia" w:ascii="仿宋" w:hAnsi="仿宋" w:eastAsia="仿宋" w:cs="仿宋"/>
          <w:sz w:val="28"/>
          <w:szCs w:val="28"/>
        </w:rPr>
        <w:t>部门预算项目支出绩效自评表（2023年度）</w:t>
      </w:r>
    </w:p>
    <w:p w14:paraId="3A48A3EC">
      <w:pPr>
        <w:widowControl/>
        <w:snapToGrid w:val="0"/>
        <w:spacing w:line="540" w:lineRule="exact"/>
        <w:jc w:val="distribute"/>
        <w:rPr>
          <w:rFonts w:ascii="仿宋" w:hAnsi="仿宋" w:eastAsia="仿宋" w:cs="仿宋"/>
          <w:sz w:val="28"/>
          <w:szCs w:val="28"/>
        </w:rPr>
      </w:pPr>
      <w:r>
        <w:rPr>
          <w:rFonts w:hint="eastAsia" w:ascii="仿宋" w:hAnsi="仿宋" w:eastAsia="仿宋" w:cs="仿宋"/>
          <w:sz w:val="28"/>
          <w:szCs w:val="28"/>
        </w:rPr>
        <w:t>第五部分 附表…………………………………………………………1</w:t>
      </w:r>
      <w:r>
        <w:rPr>
          <w:rFonts w:ascii="仿宋" w:hAnsi="仿宋" w:eastAsia="仿宋" w:cs="仿宋"/>
          <w:sz w:val="28"/>
          <w:szCs w:val="28"/>
        </w:rPr>
        <w:t>6</w:t>
      </w:r>
    </w:p>
    <w:p w14:paraId="5D6C3B60">
      <w:pPr>
        <w:pStyle w:val="9"/>
        <w:adjustRightInd w:val="0"/>
        <w:snapToGrid w:val="0"/>
        <w:spacing w:line="440" w:lineRule="exact"/>
        <w:jc w:val="left"/>
        <w:rPr>
          <w:rFonts w:ascii="仿宋" w:hAnsi="仿宋" w:eastAsia="仿宋" w:cs="仿宋"/>
          <w:sz w:val="28"/>
          <w:szCs w:val="28"/>
        </w:rPr>
      </w:pPr>
      <w:r>
        <w:rPr>
          <w:rFonts w:hint="eastAsia" w:ascii="仿宋" w:hAnsi="仿宋" w:eastAsia="仿宋" w:cs="仿宋"/>
          <w:sz w:val="28"/>
          <w:szCs w:val="28"/>
        </w:rPr>
        <w:t>一、收入支出决算总表</w:t>
      </w:r>
    </w:p>
    <w:p w14:paraId="391C1909">
      <w:pPr>
        <w:pStyle w:val="9"/>
        <w:adjustRightInd w:val="0"/>
        <w:snapToGrid w:val="0"/>
        <w:spacing w:line="440" w:lineRule="exact"/>
        <w:jc w:val="left"/>
        <w:rPr>
          <w:rFonts w:ascii="仿宋" w:hAnsi="仿宋" w:eastAsia="仿宋" w:cs="仿宋"/>
          <w:sz w:val="28"/>
          <w:szCs w:val="28"/>
        </w:rPr>
      </w:pPr>
      <w:r>
        <w:rPr>
          <w:rFonts w:hint="eastAsia" w:ascii="仿宋" w:hAnsi="仿宋" w:eastAsia="仿宋" w:cs="仿宋"/>
          <w:sz w:val="28"/>
          <w:szCs w:val="28"/>
        </w:rPr>
        <w:t>二、收入决算表</w:t>
      </w:r>
    </w:p>
    <w:p w14:paraId="02CCBABE">
      <w:pPr>
        <w:pStyle w:val="9"/>
        <w:adjustRightInd w:val="0"/>
        <w:snapToGrid w:val="0"/>
        <w:spacing w:line="440" w:lineRule="exact"/>
        <w:jc w:val="left"/>
        <w:rPr>
          <w:rFonts w:ascii="仿宋" w:hAnsi="仿宋" w:eastAsia="仿宋" w:cs="仿宋"/>
          <w:sz w:val="28"/>
          <w:szCs w:val="28"/>
        </w:rPr>
      </w:pPr>
      <w:r>
        <w:rPr>
          <w:rFonts w:hint="eastAsia" w:ascii="仿宋" w:hAnsi="仿宋" w:eastAsia="仿宋" w:cs="仿宋"/>
          <w:sz w:val="28"/>
          <w:szCs w:val="28"/>
        </w:rPr>
        <w:t>三、支出决算表</w:t>
      </w:r>
    </w:p>
    <w:p w14:paraId="5F77F4B6">
      <w:pPr>
        <w:pStyle w:val="9"/>
        <w:adjustRightInd w:val="0"/>
        <w:snapToGrid w:val="0"/>
        <w:spacing w:line="440" w:lineRule="exact"/>
        <w:jc w:val="left"/>
        <w:rPr>
          <w:rFonts w:ascii="仿宋" w:hAnsi="仿宋" w:eastAsia="仿宋" w:cs="仿宋"/>
          <w:sz w:val="28"/>
          <w:szCs w:val="28"/>
        </w:rPr>
      </w:pPr>
      <w:r>
        <w:rPr>
          <w:rFonts w:hint="eastAsia" w:ascii="仿宋" w:hAnsi="仿宋" w:eastAsia="仿宋" w:cs="仿宋"/>
          <w:sz w:val="28"/>
          <w:szCs w:val="28"/>
        </w:rPr>
        <w:t>四、财政拨款收入支出决算总表</w:t>
      </w:r>
    </w:p>
    <w:p w14:paraId="590E0BA7">
      <w:pPr>
        <w:pStyle w:val="9"/>
        <w:adjustRightInd w:val="0"/>
        <w:snapToGrid w:val="0"/>
        <w:spacing w:line="440" w:lineRule="exact"/>
        <w:jc w:val="left"/>
        <w:rPr>
          <w:rFonts w:ascii="仿宋" w:hAnsi="仿宋" w:eastAsia="仿宋" w:cs="仿宋"/>
          <w:sz w:val="28"/>
          <w:szCs w:val="28"/>
        </w:rPr>
      </w:pPr>
      <w:r>
        <w:rPr>
          <w:rFonts w:hint="eastAsia" w:ascii="仿宋" w:hAnsi="仿宋" w:eastAsia="仿宋" w:cs="仿宋"/>
          <w:sz w:val="28"/>
          <w:szCs w:val="28"/>
        </w:rPr>
        <w:t>五、财政拨款支出决算明细表</w:t>
      </w:r>
    </w:p>
    <w:p w14:paraId="692EE2BF">
      <w:pPr>
        <w:pStyle w:val="9"/>
        <w:adjustRightInd w:val="0"/>
        <w:snapToGrid w:val="0"/>
        <w:spacing w:line="440" w:lineRule="exact"/>
        <w:jc w:val="left"/>
        <w:rPr>
          <w:rFonts w:ascii="仿宋" w:hAnsi="仿宋" w:eastAsia="仿宋" w:cs="仿宋"/>
          <w:sz w:val="28"/>
          <w:szCs w:val="28"/>
        </w:rPr>
      </w:pPr>
      <w:r>
        <w:rPr>
          <w:rFonts w:hint="eastAsia" w:ascii="仿宋" w:hAnsi="仿宋" w:eastAsia="仿宋" w:cs="仿宋"/>
          <w:sz w:val="28"/>
          <w:szCs w:val="28"/>
        </w:rPr>
        <w:t>六、一般公共预算财政拨款支出决算表</w:t>
      </w:r>
    </w:p>
    <w:p w14:paraId="0EADEC90">
      <w:pPr>
        <w:pStyle w:val="9"/>
        <w:adjustRightInd w:val="0"/>
        <w:snapToGrid w:val="0"/>
        <w:spacing w:line="440" w:lineRule="exact"/>
        <w:jc w:val="left"/>
        <w:rPr>
          <w:rFonts w:ascii="仿宋" w:hAnsi="仿宋" w:eastAsia="仿宋" w:cs="仿宋"/>
          <w:sz w:val="28"/>
          <w:szCs w:val="28"/>
        </w:rPr>
      </w:pPr>
      <w:r>
        <w:rPr>
          <w:rFonts w:hint="eastAsia" w:ascii="仿宋" w:hAnsi="仿宋" w:eastAsia="仿宋" w:cs="仿宋"/>
          <w:sz w:val="28"/>
          <w:szCs w:val="28"/>
        </w:rPr>
        <w:t>七、一般公共预算财政拨款支出决算明细表</w:t>
      </w:r>
    </w:p>
    <w:p w14:paraId="142CFCB3">
      <w:pPr>
        <w:pStyle w:val="9"/>
        <w:adjustRightInd w:val="0"/>
        <w:snapToGrid w:val="0"/>
        <w:spacing w:line="440" w:lineRule="exact"/>
        <w:jc w:val="left"/>
        <w:rPr>
          <w:rFonts w:ascii="仿宋" w:hAnsi="仿宋" w:eastAsia="仿宋" w:cs="仿宋"/>
          <w:sz w:val="28"/>
          <w:szCs w:val="28"/>
        </w:rPr>
      </w:pPr>
      <w:r>
        <w:rPr>
          <w:rFonts w:hint="eastAsia" w:ascii="仿宋" w:hAnsi="仿宋" w:eastAsia="仿宋" w:cs="仿宋"/>
          <w:sz w:val="28"/>
          <w:szCs w:val="28"/>
        </w:rPr>
        <w:t>八、一般公共预算财政拨款基本支出决算明细表</w:t>
      </w:r>
    </w:p>
    <w:p w14:paraId="77E7CE1F">
      <w:pPr>
        <w:pStyle w:val="9"/>
        <w:adjustRightInd w:val="0"/>
        <w:snapToGrid w:val="0"/>
        <w:spacing w:line="440" w:lineRule="exact"/>
        <w:jc w:val="left"/>
        <w:rPr>
          <w:rFonts w:ascii="仿宋" w:hAnsi="仿宋" w:eastAsia="仿宋" w:cs="仿宋"/>
          <w:sz w:val="28"/>
          <w:szCs w:val="28"/>
        </w:rPr>
      </w:pPr>
      <w:r>
        <w:rPr>
          <w:rFonts w:hint="eastAsia" w:ascii="仿宋" w:hAnsi="仿宋" w:eastAsia="仿宋" w:cs="仿宋"/>
          <w:sz w:val="28"/>
          <w:szCs w:val="28"/>
        </w:rPr>
        <w:t>九、一般公共预算财政拨款项目支出决算表</w:t>
      </w:r>
    </w:p>
    <w:p w14:paraId="3C83DA46">
      <w:pPr>
        <w:pStyle w:val="9"/>
        <w:adjustRightInd w:val="0"/>
        <w:snapToGrid w:val="0"/>
        <w:spacing w:line="440" w:lineRule="exact"/>
        <w:jc w:val="left"/>
        <w:rPr>
          <w:rFonts w:ascii="仿宋" w:hAnsi="仿宋" w:eastAsia="仿宋" w:cs="仿宋"/>
          <w:sz w:val="28"/>
          <w:szCs w:val="28"/>
        </w:rPr>
      </w:pPr>
      <w:r>
        <w:rPr>
          <w:rFonts w:hint="eastAsia" w:ascii="仿宋" w:hAnsi="仿宋" w:eastAsia="仿宋" w:cs="仿宋"/>
          <w:sz w:val="28"/>
          <w:szCs w:val="28"/>
        </w:rPr>
        <w:t>十、政府性基金预算财政拨款收入支出决算表</w:t>
      </w:r>
    </w:p>
    <w:p w14:paraId="358B9AA2">
      <w:pPr>
        <w:pStyle w:val="9"/>
        <w:adjustRightInd w:val="0"/>
        <w:snapToGrid w:val="0"/>
        <w:spacing w:line="440" w:lineRule="exact"/>
        <w:jc w:val="left"/>
        <w:rPr>
          <w:rFonts w:ascii="仿宋" w:hAnsi="仿宋" w:eastAsia="仿宋" w:cs="仿宋"/>
          <w:sz w:val="28"/>
          <w:szCs w:val="28"/>
        </w:rPr>
      </w:pPr>
      <w:r>
        <w:rPr>
          <w:rFonts w:hint="eastAsia" w:ascii="仿宋" w:hAnsi="仿宋" w:eastAsia="仿宋" w:cs="仿宋"/>
          <w:sz w:val="28"/>
          <w:szCs w:val="28"/>
        </w:rPr>
        <w:t>十一、国有资本经营预算财政拨款收入支出决算表</w:t>
      </w:r>
    </w:p>
    <w:p w14:paraId="6EC07760">
      <w:pPr>
        <w:pStyle w:val="9"/>
        <w:adjustRightInd w:val="0"/>
        <w:snapToGrid w:val="0"/>
        <w:spacing w:line="440" w:lineRule="exact"/>
        <w:jc w:val="left"/>
        <w:rPr>
          <w:rFonts w:ascii="仿宋" w:hAnsi="仿宋" w:eastAsia="仿宋" w:cs="仿宋"/>
          <w:sz w:val="28"/>
          <w:szCs w:val="28"/>
        </w:rPr>
      </w:pPr>
      <w:r>
        <w:rPr>
          <w:rFonts w:hint="eastAsia" w:ascii="仿宋" w:hAnsi="仿宋" w:eastAsia="仿宋" w:cs="仿宋"/>
          <w:sz w:val="28"/>
          <w:szCs w:val="28"/>
        </w:rPr>
        <w:t>十二、国有资本经营预算财政拨款支出决算表</w:t>
      </w:r>
    </w:p>
    <w:p w14:paraId="0A863CAD">
      <w:pPr>
        <w:pStyle w:val="9"/>
        <w:adjustRightInd w:val="0"/>
        <w:snapToGrid w:val="0"/>
        <w:spacing w:line="440" w:lineRule="exact"/>
        <w:jc w:val="left"/>
        <w:rPr>
          <w:sz w:val="24"/>
        </w:rPr>
      </w:pPr>
      <w:r>
        <w:rPr>
          <w:rFonts w:hint="eastAsia" w:ascii="仿宋" w:hAnsi="仿宋" w:eastAsia="仿宋" w:cs="仿宋"/>
          <w:sz w:val="28"/>
          <w:szCs w:val="28"/>
        </w:rPr>
        <w:t>十三、财政拨款“三公”经费支出决算表</w:t>
      </w:r>
    </w:p>
    <w:p w14:paraId="7D307358">
      <w:pPr>
        <w:pStyle w:val="3"/>
        <w:jc w:val="center"/>
        <w:rPr>
          <w:rFonts w:ascii="黑体" w:hAnsi="黑体" w:eastAsia="黑体"/>
          <w:b w:val="0"/>
        </w:rPr>
        <w:sectPr>
          <w:footerReference r:id="rId7" w:type="first"/>
          <w:headerReference r:id="rId3" w:type="default"/>
          <w:footerReference r:id="rId5" w:type="default"/>
          <w:headerReference r:id="rId4" w:type="even"/>
          <w:footerReference r:id="rId6" w:type="even"/>
          <w:pgSz w:w="11906" w:h="16838"/>
          <w:pgMar w:top="1440" w:right="1800" w:bottom="1440" w:left="1800" w:header="851" w:footer="992" w:gutter="0"/>
          <w:pgNumType w:start="1"/>
          <w:cols w:space="425" w:num="1"/>
          <w:titlePg/>
          <w:docGrid w:type="lines" w:linePitch="312" w:charSpace="0"/>
        </w:sectPr>
      </w:pPr>
      <w:bookmarkStart w:id="7" w:name="_Toc15396599"/>
      <w:bookmarkStart w:id="8" w:name="_Toc15377196"/>
    </w:p>
    <w:p w14:paraId="6D987FDC">
      <w:pPr>
        <w:pStyle w:val="3"/>
        <w:jc w:val="center"/>
        <w:rPr>
          <w:rStyle w:val="13"/>
          <w:rFonts w:ascii="黑体" w:hAnsi="黑体" w:eastAsia="黑体"/>
          <w:b/>
          <w:bCs w:val="0"/>
        </w:rPr>
      </w:pPr>
      <w:r>
        <w:rPr>
          <w:rFonts w:hint="eastAsia" w:ascii="黑体" w:hAnsi="黑体" w:eastAsia="黑体"/>
          <w:b w:val="0"/>
        </w:rPr>
        <w:t>第一部分 单位</w:t>
      </w:r>
      <w:r>
        <w:rPr>
          <w:rStyle w:val="13"/>
          <w:rFonts w:hint="eastAsia" w:ascii="黑体" w:hAnsi="黑体" w:eastAsia="黑体"/>
          <w:b w:val="0"/>
          <w:bCs w:val="0"/>
        </w:rPr>
        <w:t>概况</w:t>
      </w:r>
      <w:bookmarkEnd w:id="7"/>
      <w:bookmarkEnd w:id="8"/>
    </w:p>
    <w:p w14:paraId="0CB95AB3">
      <w:pPr>
        <w:widowControl/>
        <w:jc w:val="left"/>
        <w:rPr>
          <w:rFonts w:ascii="黑体" w:eastAsia="黑体"/>
          <w:sz w:val="32"/>
          <w:szCs w:val="32"/>
        </w:rPr>
      </w:pPr>
    </w:p>
    <w:p w14:paraId="41CBE622">
      <w:pPr>
        <w:pStyle w:val="4"/>
        <w:numPr>
          <w:ilvl w:val="0"/>
          <w:numId w:val="1"/>
        </w:numPr>
        <w:ind w:firstLine="0"/>
        <w:rPr>
          <w:rStyle w:val="14"/>
          <w:rFonts w:ascii="黑体" w:hAnsi="黑体" w:eastAsia="黑体"/>
          <w:b w:val="0"/>
          <w:bCs w:val="0"/>
        </w:rPr>
      </w:pPr>
      <w:bookmarkStart w:id="9" w:name="_Toc15396600"/>
      <w:bookmarkStart w:id="10" w:name="_Toc15377197"/>
      <w:r>
        <w:rPr>
          <w:rStyle w:val="14"/>
          <w:rFonts w:hint="eastAsia" w:ascii="黑体" w:hAnsi="黑体" w:eastAsia="黑体"/>
          <w:b w:val="0"/>
          <w:bCs w:val="0"/>
        </w:rPr>
        <w:t>主要职责</w:t>
      </w:r>
    </w:p>
    <w:bookmarkEnd w:id="9"/>
    <w:bookmarkEnd w:id="10"/>
    <w:p w14:paraId="11779257">
      <w:pPr>
        <w:snapToGrid w:val="0"/>
        <w:spacing w:line="560" w:lineRule="exact"/>
        <w:ind w:firstLine="640" w:firstLineChars="200"/>
        <w:outlineLvl w:val="2"/>
        <w:rPr>
          <w:rFonts w:ascii="仿宋" w:hAnsi="仿宋" w:eastAsia="仿宋" w:cs="仿宋"/>
          <w:sz w:val="32"/>
          <w:szCs w:val="32"/>
        </w:rPr>
      </w:pPr>
      <w:bookmarkStart w:id="11" w:name="_Toc15396602"/>
      <w:bookmarkStart w:id="12" w:name="_Toc15377204"/>
      <w:r>
        <w:rPr>
          <w:rFonts w:hint="eastAsia" w:ascii="仿宋" w:hAnsi="仿宋" w:eastAsia="仿宋" w:cs="仿宋"/>
          <w:sz w:val="32"/>
          <w:szCs w:val="32"/>
        </w:rPr>
        <w:t>（一）负责贯彻党的教育方针，坚持社会主义办学方向，对学生进行德育、智育、体育、美育和劳动教育等方面的教育。</w:t>
      </w:r>
    </w:p>
    <w:p w14:paraId="17834A7A">
      <w:pPr>
        <w:snapToGrid w:val="0"/>
        <w:spacing w:line="56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（二）负责配合各级人民政府依法动员适龄儿童、少年入学，严格控制学生辍学，依法保证适龄儿童、少年接受义务教育。</w:t>
      </w:r>
    </w:p>
    <w:p w14:paraId="361D33D0">
      <w:pPr>
        <w:snapToGrid w:val="0"/>
        <w:spacing w:line="56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（三）负责制定学校教育发展规划，并抓好组织实施和落实工作。</w:t>
      </w:r>
    </w:p>
    <w:p w14:paraId="7D3A9726">
      <w:pPr>
        <w:snapToGrid w:val="0"/>
        <w:spacing w:line="56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 xml:space="preserve">（四）负责按照教育主管部门发布的指导性教学计划、教学大纲，组织实施教育教学活动。 </w:t>
      </w:r>
    </w:p>
    <w:p w14:paraId="5DB4BDB2">
      <w:pPr>
        <w:snapToGrid w:val="0"/>
        <w:spacing w:line="56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（五）决定和实施本校的教学计划，组织教学评比、集体备课，对学生进行统一考核、考试等。负责依据国家主管部门有关教学计划、课程设置等方面的规定。</w:t>
      </w:r>
    </w:p>
    <w:p w14:paraId="54320788">
      <w:pPr>
        <w:snapToGrid w:val="0"/>
        <w:spacing w:line="56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 xml:space="preserve">（六）负责学籍管理。 </w:t>
      </w:r>
    </w:p>
    <w:p w14:paraId="3CC98218">
      <w:pPr>
        <w:snapToGrid w:val="0"/>
        <w:spacing w:line="56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 xml:space="preserve">（七）负责聘任、培训、考核教师，依法奖励或处分有关教师和职工。 </w:t>
      </w:r>
    </w:p>
    <w:p w14:paraId="0288FC08">
      <w:pPr>
        <w:snapToGrid w:val="0"/>
        <w:spacing w:line="56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（八）负责科学管理、合理使用学校的设施和经费，并积极筹措资金，改善办学条件。</w:t>
      </w:r>
    </w:p>
    <w:p w14:paraId="3D13C4A2">
      <w:pPr>
        <w:snapToGrid w:val="0"/>
        <w:spacing w:line="56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 xml:space="preserve">（九）负责维护学校、师生的合法权益，有权拒绝任何组织和个人对教育教学活动进行非法干涉。 </w:t>
      </w:r>
    </w:p>
    <w:p w14:paraId="603BCEAC">
      <w:pPr>
        <w:snapToGrid w:val="0"/>
        <w:spacing w:line="560" w:lineRule="exact"/>
        <w:ind w:firstLine="640" w:firstLineChars="200"/>
        <w:outlineLvl w:val="2"/>
      </w:pPr>
      <w:r>
        <w:rPr>
          <w:rFonts w:hint="eastAsia" w:ascii="仿宋" w:hAnsi="仿宋" w:eastAsia="仿宋" w:cs="仿宋"/>
          <w:sz w:val="32"/>
          <w:szCs w:val="32"/>
        </w:rPr>
        <w:t>（十）依法接受各级教育行政部门的检查指导和人民群众的监督。</w:t>
      </w:r>
    </w:p>
    <w:p w14:paraId="1D8EFEB8">
      <w:pPr>
        <w:pStyle w:val="4"/>
        <w:rPr>
          <w:rFonts w:ascii="黑体" w:hAnsi="黑体" w:eastAsia="黑体"/>
          <w:b w:val="0"/>
        </w:rPr>
      </w:pPr>
      <w:r>
        <w:rPr>
          <w:rFonts w:hint="eastAsia" w:ascii="黑体" w:hAnsi="黑体" w:eastAsia="黑体"/>
          <w:b w:val="0"/>
        </w:rPr>
        <w:t>二、机构设置</w:t>
      </w:r>
    </w:p>
    <w:p w14:paraId="1CA517C8">
      <w:pPr>
        <w:pStyle w:val="4"/>
        <w:ind w:firstLine="640" w:firstLineChars="200"/>
        <w:rPr>
          <w:rFonts w:ascii="仿宋" w:hAnsi="仿宋" w:eastAsia="仿宋" w:cs="仿宋"/>
          <w:b w:val="0"/>
          <w:bCs w:val="0"/>
        </w:rPr>
      </w:pPr>
      <w:r>
        <w:rPr>
          <w:rFonts w:hint="eastAsia" w:ascii="仿宋" w:hAnsi="仿宋" w:eastAsia="仿宋" w:cs="仿宋"/>
          <w:b w:val="0"/>
          <w:bCs w:val="0"/>
        </w:rPr>
        <w:t>1、上西小学是经利州区编制委员会批准成立的，隶属区教育局领导下的一所完全小学校。主要职能：实施小学义务教育，小学学历教育。</w:t>
      </w:r>
    </w:p>
    <w:p w14:paraId="7DCABFF1">
      <w:pPr>
        <w:widowControl/>
        <w:ind w:firstLine="640" w:firstLineChars="200"/>
        <w:jc w:val="left"/>
        <w:rPr>
          <w:rFonts w:ascii="黑体" w:hAnsi="黑体" w:eastAsia="黑体"/>
          <w:bCs/>
        </w:rPr>
        <w:sectPr>
          <w:footerReference r:id="rId9" w:type="first"/>
          <w:footerReference r:id="rId8" w:type="default"/>
          <w:pgSz w:w="11906" w:h="16838"/>
          <w:pgMar w:top="1440" w:right="1800" w:bottom="1440" w:left="1800" w:header="851" w:footer="992" w:gutter="0"/>
          <w:pgNumType w:start="1"/>
          <w:cols w:space="425" w:num="1"/>
          <w:titlePg/>
          <w:docGrid w:type="lines" w:linePitch="312" w:charSpace="0"/>
        </w:sectPr>
      </w:pPr>
      <w:r>
        <w:rPr>
          <w:rFonts w:hint="eastAsia" w:ascii="仿宋" w:hAnsi="仿宋" w:eastAsia="仿宋" w:cs="仿宋"/>
          <w:sz w:val="32"/>
          <w:szCs w:val="32"/>
        </w:rPr>
        <w:t>2、上西小学小学是区编制委员会命名的独立法人机构，为经费独立核算。内设6各部门：办公室、教务处、教科室、德育处、总务处、安办技装室。</w:t>
      </w:r>
    </w:p>
    <w:p w14:paraId="6863E190">
      <w:pPr>
        <w:pStyle w:val="3"/>
        <w:ind w:right="440"/>
        <w:jc w:val="center"/>
        <w:rPr>
          <w:rStyle w:val="13"/>
          <w:rFonts w:ascii="黑体" w:hAnsi="黑体" w:eastAsia="黑体"/>
          <w:b w:val="0"/>
          <w:bCs/>
        </w:rPr>
      </w:pPr>
      <w:r>
        <w:rPr>
          <w:rFonts w:hint="eastAsia" w:ascii="黑体" w:hAnsi="黑体" w:eastAsia="黑体"/>
          <w:b w:val="0"/>
        </w:rPr>
        <w:t>第二部分 2023年度</w:t>
      </w:r>
      <w:r>
        <w:rPr>
          <w:rStyle w:val="13"/>
          <w:rFonts w:hint="eastAsia" w:ascii="黑体" w:hAnsi="黑体" w:eastAsia="黑体"/>
          <w:b w:val="0"/>
          <w:bCs/>
        </w:rPr>
        <w:t>单位决算情况说明</w:t>
      </w:r>
      <w:bookmarkEnd w:id="11"/>
      <w:bookmarkEnd w:id="12"/>
    </w:p>
    <w:p w14:paraId="3107C35B"/>
    <w:p w14:paraId="75998038">
      <w:pPr>
        <w:pStyle w:val="15"/>
        <w:numPr>
          <w:ilvl w:val="0"/>
          <w:numId w:val="2"/>
        </w:numPr>
        <w:spacing w:line="600" w:lineRule="exact"/>
        <w:ind w:firstLineChars="0"/>
        <w:outlineLvl w:val="1"/>
        <w:rPr>
          <w:rStyle w:val="14"/>
          <w:rFonts w:ascii="黑体" w:hAnsi="黑体" w:eastAsia="黑体"/>
          <w:b w:val="0"/>
        </w:rPr>
      </w:pPr>
      <w:bookmarkStart w:id="13" w:name="_Toc15396603"/>
      <w:bookmarkStart w:id="14" w:name="_Toc15377205"/>
      <w:r>
        <w:rPr>
          <w:rFonts w:hint="eastAsia" w:ascii="黑体" w:hAnsi="黑体" w:eastAsia="黑体"/>
          <w:sz w:val="32"/>
          <w:szCs w:val="32"/>
        </w:rPr>
        <w:t>收</w:t>
      </w:r>
      <w:r>
        <w:rPr>
          <w:rStyle w:val="14"/>
          <w:rFonts w:hint="eastAsia" w:ascii="黑体" w:hAnsi="黑体" w:eastAsia="黑体"/>
          <w:b w:val="0"/>
        </w:rPr>
        <w:t>入支出决算总体情况说明</w:t>
      </w:r>
      <w:bookmarkEnd w:id="13"/>
      <w:bookmarkEnd w:id="14"/>
    </w:p>
    <w:p w14:paraId="5F7FE71C">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2023年度收、支总计</w:t>
      </w:r>
      <w:r>
        <w:rPr>
          <w:rFonts w:ascii="仿宋" w:hAnsi="仿宋" w:eastAsia="仿宋"/>
          <w:color w:val="000000" w:themeColor="text1"/>
          <w:sz w:val="32"/>
          <w:szCs w:val="32"/>
          <w14:textFill>
            <w14:solidFill>
              <w14:schemeClr w14:val="tx1"/>
            </w14:solidFill>
          </w14:textFill>
        </w:rPr>
        <w:t>736.15</w:t>
      </w:r>
      <w:r>
        <w:rPr>
          <w:rFonts w:hint="eastAsia" w:ascii="仿宋" w:hAnsi="仿宋" w:eastAsia="仿宋"/>
          <w:color w:val="000000" w:themeColor="text1"/>
          <w:sz w:val="32"/>
          <w:szCs w:val="32"/>
          <w14:textFill>
            <w14:solidFill>
              <w14:schemeClr w14:val="tx1"/>
            </w14:solidFill>
          </w14:textFill>
        </w:rPr>
        <w:t>万元。与2022年度相比，收、支总计（</w:t>
      </w:r>
      <w:r>
        <w:rPr>
          <w:rFonts w:ascii="仿宋" w:hAnsi="仿宋" w:eastAsia="仿宋"/>
          <w:color w:val="000000" w:themeColor="text1"/>
          <w:sz w:val="32"/>
          <w:szCs w:val="32"/>
          <w14:textFill>
            <w14:solidFill>
              <w14:schemeClr w14:val="tx1"/>
            </w14:solidFill>
          </w14:textFill>
        </w:rPr>
        <w:t>738.71</w:t>
      </w:r>
      <w:r>
        <w:rPr>
          <w:rFonts w:hint="eastAsia" w:ascii="仿宋" w:hAnsi="仿宋" w:eastAsia="仿宋"/>
          <w:color w:val="000000" w:themeColor="text1"/>
          <w:sz w:val="32"/>
          <w:szCs w:val="32"/>
          <w14:textFill>
            <w14:solidFill>
              <w14:schemeClr w14:val="tx1"/>
            </w14:solidFill>
          </w14:textFill>
        </w:rPr>
        <w:t>）减少2</w:t>
      </w:r>
      <w:r>
        <w:rPr>
          <w:rFonts w:ascii="仿宋" w:hAnsi="仿宋" w:eastAsia="仿宋"/>
          <w:color w:val="000000" w:themeColor="text1"/>
          <w:sz w:val="32"/>
          <w:szCs w:val="32"/>
          <w14:textFill>
            <w14:solidFill>
              <w14:schemeClr w14:val="tx1"/>
            </w14:solidFill>
          </w14:textFill>
        </w:rPr>
        <w:t>.56</w:t>
      </w:r>
      <w:r>
        <w:rPr>
          <w:rFonts w:hint="eastAsia" w:ascii="仿宋" w:hAnsi="仿宋" w:eastAsia="仿宋"/>
          <w:color w:val="000000" w:themeColor="text1"/>
          <w:sz w:val="32"/>
          <w:szCs w:val="32"/>
          <w14:textFill>
            <w14:solidFill>
              <w14:schemeClr w14:val="tx1"/>
            </w14:solidFill>
          </w14:textFill>
        </w:rPr>
        <w:t>万元，减少0</w:t>
      </w:r>
      <w:r>
        <w:rPr>
          <w:rFonts w:ascii="仿宋" w:hAnsi="仿宋" w:eastAsia="仿宋"/>
          <w:color w:val="000000" w:themeColor="text1"/>
          <w:sz w:val="32"/>
          <w:szCs w:val="32"/>
          <w14:textFill>
            <w14:solidFill>
              <w14:schemeClr w14:val="tx1"/>
            </w14:solidFill>
          </w14:textFill>
        </w:rPr>
        <w:t>.34%</w:t>
      </w:r>
      <w:r>
        <w:rPr>
          <w:rFonts w:hint="eastAsia" w:ascii="仿宋" w:hAnsi="仿宋" w:eastAsia="仿宋"/>
          <w:color w:val="000000" w:themeColor="text1"/>
          <w:sz w:val="32"/>
          <w:szCs w:val="32"/>
          <w14:textFill>
            <w14:solidFill>
              <w14:schemeClr w14:val="tx1"/>
            </w14:solidFill>
          </w14:textFill>
        </w:rPr>
        <w:t>。主要变动原因：一是在职教师人员变动（其中退休2人）工资、保险支付减少；二是学前教育人员经费支付降低；</w:t>
      </w:r>
    </w:p>
    <w:p w14:paraId="44197119">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1A7D8F2C">
      <w:pPr>
        <w:pStyle w:val="5"/>
        <w:spacing w:before="93"/>
        <w:ind w:firstLine="960" w:firstLineChars="300"/>
        <w:rPr>
          <w:sz w:val="32"/>
          <w:szCs w:val="32"/>
        </w:rPr>
      </w:pPr>
      <w:r>
        <w:rPr>
          <w:sz w:val="32"/>
          <w:szCs w:val="32"/>
        </w:rPr>
        <w:drawing>
          <wp:inline distT="0" distB="0" distL="0" distR="0">
            <wp:extent cx="4229100" cy="27622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4229100" cy="2762250"/>
                    </a:xfrm>
                    <a:prstGeom prst="rect">
                      <a:avLst/>
                    </a:prstGeom>
                  </pic:spPr>
                </pic:pic>
              </a:graphicData>
            </a:graphic>
          </wp:inline>
        </w:drawing>
      </w:r>
    </w:p>
    <w:p w14:paraId="0A0D6257">
      <w:pPr>
        <w:pStyle w:val="5"/>
        <w:spacing w:before="93"/>
        <w:ind w:firstLine="960" w:firstLineChars="300"/>
        <w:rPr>
          <w:sz w:val="32"/>
          <w:szCs w:val="32"/>
        </w:rPr>
      </w:pPr>
    </w:p>
    <w:p w14:paraId="20BFFABC">
      <w:pPr>
        <w:pStyle w:val="15"/>
        <w:numPr>
          <w:ilvl w:val="0"/>
          <w:numId w:val="2"/>
        </w:numPr>
        <w:spacing w:line="600" w:lineRule="exact"/>
        <w:ind w:firstLineChars="0"/>
        <w:outlineLvl w:val="1"/>
        <w:rPr>
          <w:rStyle w:val="14"/>
          <w:rFonts w:ascii="黑体" w:hAnsi="黑体" w:eastAsia="黑体"/>
          <w:b w:val="0"/>
          <w:color w:val="000000" w:themeColor="text1"/>
          <w14:textFill>
            <w14:solidFill>
              <w14:schemeClr w14:val="tx1"/>
            </w14:solidFill>
          </w14:textFill>
        </w:rPr>
      </w:pPr>
      <w:bookmarkStart w:id="15" w:name="_Toc15396604"/>
      <w:bookmarkStart w:id="16" w:name="_Toc15377206"/>
      <w:r>
        <w:rPr>
          <w:rFonts w:hint="eastAsia" w:ascii="黑体" w:hAnsi="黑体" w:eastAsia="黑体"/>
          <w:color w:val="000000" w:themeColor="text1"/>
          <w:sz w:val="32"/>
          <w:szCs w:val="32"/>
          <w14:textFill>
            <w14:solidFill>
              <w14:schemeClr w14:val="tx1"/>
            </w14:solidFill>
          </w14:textFill>
        </w:rPr>
        <w:t>收</w:t>
      </w:r>
      <w:r>
        <w:rPr>
          <w:rStyle w:val="14"/>
          <w:rFonts w:hint="eastAsia" w:ascii="黑体" w:hAnsi="黑体" w:eastAsia="黑体"/>
          <w:b w:val="0"/>
          <w:color w:val="000000" w:themeColor="text1"/>
          <w14:textFill>
            <w14:solidFill>
              <w14:schemeClr w14:val="tx1"/>
            </w14:solidFill>
          </w14:textFill>
        </w:rPr>
        <w:t>入决算情况说明</w:t>
      </w:r>
      <w:bookmarkEnd w:id="15"/>
      <w:bookmarkEnd w:id="16"/>
    </w:p>
    <w:p w14:paraId="0713E26F">
      <w:pPr>
        <w:spacing w:line="600" w:lineRule="exact"/>
        <w:ind w:firstLine="640" w:firstLineChars="200"/>
        <w:outlineLvl w:val="1"/>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23年本年收入合计</w:t>
      </w:r>
      <w:r>
        <w:rPr>
          <w:rFonts w:ascii="仿宋" w:hAnsi="仿宋" w:eastAsia="仿宋"/>
          <w:color w:val="000000" w:themeColor="text1"/>
          <w:sz w:val="32"/>
          <w:szCs w:val="32"/>
          <w14:textFill>
            <w14:solidFill>
              <w14:schemeClr w14:val="tx1"/>
            </w14:solidFill>
          </w14:textFill>
        </w:rPr>
        <w:t>736.15</w:t>
      </w:r>
      <w:r>
        <w:rPr>
          <w:rFonts w:hint="eastAsia" w:ascii="仿宋" w:hAnsi="仿宋" w:eastAsia="仿宋"/>
          <w:color w:val="000000" w:themeColor="text1"/>
          <w:sz w:val="32"/>
          <w:szCs w:val="32"/>
          <w14:textFill>
            <w14:solidFill>
              <w14:schemeClr w14:val="tx1"/>
            </w14:solidFill>
          </w14:textFill>
        </w:rPr>
        <w:t>万元，其中：一般公共预算财政拨款收入</w:t>
      </w:r>
      <w:r>
        <w:rPr>
          <w:rFonts w:ascii="仿宋" w:hAnsi="仿宋" w:eastAsia="仿宋"/>
          <w:color w:val="000000" w:themeColor="text1"/>
          <w:sz w:val="32"/>
          <w:szCs w:val="32"/>
          <w14:textFill>
            <w14:solidFill>
              <w14:schemeClr w14:val="tx1"/>
            </w14:solidFill>
          </w14:textFill>
        </w:rPr>
        <w:t>705.24</w:t>
      </w:r>
      <w:r>
        <w:rPr>
          <w:rFonts w:hint="eastAsia" w:ascii="仿宋" w:hAnsi="仿宋" w:eastAsia="仿宋"/>
          <w:color w:val="000000" w:themeColor="text1"/>
          <w:sz w:val="32"/>
          <w:szCs w:val="32"/>
          <w14:textFill>
            <w14:solidFill>
              <w14:schemeClr w14:val="tx1"/>
            </w14:solidFill>
          </w14:textFill>
        </w:rPr>
        <w:t>万元，占</w:t>
      </w:r>
      <w:r>
        <w:rPr>
          <w:rFonts w:ascii="仿宋" w:hAnsi="仿宋" w:eastAsia="仿宋"/>
          <w:color w:val="000000" w:themeColor="text1"/>
          <w:sz w:val="32"/>
          <w:szCs w:val="32"/>
          <w14:textFill>
            <w14:solidFill>
              <w14:schemeClr w14:val="tx1"/>
            </w14:solidFill>
          </w14:textFill>
        </w:rPr>
        <w:t>95.8%</w:t>
      </w:r>
      <w:r>
        <w:rPr>
          <w:rFonts w:hint="eastAsia" w:ascii="仿宋" w:hAnsi="仿宋" w:eastAsia="仿宋"/>
          <w:color w:val="000000" w:themeColor="text1"/>
          <w:sz w:val="32"/>
          <w:szCs w:val="32"/>
          <w14:textFill>
            <w14:solidFill>
              <w14:schemeClr w14:val="tx1"/>
            </w14:solidFill>
          </w14:textFill>
        </w:rPr>
        <w:t>；政府性基金预算财政拨款收入0万元，占0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；国有资本经营</w:t>
      </w:r>
      <w:r>
        <w:rPr>
          <w:rFonts w:hint="eastAsia" w:ascii="仿宋" w:hAnsi="仿宋" w:eastAsia="仿宋"/>
          <w:sz w:val="32"/>
          <w:szCs w:val="32"/>
        </w:rPr>
        <w:t>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w:t>
      </w:r>
      <w:r>
        <w:rPr>
          <w:rFonts w:hint="eastAsia" w:ascii="仿宋" w:hAnsi="仿宋" w:eastAsia="仿宋"/>
          <w:color w:val="000000" w:themeColor="text1"/>
          <w:sz w:val="32"/>
          <w:szCs w:val="32"/>
          <w14:textFill>
            <w14:solidFill>
              <w14:schemeClr w14:val="tx1"/>
            </w14:solidFill>
          </w14:textFill>
        </w:rPr>
        <w:t>入0万元，占0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；附属单位上缴收入0万元，占0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；其他收入</w:t>
      </w:r>
      <w:r>
        <w:rPr>
          <w:rFonts w:ascii="仿宋" w:hAnsi="仿宋" w:eastAsia="仿宋"/>
          <w:color w:val="000000" w:themeColor="text1"/>
          <w:sz w:val="32"/>
          <w:szCs w:val="32"/>
          <w14:textFill>
            <w14:solidFill>
              <w14:schemeClr w14:val="tx1"/>
            </w14:solidFill>
          </w14:textFill>
        </w:rPr>
        <w:t>30.91</w:t>
      </w:r>
      <w:r>
        <w:rPr>
          <w:rFonts w:hint="eastAsia" w:ascii="仿宋" w:hAnsi="仿宋" w:eastAsia="仿宋"/>
          <w:color w:val="000000" w:themeColor="text1"/>
          <w:sz w:val="32"/>
          <w:szCs w:val="32"/>
          <w14:textFill>
            <w14:solidFill>
              <w14:schemeClr w14:val="tx1"/>
            </w14:solidFill>
          </w14:textFill>
        </w:rPr>
        <w:t>万元，占</w:t>
      </w:r>
      <w:r>
        <w:rPr>
          <w:rFonts w:ascii="仿宋" w:hAnsi="仿宋" w:eastAsia="仿宋"/>
          <w:color w:val="000000" w:themeColor="text1"/>
          <w:sz w:val="32"/>
          <w:szCs w:val="32"/>
          <w14:textFill>
            <w14:solidFill>
              <w14:schemeClr w14:val="tx1"/>
            </w14:solidFill>
          </w14:textFill>
        </w:rPr>
        <w:t>4.2%</w:t>
      </w:r>
      <w:r>
        <w:rPr>
          <w:rFonts w:hint="eastAsia" w:ascii="仿宋" w:hAnsi="仿宋" w:eastAsia="仿宋"/>
          <w:color w:val="000000" w:themeColor="text1"/>
          <w:sz w:val="32"/>
          <w:szCs w:val="32"/>
          <w14:textFill>
            <w14:solidFill>
              <w14:schemeClr w14:val="tx1"/>
            </w14:solidFill>
          </w14:textFill>
        </w:rPr>
        <w:t>。</w:t>
      </w:r>
    </w:p>
    <w:p w14:paraId="018A2E58">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14:paraId="00896E00">
      <w:pPr>
        <w:pStyle w:val="5"/>
        <w:spacing w:before="93"/>
        <w:rPr>
          <w:rFonts w:ascii="仿宋" w:hAnsi="仿宋" w:eastAsia="仿宋"/>
          <w:sz w:val="32"/>
          <w:szCs w:val="32"/>
        </w:rPr>
      </w:pPr>
      <w:r>
        <w:rPr>
          <w:sz w:val="32"/>
        </w:rPr>
        <mc:AlternateContent>
          <mc:Choice Requires="wps">
            <w:drawing>
              <wp:anchor distT="0" distB="0" distL="114300" distR="114300" simplePos="0" relativeHeight="251668480" behindDoc="0" locked="0" layoutInCell="1" allowOverlap="1">
                <wp:simplePos x="0" y="0"/>
                <wp:positionH relativeFrom="column">
                  <wp:posOffset>2347595</wp:posOffset>
                </wp:positionH>
                <wp:positionV relativeFrom="paragraph">
                  <wp:posOffset>98425</wp:posOffset>
                </wp:positionV>
                <wp:extent cx="854075" cy="281940"/>
                <wp:effectExtent l="4445" t="4445" r="10160" b="18415"/>
                <wp:wrapNone/>
                <wp:docPr id="1" name="文本框 1"/>
                <wp:cNvGraphicFramePr/>
                <a:graphic xmlns:a="http://schemas.openxmlformats.org/drawingml/2006/main">
                  <a:graphicData uri="http://schemas.microsoft.com/office/word/2010/wordprocessingShape">
                    <wps:wsp>
                      <wps:cNvSpPr txBox="1"/>
                      <wps:spPr>
                        <a:xfrm>
                          <a:off x="3490595" y="1812925"/>
                          <a:ext cx="854075" cy="2819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B32661F">
                            <w:r>
                              <w:rPr>
                                <w:rFonts w:hint="eastAsia"/>
                              </w:rPr>
                              <w:t>其他收入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4.85pt;margin-top:7.75pt;height:22.2pt;width:67.25pt;z-index:251668480;mso-width-relative:page;mso-height-relative:page;" fillcolor="#FFFFFF [3201]" filled="t" stroked="t" coordsize="21600,21600" o:gfxdata="UEsDBAoAAAAAAIdO4kAAAAAAAAAAAAAAAAAEAAAAZHJzL1BLAwQUAAAACACHTuJAvmAdo9YAAAAJ&#10;AQAADwAAAGRycy9kb3ducmV2LnhtbE2Py07DMBBF90j8gzWV2FG7CQkkxKkEEhJiR5sNOzeeJlH9&#10;iGy3KX/PsILdjO7RnTPN9moNu2CIk3cSNmsBDF3v9eQGCd3+7f4JWEzKaWW8QwnfGGHb3t40qtZ+&#10;cZ942aWBUYmLtZIwpjTXnMd+RKvi2s/oKDv6YFWiNQxcB7VQuTU8E6LkVk2OLoxqxtcR+9PubCW8&#10;ly/pCzv9ofMs90vH+3A0Ucq71UY8A0t4TX8w/OqTOrTkdPBnpyMzEvKyeiSUgqIARkAhHjJgBxqq&#10;Cnjb8P8ftD9QSwMEFAAAAAgAh07iQDmAgnplAgAAwgQAAA4AAABkcnMvZTJvRG9jLnhtbK1UzW4T&#10;MRC+I/EOlu90N2nSJlE2VWgVhFTRSgVxdrzerIXtMbaT3fIA8AacuHDnufocjL2b9I9DD+TgzHi+&#10;fOP5Zibzs1YrshPOSzAFHRzllAjDoZRmU9BPH1dvJpT4wEzJFBhR0Fvh6dni9at5Y2diCDWoUjiC&#10;JMbPGlvQOgQ7yzLPa6GZPwIrDAYrcJoFdN0mKx1rkF2rbJjnJ1kDrrQOuPAeby+6IO0Z3UsIoaok&#10;FxfAt1qY0LE6oVjAknwtraeL9NqqEjxcVZUXgaiCYqUhnZgE7XU8s8WczTaO2Vry/gnsJU94UpNm&#10;0mDSA9UFC4xsnXxGpSV34KEKRxx01hWSFMEqBvkTbW5qZkWqBaX29iC6/3+0/MPu2hFZ4iRQYpjG&#10;ht/9/HH368/d7+9kEOVprJ8h6sYiLrRvoY3Q/t7jZay6rZyO31gPwfjxaJqPp2NKbhE7GQynw3En&#10;tGgD4QiYjEf5KcY5AoaTwXSUGpHdE1nnwzsBmkSjoA77mORlu0sfMDlC95CY14OS5UoqlRy3WZ8r&#10;R3YMe75Kn5gdf/IIpgxpCnpyPM4T86NY5D5QrBXjX54zIJ8ySBv16XSIVmjXbS/OGspb1MxBN3Te&#10;8pVE3kvmwzVzOGU4g7iH4QqPSgE+BnqLkhrct3/dRzw2H6OUNDi1BfVft8wJStR7g2MxHYxQSxKS&#10;MxqfDtFxDyPrhxGz1eeAImHr8XXJjPig9mblQH/GdV3GrBhihmPugoa9eR66XcJ152K5TCAcbMvC&#10;pbmxPFLHlhhYbgNUMrUuytRp06uHo53a069h3J2HfkLd//U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YB2j1gAAAAkBAAAPAAAAAAAAAAEAIAAAACIAAABkcnMvZG93bnJldi54bWxQSwECFAAU&#10;AAAACACHTuJAOYCCemUCAADCBAAADgAAAAAAAAABACAAAAAlAQAAZHJzL2Uyb0RvYy54bWxQSwUG&#10;AAAAAAYABgBZAQAA/AUAAAAA&#10;">
                <v:fill on="t" focussize="0,0"/>
                <v:stroke weight="0.5pt" color="#000000 [3204]" joinstyle="round"/>
                <v:imagedata o:title=""/>
                <o:lock v:ext="edit" aspectratio="f"/>
                <v:textbox>
                  <w:txbxContent>
                    <w:p w14:paraId="1B32661F">
                      <w:r>
                        <w:rPr>
                          <w:rFonts w:hint="eastAsia"/>
                        </w:rPr>
                        <w:t>其他收入</w:t>
                      </w:r>
                    </w:p>
                  </w:txbxContent>
                </v:textbox>
              </v:shape>
            </w:pict>
          </mc:Fallback>
        </mc:AlternateContent>
      </w:r>
      <w:r>
        <w:rPr>
          <w:sz w:val="32"/>
        </w:rPr>
        <mc:AlternateContent>
          <mc:Choice Requires="wps">
            <w:drawing>
              <wp:anchor distT="0" distB="0" distL="114300" distR="114300" simplePos="0" relativeHeight="251669504" behindDoc="0" locked="0" layoutInCell="1" allowOverlap="1">
                <wp:simplePos x="0" y="0"/>
                <wp:positionH relativeFrom="column">
                  <wp:posOffset>2454275</wp:posOffset>
                </wp:positionH>
                <wp:positionV relativeFrom="paragraph">
                  <wp:posOffset>395605</wp:posOffset>
                </wp:positionV>
                <wp:extent cx="198120" cy="175260"/>
                <wp:effectExtent l="3175" t="3810" r="12065" b="3810"/>
                <wp:wrapNone/>
                <wp:docPr id="16" name="直接连接符 16"/>
                <wp:cNvGraphicFramePr/>
                <a:graphic xmlns:a="http://schemas.openxmlformats.org/drawingml/2006/main">
                  <a:graphicData uri="http://schemas.microsoft.com/office/word/2010/wordprocessingShape">
                    <wps:wsp>
                      <wps:cNvCnPr/>
                      <wps:spPr>
                        <a:xfrm flipV="1">
                          <a:off x="3597275" y="2072005"/>
                          <a:ext cx="198120" cy="175260"/>
                        </a:xfrm>
                        <a:prstGeom prst="line">
                          <a:avLst/>
                        </a:prstGeom>
                        <a:ln w="3175"/>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193.25pt;margin-top:31.15pt;height:13.8pt;width:15.6pt;z-index:251669504;mso-width-relative:page;mso-height-relative:page;" filled="f" stroked="t" coordsize="21600,21600" o:gfxdata="UEsDBAoAAAAAAIdO4kAAAAAAAAAAAAAAAAAEAAAAZHJzL1BLAwQUAAAACACHTuJAvbzGc9wAAAAJ&#10;AQAADwAAAGRycy9kb3ducmV2LnhtbE2PwU7DMBBE70j8g7VIXBB10kKahjiVAipSpR6gIHF14iUO&#10;2OsodpvC12NOcFzN08zbcn2yhh1x9L0jAeksAYbUOtVTJ+D1ZXOdA/NBkpLGEQr4Qg/r6vyslIVy&#10;Ez3jcR86FkvIF1KADmEoOPetRiv9zA1IMXt3o5UhnmPH1SinWG4NnydJxq3sKS5oOeC9xvZzf7AC&#10;tk+N3mW7zWN9RW/fffNQm4+pFuLyIk3ugAU8hT8YfvWjOlTRqXEHUp4ZAYs8u42ogGy+ABaBm3S5&#10;BNYIyFcr4FXJ/39Q/QBQSwMEFAAAAAgAh07iQIsdcqn9AQAAzAMAAA4AAABkcnMvZTJvRG9jLnht&#10;bK1TO24bMRDtA+QOBPtoVxvo44VWLiw4TZAIyKcfcUktEf5A0lrpErlAgHRJlTK9bxPnGB5y13Zg&#10;Ny7Cghhyhm/mvRmuzo9akQP3QVrT0OmkpIQbZltp9g399PHy1ZKSEMG0oKzhDT3xQM/XL1+selfz&#10;ynZWtdwTBDGh7l1DuxhdXRSBdVxDmFjHDTqF9RoiHv2+aD30iK5VUZXlvOitb523jIeAt5vBSUdE&#10;/xxAK4RkfGPZleYmDqieK4hIKXTSBbrO1QrBWXwvROCRqIYi05h3TIL2Lu3FegX13oPrJBtLgOeU&#10;8IiTBmkw6T3UBiKQKy+fQGnJvA1WxAmzuhiIZEWQxbR8pM2HDhzPXFDq4O5FD/8Plr07bD2RLU7C&#10;nBIDGjt+8+33n68//l5/x/3m10+CHpSpd6HG6Auz9eMpuK1PnI/CayKUdJ8RJauAvMixoa9nZ4tq&#10;MaPk1NCqXGD3Z4Pg/BgJw4Dp2XJaYSsYBkwXs2qeG1IMkAna+RDfcKtJMhqqpEl6QA2HtyFiGRh6&#10;F5Kujb2USuWeKkN6rABRER5wTgXOB5raIddg9pSA2uMHYNFnxGCVbNPru7QXypMD4NjsFLAvqW5M&#10;9iRqA6EbwrJroKdlxC+ipG7oskxrfK0MgiQdB+WStbPtKQua77HJOc04kGmK/j3n1w+fcH0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bzGc9wAAAAJAQAADwAAAAAAAAABACAAAAAiAAAAZHJzL2Rv&#10;d25yZXYueG1sUEsBAhQAFAAAAAgAh07iQIsdcqn9AQAAzAMAAA4AAAAAAAAAAQAgAAAAKwEAAGRy&#10;cy9lMm9Eb2MueG1sUEsFBgAAAAAGAAYAWQEAAJoFAAAAAA==&#10;">
                <v:fill on="f" focussize="0,0"/>
                <v:stroke weight="0.25pt" color="#000000" miterlimit="8" joinstyle="miter"/>
                <v:imagedata o:title=""/>
                <o:lock v:ext="edit" aspectratio="f"/>
              </v:line>
            </w:pict>
          </mc:Fallback>
        </mc:AlternateContent>
      </w:r>
      <w:r>
        <w:rPr>
          <w:rFonts w:hint="eastAsia" w:ascii="仿宋" w:hAnsi="仿宋" w:eastAsia="仿宋"/>
          <w:sz w:val="32"/>
          <w:szCs w:val="32"/>
        </w:rPr>
        <w:drawing>
          <wp:inline distT="0" distB="0" distL="114300" distR="114300">
            <wp:extent cx="5080000" cy="4127500"/>
            <wp:effectExtent l="0" t="0" r="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3"/>
                    <a:stretch>
                      <a:fillRect/>
                    </a:stretch>
                  </pic:blipFill>
                  <pic:spPr>
                    <a:xfrm>
                      <a:off x="0" y="0"/>
                      <a:ext cx="5080000" cy="4127500"/>
                    </a:xfrm>
                    <a:prstGeom prst="rect">
                      <a:avLst/>
                    </a:prstGeom>
                  </pic:spPr>
                </pic:pic>
              </a:graphicData>
            </a:graphic>
          </wp:inline>
        </w:drawing>
      </w:r>
    </w:p>
    <w:p w14:paraId="0E8F9BAC">
      <w:pPr>
        <w:pStyle w:val="15"/>
        <w:numPr>
          <w:ilvl w:val="0"/>
          <w:numId w:val="2"/>
        </w:numPr>
        <w:spacing w:line="600" w:lineRule="exact"/>
        <w:ind w:firstLineChars="0"/>
        <w:outlineLvl w:val="1"/>
        <w:rPr>
          <w:rStyle w:val="14"/>
          <w:rFonts w:ascii="黑体" w:hAnsi="黑体" w:eastAsia="黑体"/>
          <w:b w:val="0"/>
        </w:rPr>
      </w:pPr>
      <w:bookmarkStart w:id="17" w:name="_Toc15377207"/>
      <w:bookmarkStart w:id="18" w:name="_Toc15396605"/>
      <w:r>
        <w:rPr>
          <w:rFonts w:hint="eastAsia" w:ascii="黑体" w:hAnsi="黑体" w:eastAsia="黑体"/>
          <w:sz w:val="32"/>
          <w:szCs w:val="32"/>
        </w:rPr>
        <w:t>支</w:t>
      </w:r>
      <w:r>
        <w:rPr>
          <w:rStyle w:val="14"/>
          <w:rFonts w:hint="eastAsia" w:ascii="黑体" w:hAnsi="黑体" w:eastAsia="黑体"/>
          <w:b w:val="0"/>
        </w:rPr>
        <w:t>出决算情况说明</w:t>
      </w:r>
      <w:bookmarkEnd w:id="17"/>
      <w:bookmarkEnd w:id="18"/>
    </w:p>
    <w:p w14:paraId="346AF839">
      <w:pPr>
        <w:spacing w:line="600" w:lineRule="exact"/>
        <w:ind w:firstLine="640" w:firstLineChars="200"/>
        <w:outlineLvl w:val="1"/>
        <w:rPr>
          <w:rFonts w:ascii="仿宋" w:hAnsi="仿宋" w:eastAsia="仿宋"/>
          <w:color w:val="000000" w:themeColor="text1"/>
          <w:sz w:val="32"/>
          <w:szCs w:val="32"/>
          <w:shd w:val="pct10" w:color="auto" w:fill="FFFFFF"/>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年本年支出合计</w:t>
      </w:r>
      <w:r>
        <w:rPr>
          <w:rFonts w:ascii="仿宋" w:hAnsi="仿宋" w:eastAsia="仿宋"/>
          <w:color w:val="000000" w:themeColor="text1"/>
          <w:sz w:val="32"/>
          <w:szCs w:val="32"/>
          <w14:textFill>
            <w14:solidFill>
              <w14:schemeClr w14:val="tx1"/>
            </w14:solidFill>
          </w14:textFill>
        </w:rPr>
        <w:t>736.15</w:t>
      </w:r>
      <w:r>
        <w:rPr>
          <w:rFonts w:hint="eastAsia" w:ascii="仿宋" w:hAnsi="仿宋" w:eastAsia="仿宋"/>
          <w:color w:val="000000" w:themeColor="text1"/>
          <w:sz w:val="32"/>
          <w:szCs w:val="32"/>
          <w14:textFill>
            <w14:solidFill>
              <w14:schemeClr w14:val="tx1"/>
            </w14:solidFill>
          </w14:textFill>
        </w:rPr>
        <w:t>万元，其中：基本支出</w:t>
      </w:r>
      <w:r>
        <w:rPr>
          <w:rFonts w:ascii="仿宋" w:hAnsi="仿宋" w:eastAsia="仿宋"/>
          <w:color w:val="000000" w:themeColor="text1"/>
          <w:sz w:val="32"/>
          <w:szCs w:val="32"/>
          <w14:textFill>
            <w14:solidFill>
              <w14:schemeClr w14:val="tx1"/>
            </w14:solidFill>
          </w14:textFill>
        </w:rPr>
        <w:t>675.5</w:t>
      </w:r>
      <w:r>
        <w:rPr>
          <w:rFonts w:hint="eastAsia" w:ascii="仿宋" w:hAnsi="仿宋" w:eastAsia="仿宋"/>
          <w:color w:val="000000" w:themeColor="text1"/>
          <w:sz w:val="32"/>
          <w:szCs w:val="32"/>
          <w14:textFill>
            <w14:solidFill>
              <w14:schemeClr w14:val="tx1"/>
            </w14:solidFill>
          </w14:textFill>
        </w:rPr>
        <w:t>万元，占</w:t>
      </w:r>
      <w:r>
        <w:rPr>
          <w:rFonts w:ascii="仿宋" w:hAnsi="仿宋" w:eastAsia="仿宋"/>
          <w:color w:val="000000" w:themeColor="text1"/>
          <w:sz w:val="32"/>
          <w:szCs w:val="32"/>
          <w14:textFill>
            <w14:solidFill>
              <w14:schemeClr w14:val="tx1"/>
            </w14:solidFill>
          </w14:textFill>
        </w:rPr>
        <w:t>91.76%</w:t>
      </w:r>
      <w:r>
        <w:rPr>
          <w:rFonts w:hint="eastAsia" w:ascii="仿宋" w:hAnsi="仿宋" w:eastAsia="仿宋"/>
          <w:color w:val="000000" w:themeColor="text1"/>
          <w:sz w:val="32"/>
          <w:szCs w:val="32"/>
          <w14:textFill>
            <w14:solidFill>
              <w14:schemeClr w14:val="tx1"/>
            </w14:solidFill>
          </w14:textFill>
        </w:rPr>
        <w:t>；项目支出</w:t>
      </w:r>
      <w:r>
        <w:rPr>
          <w:rFonts w:ascii="仿宋" w:hAnsi="仿宋" w:eastAsia="仿宋"/>
          <w:color w:val="000000" w:themeColor="text1"/>
          <w:sz w:val="32"/>
          <w:szCs w:val="32"/>
          <w14:textFill>
            <w14:solidFill>
              <w14:schemeClr w14:val="tx1"/>
            </w14:solidFill>
          </w14:textFill>
        </w:rPr>
        <w:t>60.65</w:t>
      </w:r>
      <w:r>
        <w:rPr>
          <w:rFonts w:hint="eastAsia" w:ascii="仿宋" w:hAnsi="仿宋" w:eastAsia="仿宋"/>
          <w:color w:val="000000" w:themeColor="text1"/>
          <w:sz w:val="32"/>
          <w:szCs w:val="32"/>
          <w14:textFill>
            <w14:solidFill>
              <w14:schemeClr w14:val="tx1"/>
            </w14:solidFill>
          </w14:textFill>
        </w:rPr>
        <w:t>万元，占</w:t>
      </w:r>
      <w:r>
        <w:rPr>
          <w:rFonts w:ascii="仿宋" w:hAnsi="仿宋" w:eastAsia="仿宋"/>
          <w:color w:val="000000" w:themeColor="text1"/>
          <w:sz w:val="32"/>
          <w:szCs w:val="32"/>
          <w14:textFill>
            <w14:solidFill>
              <w14:schemeClr w14:val="tx1"/>
            </w14:solidFill>
          </w14:textFill>
        </w:rPr>
        <w:t>8.24%</w:t>
      </w:r>
      <w:r>
        <w:rPr>
          <w:rFonts w:hint="eastAsia" w:ascii="仿宋" w:hAnsi="仿宋" w:eastAsia="仿宋"/>
          <w:color w:val="000000" w:themeColor="text1"/>
          <w:sz w:val="32"/>
          <w:szCs w:val="32"/>
          <w14:textFill>
            <w14:solidFill>
              <w14:schemeClr w14:val="tx1"/>
            </w14:solidFill>
          </w14:textFill>
        </w:rPr>
        <w:t>；上缴上级支出0万元，占0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；经营支出0万元，占0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；对附属单位补助支出0万元，占0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14:paraId="498359C3">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14:paraId="45EB3A42">
      <w:pPr>
        <w:pStyle w:val="5"/>
        <w:spacing w:before="93"/>
        <w:rPr>
          <w:rFonts w:eastAsia="仿宋"/>
        </w:rPr>
      </w:pPr>
      <w:r>
        <w:rPr>
          <w:rFonts w:hint="eastAsia" w:eastAsiaTheme="minorEastAsia"/>
        </w:rPr>
        <w:drawing>
          <wp:inline distT="0" distB="0" distL="114300" distR="114300">
            <wp:extent cx="5476240" cy="2527300"/>
            <wp:effectExtent l="0" t="0" r="10160" b="6350"/>
            <wp:docPr id="7" name="图表 7" descr="7b0a202020202263686172745265734964223a20223230343736313237220a7d0a"/>
            <wp:cNvGraphicFramePr>
              <a:extLst xmlns:a="http://schemas.openxmlformats.org/drawingml/2006/main">
                <a:ext uri="{7FBC4E63-A832-4D11-8238-D91031DB1400}">
                  <s:tag xmlns="http://www.wps.cn/officeDocument/2013/wpsCustomData" xmlns:s="http://www.wps.cn/officeDocument/2013/wpsCustomData">
                    <s:item s:name="KSO_DOCER_RESOURCE_TRACE_INFO" s:val="{&quot;id&quot;:&quot;20468242&quot;,&quot;origin&quot;:0,&quot;type&quot;:&quot;charts&quot;,&quot;user&quot;:&quot;271171727&quot;}"/>
                  </s:tag>
                </a:ext>
              </a:extLs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0B10132">
      <w:pPr>
        <w:spacing w:line="600" w:lineRule="exact"/>
        <w:ind w:firstLine="640" w:firstLineChars="200"/>
        <w:rPr>
          <w:rFonts w:ascii="仿宋_GB2312" w:eastAsia="仿宋_GB2312"/>
          <w:sz w:val="32"/>
          <w:szCs w:val="32"/>
        </w:rPr>
      </w:pPr>
    </w:p>
    <w:p w14:paraId="295EFB76">
      <w:pPr>
        <w:spacing w:line="600" w:lineRule="exact"/>
        <w:ind w:firstLine="640" w:firstLineChars="200"/>
        <w:outlineLvl w:val="1"/>
        <w:rPr>
          <w:rStyle w:val="14"/>
          <w:rFonts w:ascii="黑体" w:hAnsi="黑体" w:eastAsia="黑体"/>
          <w:b w:val="0"/>
        </w:rPr>
      </w:pPr>
      <w:bookmarkStart w:id="19" w:name="_Toc15396606"/>
      <w:bookmarkStart w:id="20" w:name="_Toc15377208"/>
      <w:r>
        <w:rPr>
          <w:rFonts w:hint="eastAsia" w:ascii="黑体" w:hAnsi="黑体" w:eastAsia="黑体"/>
          <w:sz w:val="32"/>
          <w:szCs w:val="32"/>
        </w:rPr>
        <w:t>四、财</w:t>
      </w:r>
      <w:r>
        <w:rPr>
          <w:rStyle w:val="14"/>
          <w:rFonts w:hint="eastAsia" w:ascii="黑体" w:hAnsi="黑体" w:eastAsia="黑体"/>
          <w:b w:val="0"/>
        </w:rPr>
        <w:t>政拨款收入支出决算总体情况说明</w:t>
      </w:r>
      <w:bookmarkEnd w:id="19"/>
      <w:bookmarkEnd w:id="20"/>
    </w:p>
    <w:p w14:paraId="515F686B">
      <w:pPr>
        <w:spacing w:line="600" w:lineRule="exact"/>
        <w:ind w:firstLine="640"/>
      </w:pPr>
      <w:r>
        <w:rPr>
          <w:rFonts w:ascii="仿宋" w:hAnsi="仿宋" w:eastAsia="仿宋"/>
          <w:color w:val="000000" w:themeColor="text1"/>
          <w:sz w:val="32"/>
          <w:szCs w:val="32"/>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23年财政拨款收入总计</w:t>
      </w:r>
      <w:r>
        <w:rPr>
          <w:rFonts w:ascii="仿宋" w:hAnsi="仿宋" w:eastAsia="仿宋"/>
          <w:color w:val="000000" w:themeColor="text1"/>
          <w:sz w:val="32"/>
          <w:szCs w:val="32"/>
          <w14:textFill>
            <w14:solidFill>
              <w14:schemeClr w14:val="tx1"/>
            </w14:solidFill>
          </w14:textFill>
        </w:rPr>
        <w:t>705.24</w:t>
      </w:r>
      <w:r>
        <w:rPr>
          <w:rFonts w:hint="eastAsia" w:ascii="仿宋" w:hAnsi="仿宋" w:eastAsia="仿宋"/>
          <w:color w:val="000000" w:themeColor="text1"/>
          <w:sz w:val="32"/>
          <w:szCs w:val="32"/>
          <w14:textFill>
            <w14:solidFill>
              <w14:schemeClr w14:val="tx1"/>
            </w14:solidFill>
          </w14:textFill>
        </w:rPr>
        <w:t>万元。与</w:t>
      </w:r>
      <w:r>
        <w:rPr>
          <w:rFonts w:ascii="仿宋" w:hAnsi="仿宋" w:eastAsia="仿宋"/>
          <w:color w:val="000000" w:themeColor="text1"/>
          <w:sz w:val="32"/>
          <w:szCs w:val="32"/>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22年（</w:t>
      </w:r>
      <w:r>
        <w:rPr>
          <w:rFonts w:ascii="仿宋" w:hAnsi="仿宋" w:eastAsia="仿宋"/>
          <w:color w:val="000000" w:themeColor="text1"/>
          <w:sz w:val="32"/>
          <w:szCs w:val="32"/>
          <w14:textFill>
            <w14:solidFill>
              <w14:schemeClr w14:val="tx1"/>
            </w14:solidFill>
          </w14:textFill>
        </w:rPr>
        <w:t>723.72</w:t>
      </w:r>
      <w:r>
        <w:rPr>
          <w:rFonts w:hint="eastAsia" w:ascii="仿宋" w:hAnsi="仿宋" w:eastAsia="仿宋"/>
          <w:color w:val="000000" w:themeColor="text1"/>
          <w:sz w:val="32"/>
          <w:szCs w:val="32"/>
          <w14:textFill>
            <w14:solidFill>
              <w14:schemeClr w14:val="tx1"/>
            </w14:solidFill>
          </w14:textFill>
        </w:rPr>
        <w:t>万元）相比，财政拨款收入总计减少</w:t>
      </w:r>
      <w:r>
        <w:rPr>
          <w:rFonts w:ascii="仿宋" w:hAnsi="仿宋" w:eastAsia="仿宋"/>
          <w:color w:val="000000" w:themeColor="text1"/>
          <w:sz w:val="32"/>
          <w:szCs w:val="32"/>
          <w14:textFill>
            <w14:solidFill>
              <w14:schemeClr w14:val="tx1"/>
            </w14:solidFill>
          </w14:textFill>
        </w:rPr>
        <w:t>18.48</w:t>
      </w:r>
      <w:r>
        <w:rPr>
          <w:rFonts w:hint="eastAsia" w:ascii="仿宋" w:hAnsi="仿宋" w:eastAsia="仿宋"/>
          <w:color w:val="000000" w:themeColor="text1"/>
          <w:sz w:val="32"/>
          <w:szCs w:val="32"/>
          <w14:textFill>
            <w14:solidFill>
              <w14:schemeClr w14:val="tx1"/>
            </w14:solidFill>
          </w14:textFill>
        </w:rPr>
        <w:t>万元，下降</w:t>
      </w:r>
      <w:r>
        <w:rPr>
          <w:rFonts w:ascii="仿宋" w:hAnsi="仿宋" w:eastAsia="仿宋"/>
          <w:color w:val="000000" w:themeColor="text1"/>
          <w:sz w:val="32"/>
          <w:szCs w:val="32"/>
          <w14:textFill>
            <w14:solidFill>
              <w14:schemeClr w14:val="tx1"/>
            </w14:solidFill>
          </w14:textFill>
        </w:rPr>
        <w:t>2.62%</w:t>
      </w:r>
      <w:r>
        <w:rPr>
          <w:rFonts w:hint="eastAsia" w:ascii="仿宋" w:hAnsi="仿宋" w:eastAsia="仿宋"/>
          <w:color w:val="000000" w:themeColor="text1"/>
          <w:sz w:val="32"/>
          <w:szCs w:val="32"/>
          <w14:textFill>
            <w14:solidFill>
              <w14:schemeClr w14:val="tx1"/>
            </w14:solidFill>
          </w14:textFill>
        </w:rPr>
        <w:t>。财政拨款资金收入变化幅</w:t>
      </w:r>
      <w:r>
        <w:rPr>
          <w:rFonts w:hint="eastAsia" w:ascii="仿宋" w:hAnsi="仿宋" w:eastAsia="仿宋"/>
          <w:sz w:val="32"/>
          <w:szCs w:val="32"/>
        </w:rPr>
        <w:t>度不大。</w:t>
      </w:r>
    </w:p>
    <w:p w14:paraId="75B4B83F">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14:paraId="0E5F99BB">
      <w:pPr>
        <w:pStyle w:val="2"/>
        <w:ind w:left="840" w:hanging="420"/>
      </w:pPr>
    </w:p>
    <w:p w14:paraId="101D91C2">
      <w:pPr>
        <w:pStyle w:val="5"/>
        <w:spacing w:before="93"/>
        <w:ind w:firstLine="964" w:firstLineChars="300"/>
        <w:rPr>
          <w:rFonts w:ascii="仿宋" w:hAnsi="仿宋" w:eastAsia="仿宋"/>
          <w:b/>
          <w:sz w:val="32"/>
          <w:szCs w:val="32"/>
        </w:rPr>
      </w:pPr>
      <w:r>
        <w:rPr>
          <w:rFonts w:ascii="仿宋" w:hAnsi="仿宋" w:eastAsia="仿宋"/>
          <w:b/>
          <w:sz w:val="32"/>
          <w:szCs w:val="32"/>
        </w:rPr>
        <w:drawing>
          <wp:inline distT="0" distB="0" distL="0" distR="0">
            <wp:extent cx="4162425" cy="268605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162425" cy="2686050"/>
                    </a:xfrm>
                    <a:prstGeom prst="rect">
                      <a:avLst/>
                    </a:prstGeom>
                  </pic:spPr>
                </pic:pic>
              </a:graphicData>
            </a:graphic>
          </wp:inline>
        </w:drawing>
      </w:r>
    </w:p>
    <w:p w14:paraId="5AE2A3EA">
      <w:pPr>
        <w:pStyle w:val="5"/>
        <w:spacing w:before="93"/>
        <w:rPr>
          <w:rFonts w:ascii="仿宋" w:hAnsi="仿宋" w:eastAsia="仿宋"/>
          <w:b/>
          <w:sz w:val="32"/>
          <w:szCs w:val="32"/>
        </w:rPr>
      </w:pPr>
    </w:p>
    <w:p w14:paraId="60998940">
      <w:pPr>
        <w:spacing w:line="600" w:lineRule="exact"/>
        <w:ind w:firstLine="640" w:firstLineChars="200"/>
        <w:outlineLvl w:val="1"/>
        <w:rPr>
          <w:rStyle w:val="14"/>
          <w:rFonts w:ascii="黑体" w:hAnsi="黑体" w:eastAsia="黑体"/>
          <w:b w:val="0"/>
        </w:rPr>
      </w:pPr>
      <w:bookmarkStart w:id="21" w:name="_Toc15396607"/>
      <w:bookmarkStart w:id="22" w:name="_Toc15377209"/>
      <w:r>
        <w:rPr>
          <w:rFonts w:hint="eastAsia" w:ascii="黑体" w:hAnsi="黑体" w:eastAsia="黑体"/>
          <w:sz w:val="32"/>
          <w:szCs w:val="32"/>
        </w:rPr>
        <w:t>五、</w:t>
      </w:r>
      <w:r>
        <w:rPr>
          <w:rFonts w:hint="eastAsia" w:ascii="黑体" w:hAnsi="黑体" w:eastAsia="黑体"/>
          <w:b/>
          <w:sz w:val="32"/>
          <w:szCs w:val="32"/>
        </w:rPr>
        <w:t>一</w:t>
      </w:r>
      <w:r>
        <w:rPr>
          <w:rStyle w:val="14"/>
          <w:rFonts w:hint="eastAsia" w:ascii="黑体" w:hAnsi="黑体" w:eastAsia="黑体"/>
          <w:b w:val="0"/>
        </w:rPr>
        <w:t>般公共预算财政拨款支出决算情况说明</w:t>
      </w:r>
      <w:bookmarkEnd w:id="21"/>
      <w:bookmarkEnd w:id="22"/>
    </w:p>
    <w:p w14:paraId="1FC0BAC6">
      <w:pPr>
        <w:spacing w:line="600" w:lineRule="exact"/>
        <w:ind w:firstLine="643" w:firstLineChars="200"/>
        <w:outlineLvl w:val="2"/>
        <w:rPr>
          <w:rFonts w:ascii="仿宋" w:hAnsi="仿宋" w:eastAsia="仿宋"/>
          <w:b/>
          <w:sz w:val="32"/>
          <w:szCs w:val="32"/>
        </w:rPr>
      </w:pPr>
      <w:bookmarkStart w:id="23" w:name="_Toc15377210"/>
      <w:r>
        <w:rPr>
          <w:rFonts w:hint="eastAsia" w:ascii="仿宋" w:hAnsi="仿宋" w:eastAsia="仿宋"/>
          <w:b/>
          <w:sz w:val="32"/>
          <w:szCs w:val="32"/>
        </w:rPr>
        <w:t>（一）一般公共预算财政拨款支出决算总体情况</w:t>
      </w:r>
      <w:bookmarkEnd w:id="23"/>
    </w:p>
    <w:p w14:paraId="5331EBF1">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23年一般公共预算财政拨款支出</w:t>
      </w:r>
      <w:r>
        <w:rPr>
          <w:rFonts w:ascii="仿宋" w:hAnsi="仿宋" w:eastAsia="仿宋"/>
          <w:color w:val="000000" w:themeColor="text1"/>
          <w:sz w:val="32"/>
          <w:szCs w:val="32"/>
          <w14:textFill>
            <w14:solidFill>
              <w14:schemeClr w14:val="tx1"/>
            </w14:solidFill>
          </w14:textFill>
        </w:rPr>
        <w:t>705.24</w:t>
      </w:r>
      <w:r>
        <w:rPr>
          <w:rFonts w:hint="eastAsia" w:ascii="仿宋" w:hAnsi="仿宋" w:eastAsia="仿宋"/>
          <w:color w:val="000000" w:themeColor="text1"/>
          <w:sz w:val="32"/>
          <w:szCs w:val="32"/>
          <w14:textFill>
            <w14:solidFill>
              <w14:schemeClr w14:val="tx1"/>
            </w14:solidFill>
          </w14:textFill>
        </w:rPr>
        <w:t>万元，占本年支出合计的100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。与</w:t>
      </w:r>
      <w:r>
        <w:rPr>
          <w:rFonts w:ascii="仿宋" w:hAnsi="仿宋" w:eastAsia="仿宋"/>
          <w:color w:val="000000" w:themeColor="text1"/>
          <w:sz w:val="32"/>
          <w:szCs w:val="32"/>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22（</w:t>
      </w:r>
      <w:r>
        <w:rPr>
          <w:rFonts w:ascii="仿宋" w:hAnsi="仿宋" w:eastAsia="仿宋"/>
          <w:color w:val="000000" w:themeColor="text1"/>
          <w:sz w:val="32"/>
          <w:szCs w:val="32"/>
          <w14:textFill>
            <w14:solidFill>
              <w14:schemeClr w14:val="tx1"/>
            </w14:solidFill>
          </w14:textFill>
        </w:rPr>
        <w:t>723.72</w:t>
      </w:r>
      <w:r>
        <w:rPr>
          <w:rFonts w:hint="eastAsia" w:ascii="仿宋" w:hAnsi="仿宋" w:eastAsia="仿宋"/>
          <w:color w:val="000000" w:themeColor="text1"/>
          <w:sz w:val="32"/>
          <w:szCs w:val="32"/>
          <w14:textFill>
            <w14:solidFill>
              <w14:schemeClr w14:val="tx1"/>
            </w14:solidFill>
          </w14:textFill>
        </w:rPr>
        <w:t>万元）年相比，一般公共预算财政拨款支出减少</w:t>
      </w:r>
      <w:r>
        <w:rPr>
          <w:rFonts w:ascii="仿宋" w:hAnsi="仿宋" w:eastAsia="仿宋"/>
          <w:color w:val="000000" w:themeColor="text1"/>
          <w:sz w:val="32"/>
          <w:szCs w:val="32"/>
          <w14:textFill>
            <w14:solidFill>
              <w14:schemeClr w14:val="tx1"/>
            </w14:solidFill>
          </w14:textFill>
        </w:rPr>
        <w:t>18.48</w:t>
      </w:r>
      <w:r>
        <w:rPr>
          <w:rFonts w:hint="eastAsia" w:ascii="仿宋" w:hAnsi="仿宋" w:eastAsia="仿宋"/>
          <w:color w:val="000000" w:themeColor="text1"/>
          <w:sz w:val="32"/>
          <w:szCs w:val="32"/>
          <w14:textFill>
            <w14:solidFill>
              <w14:schemeClr w14:val="tx1"/>
            </w14:solidFill>
          </w14:textFill>
        </w:rPr>
        <w:t>万元，下降</w:t>
      </w:r>
      <w:r>
        <w:rPr>
          <w:rFonts w:ascii="仿宋" w:hAnsi="仿宋" w:eastAsia="仿宋"/>
          <w:color w:val="000000" w:themeColor="text1"/>
          <w:sz w:val="32"/>
          <w:szCs w:val="32"/>
          <w14:textFill>
            <w14:solidFill>
              <w14:schemeClr w14:val="tx1"/>
            </w14:solidFill>
          </w14:textFill>
        </w:rPr>
        <w:t>2.62%</w:t>
      </w:r>
      <w:r>
        <w:rPr>
          <w:rFonts w:hint="eastAsia" w:ascii="仿宋" w:hAnsi="仿宋" w:eastAsia="仿宋"/>
          <w:color w:val="000000" w:themeColor="text1"/>
          <w:sz w:val="32"/>
          <w:szCs w:val="32"/>
          <w14:textFill>
            <w14:solidFill>
              <w14:schemeClr w14:val="tx1"/>
            </w14:solidFill>
          </w14:textFill>
        </w:rPr>
        <w:t>。主要变动原因：一是在职教师减少工资、保险支付减少；二是上年校园设施设备维修改善等资金支付降低。</w:t>
      </w:r>
    </w:p>
    <w:p w14:paraId="3111BEFC">
      <w:pPr>
        <w:spacing w:line="600" w:lineRule="exact"/>
        <w:rPr>
          <w:rFonts w:ascii="仿宋" w:hAnsi="仿宋" w:eastAsia="仿宋"/>
          <w:sz w:val="32"/>
          <w:szCs w:val="32"/>
        </w:rPr>
      </w:pPr>
      <w:r>
        <w:rPr>
          <w:rFonts w:hint="eastAsia" w:ascii="仿宋" w:hAnsi="仿宋" w:eastAsia="仿宋"/>
          <w:sz w:val="32"/>
          <w:szCs w:val="32"/>
        </w:rPr>
        <w:t>（图5：一般公共预算财政拨款支出决算变动情况）（柱状图）</w:t>
      </w:r>
    </w:p>
    <w:p w14:paraId="52D264A6">
      <w:pPr>
        <w:pStyle w:val="5"/>
        <w:spacing w:before="93"/>
        <w:rPr>
          <w:rFonts w:eastAsia="仿宋"/>
        </w:rPr>
      </w:pPr>
    </w:p>
    <w:p w14:paraId="7F351557">
      <w:pPr>
        <w:pStyle w:val="5"/>
        <w:spacing w:before="93"/>
        <w:ind w:firstLine="900" w:firstLineChars="300"/>
        <w:rPr>
          <w:rFonts w:eastAsia="仿宋"/>
        </w:rPr>
      </w:pPr>
      <w:r>
        <w:rPr>
          <w:rFonts w:eastAsia="仿宋"/>
        </w:rPr>
        <w:drawing>
          <wp:inline distT="0" distB="0" distL="0" distR="0">
            <wp:extent cx="4219575" cy="2647950"/>
            <wp:effectExtent l="0" t="0" r="952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4219575" cy="2647950"/>
                    </a:xfrm>
                    <a:prstGeom prst="rect">
                      <a:avLst/>
                    </a:prstGeom>
                  </pic:spPr>
                </pic:pic>
              </a:graphicData>
            </a:graphic>
          </wp:inline>
        </w:drawing>
      </w:r>
    </w:p>
    <w:p w14:paraId="302F2393">
      <w:pPr>
        <w:pStyle w:val="5"/>
        <w:spacing w:before="93"/>
        <w:ind w:firstLine="900" w:firstLineChars="300"/>
        <w:rPr>
          <w:rFonts w:eastAsia="仿宋"/>
        </w:rPr>
      </w:pPr>
    </w:p>
    <w:p w14:paraId="449C07EC">
      <w:pPr>
        <w:spacing w:line="600" w:lineRule="exact"/>
        <w:ind w:firstLine="643" w:firstLineChars="200"/>
        <w:outlineLvl w:val="2"/>
        <w:rPr>
          <w:rFonts w:ascii="仿宋" w:hAnsi="仿宋" w:eastAsia="仿宋"/>
          <w:b/>
          <w:sz w:val="32"/>
          <w:szCs w:val="32"/>
        </w:rPr>
      </w:pPr>
      <w:bookmarkStart w:id="24" w:name="_Toc15377211"/>
      <w:r>
        <w:rPr>
          <w:rFonts w:hint="eastAsia" w:ascii="仿宋" w:hAnsi="仿宋" w:eastAsia="仿宋"/>
          <w:b/>
          <w:sz w:val="32"/>
          <w:szCs w:val="32"/>
        </w:rPr>
        <w:t>（二）一般公共预算财政拨款支出决算结构情况</w:t>
      </w:r>
      <w:bookmarkEnd w:id="24"/>
    </w:p>
    <w:p w14:paraId="327B9A5B">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2023年度一般公共预算财政拨款支出</w:t>
      </w:r>
      <w:r>
        <w:rPr>
          <w:rFonts w:ascii="仿宋" w:hAnsi="仿宋" w:eastAsia="仿宋"/>
          <w:color w:val="000000" w:themeColor="text1"/>
          <w:sz w:val="32"/>
          <w:szCs w:val="32"/>
          <w14:textFill>
            <w14:solidFill>
              <w14:schemeClr w14:val="tx1"/>
            </w14:solidFill>
          </w14:textFill>
        </w:rPr>
        <w:t>705.24</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w:t>
      </w:r>
      <w:r>
        <w:rPr>
          <w:rFonts w:hint="eastAsia" w:ascii="仿宋" w:hAnsi="仿宋" w:eastAsia="仿宋"/>
          <w:b/>
          <w:bCs/>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14:textFill>
            <w14:solidFill>
              <w14:schemeClr w14:val="tx1"/>
            </w14:solidFill>
          </w14:textFill>
        </w:rPr>
        <w:t>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w:t>
      </w:r>
      <w:r>
        <w:rPr>
          <w:rFonts w:ascii="仿宋" w:hAnsi="仿宋" w:eastAsia="仿宋"/>
          <w:b/>
          <w:color w:val="000000" w:themeColor="text1"/>
          <w:sz w:val="32"/>
          <w:szCs w:val="32"/>
          <w14:textFill>
            <w14:solidFill>
              <w14:schemeClr w14:val="tx1"/>
            </w14:solidFill>
          </w14:textFill>
        </w:rPr>
        <w:t>563.6</w:t>
      </w:r>
      <w:r>
        <w:rPr>
          <w:rFonts w:hint="eastAsia" w:ascii="仿宋" w:hAnsi="仿宋" w:eastAsia="仿宋"/>
          <w:b/>
          <w:color w:val="000000" w:themeColor="text1"/>
          <w:sz w:val="32"/>
          <w:szCs w:val="32"/>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万元，占</w:t>
      </w:r>
      <w:r>
        <w:rPr>
          <w:rFonts w:ascii="仿宋" w:hAnsi="仿宋" w:eastAsia="仿宋"/>
          <w:color w:val="000000" w:themeColor="text1"/>
          <w:sz w:val="32"/>
          <w:szCs w:val="32"/>
          <w14:textFill>
            <w14:solidFill>
              <w14:schemeClr w14:val="tx1"/>
            </w14:solidFill>
          </w14:textFill>
        </w:rPr>
        <w:t>79.92%</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w:t>
      </w:r>
      <w:r>
        <w:rPr>
          <w:rFonts w:hint="eastAsia" w:ascii="仿宋" w:hAnsi="仿宋" w:eastAsia="仿宋"/>
          <w:b/>
          <w:bCs/>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14:textFill>
            <w14:solidFill>
              <w14:schemeClr w14:val="tx1"/>
            </w14:solidFill>
          </w14:textFill>
        </w:rPr>
        <w:t>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文化旅游体育与传媒支出0万元，占0</w:t>
      </w:r>
      <w:r>
        <w:rPr>
          <w:rFonts w:ascii="仿宋" w:hAnsi="仿宋" w:eastAsia="仿宋"/>
          <w:b/>
          <w:bCs/>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w:t>
      </w:r>
      <w:r>
        <w:rPr>
          <w:rFonts w:hint="eastAsia" w:ascii="仿宋" w:hAnsi="仿宋" w:eastAsia="仿宋"/>
          <w:b/>
          <w:bCs/>
          <w:color w:val="000000" w:themeColor="text1"/>
          <w:sz w:val="32"/>
          <w:szCs w:val="32"/>
          <w14:textFill>
            <w14:solidFill>
              <w14:schemeClr w14:val="tx1"/>
            </w14:solidFill>
          </w14:textFill>
        </w:rPr>
        <w:t>支出</w:t>
      </w:r>
      <w:r>
        <w:rPr>
          <w:rFonts w:ascii="仿宋" w:hAnsi="仿宋" w:eastAsia="仿宋"/>
          <w:b/>
          <w:bCs/>
          <w:color w:val="000000" w:themeColor="text1"/>
          <w:sz w:val="32"/>
          <w:szCs w:val="32"/>
          <w14:textFill>
            <w14:solidFill>
              <w14:schemeClr w14:val="tx1"/>
            </w14:solidFill>
          </w14:textFill>
        </w:rPr>
        <w:t>77.16</w:t>
      </w:r>
      <w:r>
        <w:rPr>
          <w:rFonts w:hint="eastAsia" w:ascii="仿宋" w:hAnsi="仿宋" w:eastAsia="仿宋"/>
          <w:color w:val="000000" w:themeColor="text1"/>
          <w:sz w:val="32"/>
          <w:szCs w:val="32"/>
          <w14:textFill>
            <w14:solidFill>
              <w14:schemeClr w14:val="tx1"/>
            </w14:solidFill>
          </w14:textFill>
        </w:rPr>
        <w:t>万元，占</w:t>
      </w:r>
      <w:r>
        <w:rPr>
          <w:rFonts w:ascii="仿宋" w:hAnsi="仿宋" w:eastAsia="仿宋"/>
          <w:color w:val="000000" w:themeColor="text1"/>
          <w:sz w:val="32"/>
          <w:szCs w:val="32"/>
          <w14:textFill>
            <w14:solidFill>
              <w14:schemeClr w14:val="tx1"/>
            </w14:solidFill>
          </w14:textFill>
        </w:rPr>
        <w:t>10.94%</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卫生健康支出</w:t>
      </w:r>
      <w:r>
        <w:rPr>
          <w:rFonts w:ascii="仿宋" w:hAnsi="仿宋" w:eastAsia="仿宋"/>
          <w:color w:val="000000" w:themeColor="text1"/>
          <w:sz w:val="32"/>
          <w:szCs w:val="32"/>
          <w14:textFill>
            <w14:solidFill>
              <w14:schemeClr w14:val="tx1"/>
            </w14:solidFill>
          </w14:textFill>
        </w:rPr>
        <w:t>23.64</w:t>
      </w:r>
      <w:r>
        <w:rPr>
          <w:rFonts w:hint="eastAsia" w:ascii="仿宋" w:hAnsi="仿宋" w:eastAsia="仿宋"/>
          <w:color w:val="000000" w:themeColor="text1"/>
          <w:sz w:val="32"/>
          <w:szCs w:val="32"/>
          <w14:textFill>
            <w14:solidFill>
              <w14:schemeClr w14:val="tx1"/>
            </w14:solidFill>
          </w14:textFill>
        </w:rPr>
        <w:t>万元，占</w:t>
      </w:r>
      <w:r>
        <w:rPr>
          <w:rFonts w:ascii="仿宋" w:hAnsi="仿宋" w:eastAsia="仿宋"/>
          <w:color w:val="000000" w:themeColor="text1"/>
          <w:sz w:val="32"/>
          <w:szCs w:val="32"/>
          <w14:textFill>
            <w14:solidFill>
              <w14:schemeClr w14:val="tx1"/>
            </w14:solidFill>
          </w14:textFill>
        </w:rPr>
        <w:t>3.35%</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住房保障支出</w:t>
      </w:r>
      <w:r>
        <w:rPr>
          <w:rFonts w:ascii="仿宋" w:hAnsi="仿宋" w:eastAsia="仿宋"/>
          <w:color w:val="000000" w:themeColor="text1"/>
          <w:sz w:val="32"/>
          <w:szCs w:val="32"/>
          <w14:textFill>
            <w14:solidFill>
              <w14:schemeClr w14:val="tx1"/>
            </w14:solidFill>
          </w14:textFill>
        </w:rPr>
        <w:t>40.8</w:t>
      </w:r>
      <w:r>
        <w:rPr>
          <w:rFonts w:hint="eastAsia" w:ascii="仿宋" w:hAnsi="仿宋" w:eastAsia="仿宋"/>
          <w:color w:val="000000" w:themeColor="text1"/>
          <w:sz w:val="32"/>
          <w:szCs w:val="32"/>
          <w14:textFill>
            <w14:solidFill>
              <w14:schemeClr w14:val="tx1"/>
            </w14:solidFill>
          </w14:textFill>
        </w:rPr>
        <w:t>万元，占</w:t>
      </w:r>
      <w:r>
        <w:rPr>
          <w:rFonts w:ascii="仿宋" w:hAnsi="仿宋" w:eastAsia="仿宋"/>
          <w:color w:val="000000" w:themeColor="text1"/>
          <w:sz w:val="32"/>
          <w:szCs w:val="32"/>
          <w14:textFill>
            <w14:solidFill>
              <w14:schemeClr w14:val="tx1"/>
            </w14:solidFill>
          </w14:textFill>
        </w:rPr>
        <w:t>5.79%</w:t>
      </w:r>
      <w:r>
        <w:rPr>
          <w:rFonts w:hint="eastAsia" w:ascii="仿宋" w:hAnsi="仿宋" w:eastAsia="仿宋"/>
          <w:color w:val="000000" w:themeColor="text1"/>
          <w:sz w:val="32"/>
          <w:szCs w:val="32"/>
          <w14:textFill>
            <w14:solidFill>
              <w14:schemeClr w14:val="tx1"/>
            </w14:solidFill>
          </w14:textFill>
        </w:rPr>
        <w:t>；</w:t>
      </w:r>
    </w:p>
    <w:p w14:paraId="510D1D3B">
      <w:pPr>
        <w:spacing w:line="600" w:lineRule="exact"/>
        <w:rPr>
          <w:rFonts w:ascii="仿宋" w:hAnsi="仿宋" w:eastAsia="仿宋"/>
          <w:sz w:val="32"/>
          <w:szCs w:val="32"/>
        </w:rPr>
      </w:pPr>
      <w:r>
        <w:rPr>
          <w:rFonts w:hint="eastAsia" w:ascii="仿宋" w:hAnsi="仿宋" w:eastAsia="仿宋"/>
          <w:sz w:val="32"/>
          <w:szCs w:val="32"/>
        </w:rPr>
        <w:t>（图6：一般公共预算财政拨款支出决算结构）（饼状图）</w:t>
      </w:r>
    </w:p>
    <w:p w14:paraId="68190B4E">
      <w:pPr>
        <w:pStyle w:val="2"/>
        <w:ind w:left="840" w:hanging="420"/>
      </w:pPr>
    </w:p>
    <w:p w14:paraId="390517DC"/>
    <w:p w14:paraId="47395F6A">
      <w:pPr>
        <w:pStyle w:val="5"/>
        <w:spacing w:before="93"/>
        <w:rPr>
          <w:rFonts w:eastAsiaTheme="minorEastAsia"/>
        </w:rPr>
      </w:pPr>
      <w:r>
        <mc:AlternateContent>
          <mc:Choice Requires="wps">
            <w:drawing>
              <wp:anchor distT="0" distB="0" distL="114300" distR="114300" simplePos="0" relativeHeight="251667456" behindDoc="0" locked="0" layoutInCell="1" allowOverlap="1">
                <wp:simplePos x="0" y="0"/>
                <wp:positionH relativeFrom="column">
                  <wp:posOffset>3080385</wp:posOffset>
                </wp:positionH>
                <wp:positionV relativeFrom="paragraph">
                  <wp:posOffset>1542415</wp:posOffset>
                </wp:positionV>
                <wp:extent cx="466725" cy="47625"/>
                <wp:effectExtent l="635" t="4445" r="5080" b="8890"/>
                <wp:wrapNone/>
                <wp:docPr id="25" name="直接连接符 25"/>
                <wp:cNvGraphicFramePr/>
                <a:graphic xmlns:a="http://schemas.openxmlformats.org/drawingml/2006/main">
                  <a:graphicData uri="http://schemas.microsoft.com/office/word/2010/wordprocessingShape">
                    <wps:wsp>
                      <wps:cNvCnPr/>
                      <wps:spPr>
                        <a:xfrm flipV="1">
                          <a:off x="4223385" y="2456815"/>
                          <a:ext cx="466725" cy="47625"/>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42.55pt;margin-top:121.45pt;height:3.75pt;width:36.75pt;z-index:251667456;mso-width-relative:page;mso-height-relative:page;" filled="f" stroked="t" coordsize="21600,21600" o:gfxdata="UEsDBAoAAAAAAIdO4kAAAAAAAAAAAAAAAAAEAAAAZHJzL1BLAwQUAAAACACHTuJALsbeANwAAAAL&#10;AQAADwAAAGRycy9kb3ducmV2LnhtbE2PwUrEMBCG74LvEEbwIrtJS1tqbbpQZQVhD7oueE2b2FST&#10;SWmy29WnN570ODMf/3x/vTlbQ05q9qNDDsmaAVHYOzniwOHwul2VQHwQKIVxqDh8KQ+b5vKiFpV0&#10;C76o0z4MJIagrwQHHcJUUep7razwazcpjLd3N1sR4jgPVM5iieHW0JSxgloxYvygxaTuteo/90fL&#10;4em507tit31sb/Dte+weWvOxtJxfXyXsDkhQ5/AHw69+VIcmOnXuiNITwyEr8ySiHNIsvQUSiTwv&#10;CyBd3OQsA9rU9H+H5gdQSwMEFAAAAAgAh07iQKtc1zb7AQAAzAMAAA4AAABkcnMvZTJvRG9jLnht&#10;bK2TO47bMBCG+wC5A8E+li17ZUOwvMUamyZIDOTR0xQpEeALHK5lXyIXCJAuqVKmz212c4wMKWez&#10;2TRbRAXBx/Cb+X+O1pdHo8lBBFDONnQ2mVIiLHetsl1D37+7frGiBCKzLdPOioaeBNDLzfNn68HX&#10;onS9060IBCEW6sE3tI/R10UBvBeGwcR5YfFQumBYxGXoijawAelGF+V0WhWDC60PjgsA3N2Oh/RM&#10;DE8BOikVF1vHb4ywcaQGoVlESdArD3STq5VS8PhGShCR6Iai0phHTILzfRqLzZrVXWC+V/xcAntK&#10;CY80GaYsJr1HbVlk5Caof1BG8eDAyTjhzhSjkOwIqphNH3nztmdeZC1oNfh70+H/Yfnrwy4Q1Ta0&#10;vKDEMoMvfvfp++3HLz9/fMbx7ttXgido0+ChxugruwvnFfhdSJqPMhgitfIfsJ+yC6iLHBu6KMv5&#10;fIXcE+IXF9VqlkmsFsdIeAqoqmXKyzFgsazGRMVITGQfIL4UzpA0aahWNtnBanZ4BRGrwNDfIWnb&#10;umuldX5SbcnQ0PlsmegM21Rie+DUeJQKtqOE6Q77n8eQieC0atPtxIHQ7a90IAeWuiZ/yQHM9ldY&#10;Sr1l0I9x+WjsJ6Mi/iJamYauHt7WFiHJx9G5NNu79pQNzfv4yDnNuSFTFz1c59t/fsLN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7G3gDcAAAACwEAAA8AAAAAAAAAAQAgAAAAIgAAAGRycy9kb3du&#10;cmV2LnhtbFBLAQIUABQAAAAIAIdO4kCrXNc2+wEAAMwDAAAOAAAAAAAAAAEAIAAAACsBAABkcnMv&#10;ZTJvRG9jLnhtbFBLBQYAAAAABgAGAFkBAACYBQAAAAA=&#10;">
                <v:fill on="f" focussize="0,0"/>
                <v:stroke weight="0.25pt" color="#000000 [3213]" miterlimit="8" joinstyle="miter"/>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2775585</wp:posOffset>
                </wp:positionH>
                <wp:positionV relativeFrom="paragraph">
                  <wp:posOffset>294640</wp:posOffset>
                </wp:positionV>
                <wp:extent cx="371475" cy="609600"/>
                <wp:effectExtent l="3810" t="2540" r="5715" b="12700"/>
                <wp:wrapNone/>
                <wp:docPr id="24" name="直接连接符 24"/>
                <wp:cNvGraphicFramePr/>
                <a:graphic xmlns:a="http://schemas.openxmlformats.org/drawingml/2006/main">
                  <a:graphicData uri="http://schemas.microsoft.com/office/word/2010/wordprocessingShape">
                    <wps:wsp>
                      <wps:cNvCnPr/>
                      <wps:spPr>
                        <a:xfrm flipV="1">
                          <a:off x="3918585" y="1209040"/>
                          <a:ext cx="371475" cy="609600"/>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18.55pt;margin-top:23.2pt;height:48pt;width:29.25pt;z-index:251666432;mso-width-relative:page;mso-height-relative:page;" filled="f" stroked="t" coordsize="21600,21600" o:gfxdata="UEsDBAoAAAAAAIdO4kAAAAAAAAAAAAAAAAAEAAAAZHJzL1BLAwQUAAAACACHTuJA5Y+2F9sAAAAK&#10;AQAADwAAAGRycy9kb3ducmV2LnhtbE2PwUrEMBCG74LvEEbwIm7aNVatTReqrCDsQVfBa9rEpppM&#10;SpPdrj6940lvM8zHP99frQ7esb2Z4hBQQr7IgBnsgh6wl/D6sj6/BhaTQq1cQCPhy0RY1cdHlSp1&#10;mPHZ7LepZxSCsVQSbEpjyXnsrPEqLsJokG7vYfIq0Tr1XE9qpnDv+DLLCu7VgPTBqtHcWdN9bnde&#10;wuNTazfFZv3QnOHb99DeN+5jbqQ8PcmzW2DJHNIfDL/6pA41ObVhhzoyJ0FcXOWE0lAIYASIm8sC&#10;WEukWArgdcX/V6h/AFBLAwQUAAAACACHTuJAkWNQAvsBAADNAwAADgAAAGRycy9lMm9Eb2MueG1s&#10;rVPNbhMxEL4j8Q6W72Q3IU2TVTY9NCoXBJGA3h2vvWvJf/K42eQleAEkbnDiyJ23oTwGY++2lHLp&#10;AR8s2/P5m/k+j9cXR6PJQQRQztZ0OikpEZa7Rtm2ph/eX71YUgKR2YZpZ0VNTwLoxeb5s3XvKzFz&#10;ndONCARJLFS9r2kXo6+KAngnDIOJ88JiULpgWMRtaIsmsB7ZjS5mZbkoehcaHxwXAHi6HYJ0ZAxP&#10;IXRSKi62jt8YYePAGoRmESVBpzzQTa5WSsHjWylBRKJrikpjnjEJrvdpLjZrVrWB+U7xsQT2lBIe&#10;aTJMWUx6T7VlkZGboP6hMooHB07GCXemGIRkR1DFtHzkzbuOeZG1oNXg702H/0fL3xx2gaimprM5&#10;JZYZfPHbT99/fvzy68dnnG+/fSUYQZt6DxWiL+0ujDvwu5A0H2UwRGrlr7Gfsguoixxr+nI1XZ4t&#10;zyg5YWBWrsr5aLg4RsIT4Hw6P8c4R8CiXC3KHC8GykTtA8RXwhmSFjXVyiY/WMUOryFiGQi9g6Rj&#10;666U1vlNtSU9JphmeoZ9KrE/MJPxqBVsSwnTLX4AHkNmBKdVk24nHgjt/lIHcmCpbfJIFmC2v2Ap&#10;9ZZBN+ByaGgooyL+Ea1MTZcPb2uLJMnIwbq02rvmlB3N5/jKOc3YkamNHu7z7T+/cPM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5Y+2F9sAAAAKAQAADwAAAAAAAAABACAAAAAiAAAAZHJzL2Rvd25y&#10;ZXYueG1sUEsBAhQAFAAAAAgAh07iQJFjUAL7AQAAzQMAAA4AAAAAAAAAAQAgAAAAKgEAAGRycy9l&#10;Mm9Eb2MueG1sUEsFBgAAAAAGAAYAWQEAAJcFAAAAAA==&#10;">
                <v:fill on="f" focussize="0,0"/>
                <v:stroke weight="0.25pt" color="#000000 [3213]" miterlimit="8" joinstyle="miter"/>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2014220</wp:posOffset>
                </wp:positionH>
                <wp:positionV relativeFrom="paragraph">
                  <wp:posOffset>203835</wp:posOffset>
                </wp:positionV>
                <wp:extent cx="637540" cy="567055"/>
                <wp:effectExtent l="3175" t="3810" r="14605" b="8255"/>
                <wp:wrapNone/>
                <wp:docPr id="23" name="直接连接符 23"/>
                <wp:cNvGraphicFramePr/>
                <a:graphic xmlns:a="http://schemas.openxmlformats.org/drawingml/2006/main">
                  <a:graphicData uri="http://schemas.microsoft.com/office/word/2010/wordprocessingShape">
                    <wps:wsp>
                      <wps:cNvCnPr/>
                      <wps:spPr>
                        <a:xfrm>
                          <a:off x="3157220" y="1118235"/>
                          <a:ext cx="637540" cy="567055"/>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58.6pt;margin-top:16.05pt;height:44.65pt;width:50.2pt;z-index:251665408;mso-width-relative:page;mso-height-relative:page;" filled="f" stroked="t" coordsize="21600,21600" o:gfxdata="UEsDBAoAAAAAAIdO4kAAAAAAAAAAAAAAAAAEAAAAZHJzL1BLAwQUAAAACACHTuJAvMywV9YAAAAK&#10;AQAADwAAAGRycy9kb3ducmV2LnhtbE2PwU7DMAyG70i8Q2QkLhNLE6ZtlKbThMSddRPnrHWbisap&#10;mmwrb485wc2WP/3+/mI3+0FccYp9IANqmYFAqkPTU2fgdHx/2oKIyVJjh0Bo4Bsj7Mr7u8LmTbjR&#10;Aa9V6gSHUMytAZfSmEsZa4fexmUYkfjWhsnbxOvUyWayNw73g9RZtpbe9sQfnB3xzWH9VV28gZdZ&#10;n8JH2y4+3b7qcb9w26o+GPP4oLJXEAnn9AfDrz6rQ8lO53ChJorBwLPaaEZ50AoEAyu1WYM4M6nV&#10;CmRZyP8Vyh9QSwMEFAAAAAgAh07iQGqXRXn0AQAAwwMAAA4AAABkcnMvZTJvRG9jLnhtbK1TS44T&#10;MRDdI3EHy3vSn9BJ1EpnFhMNGwSRgAM4bne3Jf/k8qSTS3ABJHawYsme2zAcg7I7zHczC3rhLruq&#10;XtV7Lq8vjlqRg/AgrWloMcspEYbbVpq+oZ8+Xr1aUQKBmZYpa0RDTwLoxebli/XoalHawapWeIIg&#10;BurRNXQIwdVZBnwQmsHMOmHQ2VmvWcCt77PWsxHRtcrKPF9ko/Wt85YLADzdTk56RvTPAbRdJ7nY&#10;Wn6thQkTqheKBaQEg3RAN6nbrhM8vO86EIGohiLTkFYsgvY+rtlmzereMzdIfm6BPaeFR5w0kwaL&#10;3kJtWWDk2ssnUFpyb8F2YcatziYiSRFkUeSPtPkwMCcSF5Qa3K3o8P9g+bvDzhPZNrScU2KYxhu/&#10;+fLz9+dvf359xfXmx3eCHpRpdFBj9KXZ+fMO3M5HzsfO6/hHNuTY0HlRLcsSBT7heBXFqpxXk8zi&#10;GAjHgMV8Wb1GP8eAarHMq+TP7oCch/BGWE2i0VAlTVSB1ezwFgIWx9B/IfHY2CupVLpJZcgYO1hW&#10;CM9wOjucCjS1Q4ZgekqY6nHsefAJEaySbcyOOOD7/aXy5MDisKQvNo7VHoTF0lsGwxSXXBM/LQO+&#10;DCV1Q1f3s5VBkCjfJFi09rY9JR3TOd5tKnOewzg89/cp++7t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MywV9YAAAAKAQAADwAAAAAAAAABACAAAAAiAAAAZHJzL2Rvd25yZXYueG1sUEsBAhQA&#10;FAAAAAgAh07iQGqXRXn0AQAAwwMAAA4AAAAAAAAAAQAgAAAAJQEAAGRycy9lMm9Eb2MueG1sUEsF&#10;BgAAAAAGAAYAWQEAAIsFAAAAAA==&#10;">
                <v:fill on="f" focussize="0,0"/>
                <v:stroke weight="0.25pt" color="#000000 [3213]" miterlimit="8" joinstyle="miter"/>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2889885</wp:posOffset>
                </wp:positionH>
                <wp:positionV relativeFrom="paragraph">
                  <wp:posOffset>923290</wp:posOffset>
                </wp:positionV>
                <wp:extent cx="533400" cy="142875"/>
                <wp:effectExtent l="1270" t="4445" r="13970" b="5080"/>
                <wp:wrapNone/>
                <wp:docPr id="22" name="直接连接符 22"/>
                <wp:cNvGraphicFramePr/>
                <a:graphic xmlns:a="http://schemas.openxmlformats.org/drawingml/2006/main">
                  <a:graphicData uri="http://schemas.microsoft.com/office/word/2010/wordprocessingShape">
                    <wps:wsp>
                      <wps:cNvCnPr/>
                      <wps:spPr>
                        <a:xfrm flipV="1">
                          <a:off x="4032885" y="1837690"/>
                          <a:ext cx="533400" cy="142875"/>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27.55pt;margin-top:72.7pt;height:11.25pt;width:42pt;z-index:251664384;mso-width-relative:page;mso-height-relative:page;" filled="f" stroked="t" coordsize="21600,21600" o:gfxdata="UEsDBAoAAAAAAIdO4kAAAAAAAAAAAAAAAAAEAAAAZHJzL1BLAwQUAAAACACHTuJAESHyidsAAAAL&#10;AQAADwAAAGRycy9kb3ducmV2LnhtbE2PwU7DMBBE70j8g7VIXBB1AkmgIU6lgIpUqQcoSFyd2MQB&#10;ex3FblP4epYTHHfmaXamWh2dZQc9hcGjgHSRANPYeTVgL+D1ZX15CyxEiUpaj1rAlw6wqk9PKlkq&#10;P+OzPuxizygEQykFmBjHkvPQGe1kWPhRI3nvfnIy0jn1XE1ypnBn+VWSFNzJAemDkaO+N7r73O2d&#10;gM1Ta7bFdv3YXODb99A+NPZjboQ4P0uTO2BRH+MfDL/1qTrU1Kn1e1SBWQFZnqeEkpHlGTAi8usl&#10;KS0pxc0SeF3x/xvqH1BLAwQUAAAACACHTuJAcjmgv/0BAADNAwAADgAAAGRycy9lMm9Eb2MueG1s&#10;rVPNjtMwEL4j8Q6W7zRp2u5mo6Z72Gq5IKgE7H3qOIkl/8n2Nu1L8AJI3ODEkTtvw/IYjJ2wLMtl&#10;D/hgjWfG38z3eby+PCpJDtx5YXRN57OcEq6ZaYTuavr+3fWLkhIfQDcgjeY1PXFPLzfPn60HW/HC&#10;9EY23BEE0b4abE37EGyVZZ71XIGfGcs1BlvjFAQ8ui5rHAyIrmRW5PlZNhjXWGcY9x692zFIJ0T3&#10;FEDTtoLxrWG3iuswojouISAl3wvr6SZ127achTdt63kgsqbINKQdi6C9j3u2WUPVObC9YFML8JQW&#10;HnFSIDQWvYfaQgBy68Q/UEowZ7xpw4wZlY1EkiLIYp4/0uZtD5YnLii1t/ei+/8Hy14fdo6IpqZF&#10;QYkGhS9+9/Hbjw+ff37/hPvd1y8EIyjTYH2F2Vd656aTtzsXOR9bp0grhb3BeUoqIC9yrOkyXxRl&#10;uaLkhIFycX52MQnOj4EwTFgtFsscn4LFhGVRnq9ipWyEjNDW+fCSG0WiUVMpdNQDKji88mFM/Z0S&#10;3dpcCynRD5XUZKjpYo6QhAHOaYvzgaayyNXrjhKQHX4AFlxC9EaKJt6Ol73r9lfSkQPEsUlrauyv&#10;tFh6C74f81IopkGlRMA/IoWqafnwttTILgo5ShetvWlOSdHkx1dO/KeJjGP08Jxu//mFm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RIfKJ2wAAAAsBAAAPAAAAAAAAAAEAIAAAACIAAABkcnMvZG93&#10;bnJldi54bWxQSwECFAAUAAAACACHTuJAcjmgv/0BAADNAwAADgAAAAAAAAABACAAAAAqAQAAZHJz&#10;L2Uyb0RvYy54bWxQSwUGAAAAAAYABgBZAQAAmQUAAAAA&#10;">
                <v:fill on="f" focussize="0,0"/>
                <v:stroke weight="0.25pt" color="#000000 [3213]" miterlimit="8" joinstyle="miter"/>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2985135</wp:posOffset>
                </wp:positionH>
                <wp:positionV relativeFrom="paragraph">
                  <wp:posOffset>3175</wp:posOffset>
                </wp:positionV>
                <wp:extent cx="1294130" cy="333375"/>
                <wp:effectExtent l="4445" t="4445" r="12065" b="12700"/>
                <wp:wrapNone/>
                <wp:docPr id="15" name="文本框 15"/>
                <wp:cNvGraphicFramePr/>
                <a:graphic xmlns:a="http://schemas.openxmlformats.org/drawingml/2006/main">
                  <a:graphicData uri="http://schemas.microsoft.com/office/word/2010/wordprocessingShape">
                    <wps:wsp>
                      <wps:cNvSpPr txBox="1"/>
                      <wps:spPr>
                        <a:xfrm>
                          <a:off x="4109085" y="1031875"/>
                          <a:ext cx="1294130" cy="333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6678B0A">
                            <w:pPr>
                              <w:rPr>
                                <w:sz w:val="18"/>
                                <w:szCs w:val="21"/>
                              </w:rPr>
                            </w:pPr>
                            <w:r>
                              <w:rPr>
                                <w:rFonts w:hint="eastAsia"/>
                                <w:sz w:val="18"/>
                                <w:szCs w:val="21"/>
                              </w:rPr>
                              <w:t>卫生健康支出3.</w:t>
                            </w:r>
                            <w:r>
                              <w:rPr>
                                <w:sz w:val="18"/>
                                <w:szCs w:val="21"/>
                              </w:rPr>
                              <w:t>35</w:t>
                            </w:r>
                            <w:r>
                              <w:rPr>
                                <w:rFonts w:hint="eastAsia"/>
                                <w:sz w:val="18"/>
                                <w:szCs w:val="21"/>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05pt;margin-top:0.25pt;height:26.25pt;width:101.9pt;z-index:251663360;mso-width-relative:page;mso-height-relative:page;" fillcolor="#FFFFFF [3201]" filled="t" stroked="t" coordsize="21600,21600" o:gfxdata="UEsDBAoAAAAAAIdO4kAAAAAAAAAAAAAAAAAEAAAAZHJzL1BLAwQUAAAACACHTuJAWKcO+9MAAAAH&#10;AQAADwAAAGRycy9kb3ducmV2LnhtbE2OwU7DMBBE70j8g7VI3KidBlIIcSqBhIS4UXLh5sbbJMJe&#10;R7bblL9nOcFxNKM3r9mevRMnjGkKpKFYKRBIfbATDRq6j5ebexApG7LGBUIN35hg215eNKa2YaF3&#10;PO3yIBhCqTYaxpznWsrUj+hNWoUZibtDiN5kjnGQNpqF4d7JtVKV9GYifhjNjM8j9l+7o9fwWj3l&#10;T+zsmy3XZVg62ceDS1pfXxXqEUTGc/4bw68+q0PLTvtwJJuE03C7UQVPNdyB4LralA8g9hxLBbJt&#10;5H//9gdQSwMEFAAAAAgAh07iQGzFDk9jAgAAxQQAAA4AAABkcnMvZTJvRG9jLnhtbK1US27bMBDd&#10;F+gdCO4bSbbzMyIHbgIXBYImQFp0TVOURZQiWZK2lB6gvUFX3XTfc+UcfaTsfLvIolpQQ87T48yb&#10;GZ2c9q0iG+G8NLqkxV5OidDcVFKvSvrp4+LNESU+MF0xZbQo6Y3w9HT2+tVJZ6diZBqjKuEISLSf&#10;drakTQh2mmWeN6Jlfs9YoeGsjWtZwNatssqxDuytykZ5fpB1xlXWGS68x+n54KRbRvcSQlPXkotz&#10;w9et0GFgdUKxgJR8I62nsxRtXQseLuvai0BUSZFpSCsugb2MazY7YdOVY7aRfBsCe0kIT3JqmdS4&#10;9I7qnAVG1k4+o2old8abOuxx02ZDIkkRZFHkT7S5bpgVKRdI7e2d6P7/0fIPmytHZIVO2KdEsxYV&#10;v/354/bXn9vf3wnOIFBn/RS4awtk6N+aHuDducdhzLuvXRvfyIjAPyny4/wIjDfA5uPi6DAxsano&#10;A+GRYHQ8KcaoAgdijGcAZPdM1vnwTpiWRKOkDqVMCrPNhQ+ICtAdJF7sjZLVQiqVNm61PFOObBjK&#10;vkhPDBifPIIpTbqSHoz388T8yBe57yiWivEvzxnApzRoo0CDENEK/bLfqrY01Q1Ec2boO2/5QoL3&#10;gvlwxRwaDQJgFMMllloZBGO2FiWNcd/+dR7xqD+8lHRo3JL6r2vmBCXqvUZnHBeTSez0tJnsH46w&#10;cQ89y4cevW7PDEQqMPSWJzPig9qZtTPtZ0zsPN4KF9Mcd5c07MyzMIwTJp6L+TyB0NuWhQt9bXmk&#10;jiXRZr4OppapdFGmQZuteujuVJ7tJMbxebhPqPu/z+w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WKcO+9MAAAAHAQAADwAAAAAAAAABACAAAAAiAAAAZHJzL2Rvd25yZXYueG1sUEsBAhQAFAAAAAgA&#10;h07iQGzFDk9jAgAAxQQAAA4AAAAAAAAAAQAgAAAAIgEAAGRycy9lMm9Eb2MueG1sUEsFBgAAAAAG&#10;AAYAWQEAAPcFAAAAAA==&#10;">
                <v:fill on="t" focussize="0,0"/>
                <v:stroke weight="0.5pt" color="#000000 [3204]" joinstyle="round"/>
                <v:imagedata o:title=""/>
                <o:lock v:ext="edit" aspectratio="f"/>
                <v:textbox>
                  <w:txbxContent>
                    <w:p w14:paraId="06678B0A">
                      <w:pPr>
                        <w:rPr>
                          <w:sz w:val="18"/>
                          <w:szCs w:val="21"/>
                        </w:rPr>
                      </w:pPr>
                      <w:r>
                        <w:rPr>
                          <w:rFonts w:hint="eastAsia"/>
                          <w:sz w:val="18"/>
                          <w:szCs w:val="21"/>
                        </w:rPr>
                        <w:t>卫生健康支出3.</w:t>
                      </w:r>
                      <w:r>
                        <w:rPr>
                          <w:sz w:val="18"/>
                          <w:szCs w:val="21"/>
                        </w:rPr>
                        <w:t>35</w:t>
                      </w:r>
                      <w:r>
                        <w:rPr>
                          <w:rFonts w:hint="eastAsia"/>
                          <w:sz w:val="18"/>
                          <w:szCs w:val="21"/>
                        </w:rPr>
                        <w:t>%</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1337945</wp:posOffset>
                </wp:positionH>
                <wp:positionV relativeFrom="paragraph">
                  <wp:posOffset>-130175</wp:posOffset>
                </wp:positionV>
                <wp:extent cx="1351915" cy="334010"/>
                <wp:effectExtent l="4445" t="4445" r="15240" b="12065"/>
                <wp:wrapNone/>
                <wp:docPr id="14" name="文本框 14"/>
                <wp:cNvGraphicFramePr/>
                <a:graphic xmlns:a="http://schemas.openxmlformats.org/drawingml/2006/main">
                  <a:graphicData uri="http://schemas.microsoft.com/office/word/2010/wordprocessingShape">
                    <wps:wsp>
                      <wps:cNvSpPr txBox="1"/>
                      <wps:spPr>
                        <a:xfrm>
                          <a:off x="2766060" y="784225"/>
                          <a:ext cx="1351915" cy="3340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44DDB11">
                            <w:pPr>
                              <w:rPr>
                                <w:sz w:val="20"/>
                                <w:szCs w:val="22"/>
                              </w:rPr>
                            </w:pPr>
                            <w:r>
                              <w:rPr>
                                <w:rFonts w:hint="eastAsia"/>
                                <w:sz w:val="20"/>
                                <w:szCs w:val="22"/>
                              </w:rPr>
                              <w:t>住房保障支出5.</w:t>
                            </w:r>
                            <w:r>
                              <w:rPr>
                                <w:sz w:val="20"/>
                                <w:szCs w:val="22"/>
                              </w:rPr>
                              <w:t>79</w:t>
                            </w:r>
                            <w:r>
                              <w:rPr>
                                <w:rFonts w:hint="eastAsia"/>
                                <w:sz w:val="20"/>
                                <w:szCs w:val="22"/>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5.35pt;margin-top:-10.25pt;height:26.3pt;width:106.45pt;z-index:251662336;mso-width-relative:page;mso-height-relative:page;" fillcolor="#FFFFFF [3201]" filled="t" stroked="t" coordsize="21600,21600" o:gfxdata="UEsDBAoAAAAAAIdO4kAAAAAAAAAAAAAAAAAEAAAAZHJzL1BLAwQUAAAACACHTuJAgDQkM9cAAAAK&#10;AQAADwAAAGRycy9kb3ducmV2LnhtbE2PwU7DMBBE70j8g7WVuLV2HAgoxKkEEhLiRpsLNzfeJlHt&#10;dWS7Tfl7zAmOq3maedtsr86yC4Y4eVJQbAQwpN6biQYF3f5t/QQsJk1GW0+o4BsjbNvbm0bXxi/0&#10;iZddGlguoVhrBWNKc8157Ed0Om78jJSzow9Op3yGgZugl1zuLJdCVNzpifLCqGd8HbE/7c5OwXv1&#10;kr6wMx+mlKVfOt6Ho41K3a0K8Qws4TX9wfCrn9WhzU4HfyYTmVUgC/GYUQVrKR6AZeJelhWwg4JS&#10;FsDbhv9/of0BUEsDBBQAAAAIAIdO4kCxS4KjYwIAAMQEAAAOAAAAZHJzL2Uyb0RvYy54bWytVM1u&#10;EzEQviPxDpbvdPPfNuqmCq2CkCJaqSDOjtebtbA9xnayGx4A3oATF+48V56DsXfTpi2HHsjBGXu+&#10;fDPzzUwuLhutyFY4L8HktH/So0QYDoU065x++rh4c0aJD8wUTIEROd0JTy9nr19d1HYqBlCBKoQj&#10;SGL8tLY5rUKw0yzzvBKa+ROwwqCzBKdZwKtbZ4VjNbJrlQ16vUlWgyusAy68x9fr1kk7RvcSQihL&#10;ycU18I0WJrSsTigWsCRfSevpLGVbloKHm7L0IhCVU6w0pBODoL2KZza7YNO1Y7aSvEuBvSSFJzVp&#10;Jg0Gvae6ZoGRjZPPqLTkDjyU4YSDztpCkiJYRb/3RJu7ilmRakGpvb0X3f8/Wv5he+uILHASRpQY&#10;prHj+58/9r/+7H9/J/iGAtXWTxF3ZxEZmrfQIPjw7vEx1t2UTsdvrIigf3A6mfQmKPIup6dno8Fg&#10;3CotmkB4/P1w3D/vjynhCBgOR1h7BGQPRNb58E6AJtHIqcNOJoHZdulDCz1AYlwPShYLqVS6uPXq&#10;SjmyZdj1Rfp07I9gypA6p5PhuJeYH/ki9z3FSjH+5TkDZqsMJh31aXWIVmhWTSfaCoodauagHTtv&#10;+UIi75L5cMsczhkKhJsYbvAoFWAy0FmUVOC+/es94rH96KWkxrnNqf+6YU5Qot4bHIzz/mgUBz1d&#10;RuPTAV7csWd17DEbfQUoUh933vJkRnxQB7N0oD/jws5jVHQxwzF2TsPBvArtNuHCczGfJxCOtmVh&#10;ae4sj9SxJQbmmwClTK2LMrXadOrhcKfmd4sYt+f4nlAPfz6z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IA0JDPXAAAACgEAAA8AAAAAAAAAAQAgAAAAIgAAAGRycy9kb3ducmV2LnhtbFBLAQIUABQA&#10;AAAIAIdO4kCxS4KjYwIAAMQEAAAOAAAAAAAAAAEAIAAAACYBAABkcnMvZTJvRG9jLnhtbFBLBQYA&#10;AAAABgAGAFkBAAD7BQAAAAA=&#10;">
                <v:fill on="t" focussize="0,0"/>
                <v:stroke weight="0.5pt" color="#000000 [3204]" joinstyle="round"/>
                <v:imagedata o:title=""/>
                <o:lock v:ext="edit" aspectratio="f"/>
                <v:textbox>
                  <w:txbxContent>
                    <w:p w14:paraId="244DDB11">
                      <w:pPr>
                        <w:rPr>
                          <w:sz w:val="20"/>
                          <w:szCs w:val="22"/>
                        </w:rPr>
                      </w:pPr>
                      <w:r>
                        <w:rPr>
                          <w:rFonts w:hint="eastAsia"/>
                          <w:sz w:val="20"/>
                          <w:szCs w:val="22"/>
                        </w:rPr>
                        <w:t>住房保障支出5.</w:t>
                      </w:r>
                      <w:r>
                        <w:rPr>
                          <w:sz w:val="20"/>
                          <w:szCs w:val="22"/>
                        </w:rPr>
                        <w:t>79</w:t>
                      </w:r>
                      <w:r>
                        <w:rPr>
                          <w:rFonts w:hint="eastAsia"/>
                          <w:sz w:val="20"/>
                          <w:szCs w:val="22"/>
                        </w:rPr>
                        <w:t>%</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3375660</wp:posOffset>
                </wp:positionH>
                <wp:positionV relativeFrom="paragraph">
                  <wp:posOffset>631825</wp:posOffset>
                </wp:positionV>
                <wp:extent cx="1713230" cy="295275"/>
                <wp:effectExtent l="4445" t="4445" r="19685" b="5080"/>
                <wp:wrapNone/>
                <wp:docPr id="13" name="文本框 13"/>
                <wp:cNvGraphicFramePr/>
                <a:graphic xmlns:a="http://schemas.openxmlformats.org/drawingml/2006/main">
                  <a:graphicData uri="http://schemas.microsoft.com/office/word/2010/wordprocessingShape">
                    <wps:wsp>
                      <wps:cNvSpPr txBox="1"/>
                      <wps:spPr>
                        <a:xfrm>
                          <a:off x="4518660" y="1546225"/>
                          <a:ext cx="1713230"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E2901AA">
                            <w:pPr>
                              <w:rPr>
                                <w:sz w:val="20"/>
                                <w:szCs w:val="22"/>
                              </w:rPr>
                            </w:pPr>
                            <w:r>
                              <w:rPr>
                                <w:rFonts w:hint="eastAsia"/>
                                <w:sz w:val="16"/>
                                <w:szCs w:val="20"/>
                              </w:rPr>
                              <w:t>社会保障和就业支出</w:t>
                            </w:r>
                            <w:r>
                              <w:rPr>
                                <w:rFonts w:hint="eastAsia"/>
                                <w:sz w:val="20"/>
                                <w:szCs w:val="22"/>
                              </w:rPr>
                              <w:t>10.</w:t>
                            </w:r>
                            <w:r>
                              <w:rPr>
                                <w:sz w:val="20"/>
                                <w:szCs w:val="22"/>
                              </w:rPr>
                              <w:t>94</w:t>
                            </w:r>
                            <w:r>
                              <w:rPr>
                                <w:rFonts w:hint="eastAsia"/>
                                <w:sz w:val="20"/>
                                <w:szCs w:val="22"/>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5.8pt;margin-top:49.75pt;height:23.25pt;width:134.9pt;z-index:251661312;mso-width-relative:page;mso-height-relative:page;" fillcolor="#FFFFFF [3201]" filled="t" stroked="t" coordsize="21600,21600" o:gfxdata="UEsDBAoAAAAAAIdO4kAAAAAAAAAAAAAAAAAEAAAAZHJzL1BLAwQUAAAACACHTuJAxUYiS9cAAAAK&#10;AQAADwAAAGRycy9kb3ducmV2LnhtbE2PwU7DMBBE70j8g7VI3Kidpo3aNE4lkJAQN0ou3Nx4m0SN&#10;15HtNuXvWU5wXM3TzNtqf3OjuGKIgycN2UKBQGq9HajT0Hy+Pm1AxGTImtETavjGCPv6/q4ypfUz&#10;feD1kDrBJRRLo6FPaSqljG2PzsSFn5A4O/ngTOIzdNIGM3O5G+VSqUI6MxAv9GbClx7b8+HiNLwV&#10;z+kLG/tu82Xu50a24TRGrR8fMrUDkfCW/mD41Wd1qNnp6C9koxg1rPOsYFTDdrsGwcBGZSsQRyZX&#10;hQJZV/L/C/UPUEsDBBQAAAAIAIdO4kD1C8HtZQIAAMUEAAAOAAAAZHJzL2Uyb0RvYy54bWytVM1u&#10;EzEQviPxDpbvdJPNT9uomyq0CkKqaKWCODteb9bCaxvbyW55AHgDTly481x9Dj57k/5y6IEcnBnP&#10;l28838zk5LRrFNkK56XRBR0eDCgRmptS6nVBP31cvjmixAemS6aMFgW9EZ6ezl+/OmntTOSmNqoU&#10;joBE+1lrC1qHYGdZ5nktGuYPjBUawcq4hgW4bp2VjrVgb1SWDwbTrDWutM5w4T1uz/sg3TG6lxCa&#10;qpJcnBu+aYQOPasTigWU5GtpPZ2n11aV4OGyqrwIRBUUlYZ0IgnsVTyz+QmbrR2zteS7J7CXPOFJ&#10;TQ2TGknvqM5ZYGTj5DOqRnJnvKnCATdN1heSFEEVw8ETba5rZkWqBVJ7eye6/3+0/MP2yhFZYhJG&#10;lGjWoOO3P3/c/vpz+/s7wR0Eaq2fAXdtgQzdW9MBvL/3uIx1d5Vr4jcqIoiPJ8Oj6RQi3wA7GU/z&#10;fNJLLbpAeCQ4HI7yEQAciPx4kh8mQHbPZJ0P74RpSDQK6tDKpDDbXviAVwG6h8TE3ihZLqVSyXHr&#10;1ZlyZMvQ9mX6xPT4ySOY0qQt6HQ0GSTmR7HIfUexUox/ec4APqVBGwXqhYhW6FbdTrWVKW8gmjP9&#10;3HnLlxK8F8yHK+YwaBAAqxgucVTK4DFmZ1FSG/ftX/cRj/4jSkmLwS2o/7phTlCi3mtMxvFwPAZt&#10;SM54cpjDcQ8jq4cRvWnODEQaYuktT2bEB7U3K2eaz9jYRcyKENMcuQsa9uZZ6NcJG8/FYpFAmG3L&#10;woW+tjxSx5Zos9gEU8nUuihTr81OPUx3as9uE+P6PPQT6v7fZ/4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xUYiS9cAAAAKAQAADwAAAAAAAAABACAAAAAiAAAAZHJzL2Rvd25yZXYueG1sUEsBAhQA&#10;FAAAAAgAh07iQPULwe1lAgAAxQQAAA4AAAAAAAAAAQAgAAAAJgEAAGRycy9lMm9Eb2MueG1sUEsF&#10;BgAAAAAGAAYAWQEAAP0FAAAAAA==&#10;">
                <v:fill on="t" focussize="0,0"/>
                <v:stroke weight="0.5pt" color="#000000 [3204]" joinstyle="round"/>
                <v:imagedata o:title=""/>
                <o:lock v:ext="edit" aspectratio="f"/>
                <v:textbox>
                  <w:txbxContent>
                    <w:p w14:paraId="4E2901AA">
                      <w:pPr>
                        <w:rPr>
                          <w:sz w:val="20"/>
                          <w:szCs w:val="22"/>
                        </w:rPr>
                      </w:pPr>
                      <w:r>
                        <w:rPr>
                          <w:rFonts w:hint="eastAsia"/>
                          <w:sz w:val="16"/>
                          <w:szCs w:val="20"/>
                        </w:rPr>
                        <w:t>社会保障和就业支出</w:t>
                      </w:r>
                      <w:r>
                        <w:rPr>
                          <w:rFonts w:hint="eastAsia"/>
                          <w:sz w:val="20"/>
                          <w:szCs w:val="22"/>
                        </w:rPr>
                        <w:t>10.</w:t>
                      </w:r>
                      <w:r>
                        <w:rPr>
                          <w:sz w:val="20"/>
                          <w:szCs w:val="22"/>
                        </w:rPr>
                        <w:t>94</w:t>
                      </w:r>
                      <w:r>
                        <w:rPr>
                          <w:rFonts w:hint="eastAsia"/>
                          <w:sz w:val="20"/>
                          <w:szCs w:val="22"/>
                        </w:rPr>
                        <w:t>%</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3547110</wp:posOffset>
                </wp:positionH>
                <wp:positionV relativeFrom="paragraph">
                  <wp:posOffset>1380490</wp:posOffset>
                </wp:positionV>
                <wp:extent cx="1076325" cy="323850"/>
                <wp:effectExtent l="4445" t="4445" r="16510" b="6985"/>
                <wp:wrapNone/>
                <wp:docPr id="2" name="文本框 2"/>
                <wp:cNvGraphicFramePr/>
                <a:graphic xmlns:a="http://schemas.openxmlformats.org/drawingml/2006/main">
                  <a:graphicData uri="http://schemas.microsoft.com/office/word/2010/wordprocessingShape">
                    <wps:wsp>
                      <wps:cNvSpPr txBox="1"/>
                      <wps:spPr>
                        <a:xfrm>
                          <a:off x="3147060" y="2847340"/>
                          <a:ext cx="1076325" cy="3238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BA79180">
                            <w:r>
                              <w:rPr>
                                <w:rFonts w:hint="eastAsia" w:ascii="仿宋" w:hAnsi="仿宋" w:eastAsia="仿宋"/>
                                <w:b/>
                                <w:sz w:val="18"/>
                                <w:szCs w:val="18"/>
                              </w:rPr>
                              <w:t>教育支出</w:t>
                            </w:r>
                            <w:r>
                              <w:t>79.92</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9.3pt;margin-top:108.7pt;height:25.5pt;width:84.75pt;z-index:251660288;mso-width-relative:page;mso-height-relative:page;" fillcolor="#FFFFFF [3201]" filled="t" stroked="t" coordsize="21600,21600" o:gfxdata="UEsDBAoAAAAAAIdO4kAAAAAAAAAAAAAAAAAEAAAAZHJzL1BLAwQUAAAACACHTuJAOYjwotgAAAAL&#10;AQAADwAAAGRycy9kb3ducmV2LnhtbE2PwU7DMAyG70i8Q2Qkbixtt3VVaToJJCTEjdELt6zx2orE&#10;qZJsHW+POcHR9qff39/sr86KC4Y4eVKQrzIQSL03Ew0Kuo+XhwpETJqMtp5QwTdG2Le3N42ujV/o&#10;HS+HNAgOoVhrBWNKcy1l7Ed0Oq78jMS3kw9OJx7DIE3QC4c7K4ssK6XTE/GHUc/4PGL/dTg7Ba/l&#10;U/rEzryZdbH2Syf7cLJRqfu7PHsEkfCa/mD41Wd1aNnp6M9korAKttuqZFRBke82IJjYFVUO4sib&#10;stqAbBv5v0P7A1BLAwQUAAAACACHTuJAa+k5wGQCAADDBAAADgAAAGRycy9lMm9Eb2MueG1srVTB&#10;bhMxEL0j8Q+W73STTZqEKJsqtApCqmilgjg7Xm/WwvYY28lu+QD4A05cuPNd/Q7G3k0bWg49kIMz&#10;9ry8mXkzk8VZqxXZC+clmIIOTwaUCMOhlGZb0I8f1q9mlPjATMkUGFHQW+Hp2fLli0Vj5yKHGlQp&#10;HEES4+eNLWgdgp1nmee10MyfgBUGnRU4zQJe3TYrHWuQXassHwwmWQOutA648B5fLzon7Rndcwih&#10;qiQXF8B3WpjQsTqhWMCSfC2tp8uUbVUJHq6qyotAVEGx0pBODIL2Jp7ZcsHmW8dsLXmfAntOCo9q&#10;0kwaDHpPdcECIzsnn1BpyR14qMIJB511hSRFsIrh4JE2NzWzItWCUnt7L7r/f7T8/f7aEVkWNKfE&#10;MI0Nv/vx/e7n77tf30ge5WmsnyPqxiIutG+gxaE5vHt8jFW3ldPxG+sh6B8Nx9PBBCW+RdrZeDoa&#10;90KLNhAeCQbTySg/pYQjYpSPZqcJkD0wWefDWwGaRKOgDhuZ9GX7Sx8wK4QeIDGwByXLtVQqXdx2&#10;c64c2TNs+jp9YsL4k79gypCmoJMRxn5CEbnvKTaK8c9PGZBPGaSNAnVCRCu0m7ZXbQPlLYrmoJs6&#10;b/laIu8l8+GaORwzVAgXMVzhUSnAZKC3KKnBff3Xe8Rj99FLSYNjW1D/ZcecoES9MzgXr4djFJuE&#10;dBmfTnO8uGPP5thjdvocUKQhrrzlyYz4oA5m5UB/wn1dxajoYoZj7IKGg3keumXCfeditUognGzL&#10;wqW5sTxSR3ENrHYBKplaF2XqtOnVw9lO7en3MC7P8T2hHv57l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OYjwotgAAAALAQAADwAAAAAAAAABACAAAAAiAAAAZHJzL2Rvd25yZXYueG1sUEsBAhQA&#10;FAAAAAgAh07iQGvpOcBkAgAAwwQAAA4AAAAAAAAAAQAgAAAAJwEAAGRycy9lMm9Eb2MueG1sUEsF&#10;BgAAAAAGAAYAWQEAAP0FAAAAAA==&#10;">
                <v:fill on="t" focussize="0,0"/>
                <v:stroke weight="0.5pt" color="#000000 [3204]" joinstyle="round"/>
                <v:imagedata o:title=""/>
                <o:lock v:ext="edit" aspectratio="f"/>
                <v:textbox>
                  <w:txbxContent>
                    <w:p w14:paraId="5BA79180">
                      <w:r>
                        <w:rPr>
                          <w:rFonts w:hint="eastAsia" w:ascii="仿宋" w:hAnsi="仿宋" w:eastAsia="仿宋"/>
                          <w:b/>
                          <w:sz w:val="18"/>
                          <w:szCs w:val="18"/>
                        </w:rPr>
                        <w:t>教育支出</w:t>
                      </w:r>
                      <w:r>
                        <w:t>79.92</w:t>
                      </w:r>
                      <w:r>
                        <w:rPr>
                          <w:rFonts w:hint="eastAsia"/>
                        </w:rPr>
                        <w:t>%</w:t>
                      </w:r>
                    </w:p>
                  </w:txbxContent>
                </v:textbox>
              </v:shape>
            </w:pict>
          </mc:Fallback>
        </mc:AlternateContent>
      </w:r>
      <w:r>
        <w:rPr>
          <w:rFonts w:hint="eastAsia" w:eastAsiaTheme="minorEastAsia"/>
        </w:rPr>
        <w:drawing>
          <wp:inline distT="0" distB="0" distL="114300" distR="114300">
            <wp:extent cx="5092700" cy="3453765"/>
            <wp:effectExtent l="0" t="0" r="0" b="0"/>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17"/>
                    <a:stretch>
                      <a:fillRect/>
                    </a:stretch>
                  </pic:blipFill>
                  <pic:spPr>
                    <a:xfrm>
                      <a:off x="0" y="0"/>
                      <a:ext cx="5092700" cy="3453765"/>
                    </a:xfrm>
                    <a:prstGeom prst="rect">
                      <a:avLst/>
                    </a:prstGeom>
                  </pic:spPr>
                </pic:pic>
              </a:graphicData>
            </a:graphic>
          </wp:inline>
        </w:drawing>
      </w:r>
    </w:p>
    <w:p w14:paraId="258BC41C">
      <w:pPr>
        <w:spacing w:line="600" w:lineRule="exact"/>
        <w:ind w:firstLine="643" w:firstLineChars="200"/>
        <w:outlineLvl w:val="2"/>
        <w:rPr>
          <w:rFonts w:ascii="仿宋" w:hAnsi="仿宋" w:eastAsia="仿宋"/>
          <w:b/>
          <w:sz w:val="32"/>
          <w:szCs w:val="32"/>
        </w:rPr>
      </w:pPr>
      <w:bookmarkStart w:id="25" w:name="_Toc15377212"/>
      <w:r>
        <w:rPr>
          <w:rFonts w:hint="eastAsia" w:ascii="仿宋" w:hAnsi="仿宋" w:eastAsia="仿宋"/>
          <w:b/>
          <w:sz w:val="32"/>
          <w:szCs w:val="32"/>
        </w:rPr>
        <w:t>（三）一般公共预算财政拨款支出决算具体情况</w:t>
      </w:r>
      <w:bookmarkEnd w:id="25"/>
    </w:p>
    <w:p w14:paraId="1CB87E4B">
      <w:pPr>
        <w:spacing w:line="600" w:lineRule="exact"/>
        <w:ind w:firstLine="643" w:firstLineChars="200"/>
        <w:outlineLvl w:val="2"/>
        <w:rPr>
          <w:rFonts w:ascii="仿宋" w:hAnsi="仿宋" w:eastAsia="仿宋"/>
          <w:color w:val="000000" w:themeColor="text1"/>
          <w:sz w:val="32"/>
          <w:szCs w:val="32"/>
          <w14:textFill>
            <w14:solidFill>
              <w14:schemeClr w14:val="tx1"/>
            </w14:solidFill>
          </w14:textFill>
        </w:rPr>
      </w:pPr>
      <w:bookmarkStart w:id="26" w:name="_Toc15377213"/>
      <w:bookmarkStart w:id="27" w:name="_Toc15377444"/>
      <w:bookmarkStart w:id="28" w:name="_Toc15378460"/>
      <w:r>
        <w:rPr>
          <w:rFonts w:hint="eastAsia" w:ascii="仿宋" w:hAnsi="仿宋" w:eastAsia="仿宋"/>
          <w:b/>
          <w:sz w:val="32"/>
          <w:szCs w:val="32"/>
        </w:rPr>
        <w:t>2023年</w:t>
      </w:r>
      <w:r>
        <w:rPr>
          <w:rFonts w:hint="eastAsia" w:ascii="仿宋" w:hAnsi="仿宋" w:eastAsia="仿宋"/>
          <w:b/>
          <w:color w:val="000000" w:themeColor="text1"/>
          <w:sz w:val="32"/>
          <w:szCs w:val="32"/>
          <w14:textFill>
            <w14:solidFill>
              <w14:schemeClr w14:val="tx1"/>
            </w14:solidFill>
          </w14:textFill>
        </w:rPr>
        <w:t>一般公共预算支出决算数为</w:t>
      </w:r>
      <w:r>
        <w:rPr>
          <w:rFonts w:ascii="仿宋" w:hAnsi="仿宋" w:eastAsia="仿宋"/>
          <w:color w:val="000000" w:themeColor="text1"/>
          <w:sz w:val="32"/>
          <w:szCs w:val="32"/>
          <w14:textFill>
            <w14:solidFill>
              <w14:schemeClr w14:val="tx1"/>
            </w14:solidFill>
          </w14:textFill>
        </w:rPr>
        <w:t>705.24</w:t>
      </w:r>
      <w:r>
        <w:rPr>
          <w:rFonts w:hint="eastAsia" w:ascii="仿宋" w:hAnsi="仿宋" w:eastAsia="仿宋"/>
          <w:b/>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14:textFill>
            <w14:solidFill>
              <w14:schemeClr w14:val="tx1"/>
            </w14:solidFill>
          </w14:textFill>
        </w:rPr>
        <w:t>，</w:t>
      </w:r>
      <w:r>
        <w:rPr>
          <w:rStyle w:val="12"/>
          <w:rFonts w:hint="eastAsia" w:ascii="仿宋" w:hAnsi="仿宋" w:eastAsia="仿宋"/>
          <w:bCs/>
          <w:color w:val="000000" w:themeColor="text1"/>
          <w:sz w:val="32"/>
          <w:szCs w:val="32"/>
          <w14:textFill>
            <w14:solidFill>
              <w14:schemeClr w14:val="tx1"/>
            </w14:solidFill>
          </w14:textFill>
        </w:rPr>
        <w:t>完成预算100</w:t>
      </w:r>
      <w:r>
        <w:rPr>
          <w:rStyle w:val="12"/>
          <w:rFonts w:ascii="仿宋" w:hAnsi="仿宋" w:eastAsia="仿宋"/>
          <w:bCs/>
          <w:color w:val="000000" w:themeColor="text1"/>
          <w:sz w:val="32"/>
          <w:szCs w:val="32"/>
          <w14:textFill>
            <w14:solidFill>
              <w14:schemeClr w14:val="tx1"/>
            </w14:solidFill>
          </w14:textFill>
        </w:rPr>
        <w:t>%</w:t>
      </w:r>
      <w:r>
        <w:rPr>
          <w:rStyle w:val="12"/>
          <w:rFonts w:hint="eastAsia" w:ascii="仿宋" w:hAnsi="仿宋" w:eastAsia="仿宋"/>
          <w:bCs/>
          <w:color w:val="000000" w:themeColor="text1"/>
          <w:sz w:val="32"/>
          <w:szCs w:val="32"/>
          <w14:textFill>
            <w14:solidFill>
              <w14:schemeClr w14:val="tx1"/>
            </w14:solidFill>
          </w14:textFill>
        </w:rPr>
        <w:t>。其中：</w:t>
      </w:r>
      <w:bookmarkEnd w:id="26"/>
      <w:bookmarkEnd w:id="27"/>
      <w:bookmarkEnd w:id="28"/>
    </w:p>
    <w:p w14:paraId="4067BF79">
      <w:pPr>
        <w:spacing w:line="600" w:lineRule="exact"/>
        <w:ind w:firstLine="643" w:firstLineChars="200"/>
        <w:rPr>
          <w:rStyle w:val="12"/>
          <w:rFonts w:ascii="仿宋" w:hAnsi="仿宋" w:eastAsia="仿宋"/>
          <w:b w:val="0"/>
          <w:bCs/>
          <w:color w:val="000000" w:themeColor="text1"/>
          <w:sz w:val="32"/>
          <w:szCs w:val="32"/>
          <w14:textFill>
            <w14:solidFill>
              <w14:schemeClr w14:val="tx1"/>
            </w14:solidFill>
          </w14:textFill>
        </w:rPr>
      </w:pPr>
      <w:r>
        <w:rPr>
          <w:rStyle w:val="12"/>
          <w:rFonts w:hint="eastAsia" w:ascii="仿宋" w:hAnsi="仿宋" w:eastAsia="仿宋"/>
          <w:bCs/>
          <w:color w:val="000000" w:themeColor="text1"/>
          <w:sz w:val="32"/>
          <w:szCs w:val="32"/>
          <w14:textFill>
            <w14:solidFill>
              <w14:schemeClr w14:val="tx1"/>
            </w14:solidFill>
          </w14:textFill>
        </w:rPr>
        <w:t>1</w:t>
      </w:r>
      <w:r>
        <w:rPr>
          <w:rStyle w:val="12"/>
          <w:rFonts w:ascii="仿宋" w:hAnsi="仿宋" w:eastAsia="仿宋"/>
          <w:bCs/>
          <w:color w:val="000000" w:themeColor="text1"/>
          <w:sz w:val="32"/>
          <w:szCs w:val="32"/>
          <w14:textFill>
            <w14:solidFill>
              <w14:schemeClr w14:val="tx1"/>
            </w14:solidFill>
          </w14:textFill>
        </w:rPr>
        <w:t>.</w:t>
      </w:r>
      <w:r>
        <w:rPr>
          <w:rStyle w:val="12"/>
          <w:rFonts w:hint="eastAsia" w:ascii="仿宋" w:hAnsi="仿宋" w:eastAsia="仿宋"/>
          <w:bCs/>
          <w:color w:val="000000" w:themeColor="text1"/>
          <w:sz w:val="32"/>
          <w:szCs w:val="32"/>
          <w14:textFill>
            <w14:solidFill>
              <w14:schemeClr w14:val="tx1"/>
            </w14:solidFill>
          </w14:textFill>
        </w:rPr>
        <w:t>教育（类）普通教育（款）学前教育（项）</w:t>
      </w:r>
      <w:r>
        <w:rPr>
          <w:rStyle w:val="12"/>
          <w:rFonts w:ascii="仿宋" w:hAnsi="仿宋" w:eastAsia="仿宋"/>
          <w:bCs/>
          <w:color w:val="000000" w:themeColor="text1"/>
          <w:sz w:val="32"/>
          <w:szCs w:val="32"/>
          <w14:textFill>
            <w14:solidFill>
              <w14:schemeClr w14:val="tx1"/>
            </w14:solidFill>
          </w14:textFill>
        </w:rPr>
        <w:t>:</w:t>
      </w:r>
      <w:r>
        <w:rPr>
          <w:rStyle w:val="12"/>
          <w:rFonts w:ascii="仿宋" w:hAnsi="仿宋" w:eastAsia="仿宋"/>
          <w:b w:val="0"/>
          <w:bCs/>
          <w:color w:val="000000" w:themeColor="text1"/>
          <w:sz w:val="32"/>
          <w:szCs w:val="32"/>
          <w14:textFill>
            <w14:solidFill>
              <w14:schemeClr w14:val="tx1"/>
            </w14:solidFill>
          </w14:textFill>
        </w:rPr>
        <w:t xml:space="preserve"> </w:t>
      </w:r>
      <w:r>
        <w:rPr>
          <w:rStyle w:val="12"/>
          <w:rFonts w:hint="eastAsia" w:ascii="仿宋" w:hAnsi="仿宋" w:eastAsia="仿宋"/>
          <w:b w:val="0"/>
          <w:bCs/>
          <w:color w:val="000000" w:themeColor="text1"/>
          <w:sz w:val="32"/>
          <w:szCs w:val="32"/>
          <w14:textFill>
            <w14:solidFill>
              <w14:schemeClr w14:val="tx1"/>
            </w14:solidFill>
          </w14:textFill>
        </w:rPr>
        <w:t>支出决算为</w:t>
      </w:r>
      <w:r>
        <w:rPr>
          <w:rStyle w:val="12"/>
          <w:rFonts w:ascii="仿宋" w:hAnsi="仿宋" w:eastAsia="仿宋"/>
          <w:b w:val="0"/>
          <w:bCs/>
          <w:color w:val="000000" w:themeColor="text1"/>
          <w:sz w:val="32"/>
          <w:szCs w:val="32"/>
          <w14:textFill>
            <w14:solidFill>
              <w14:schemeClr w14:val="tx1"/>
            </w14:solidFill>
          </w14:textFill>
        </w:rPr>
        <w:t>71.85</w:t>
      </w:r>
      <w:r>
        <w:rPr>
          <w:rStyle w:val="12"/>
          <w:rFonts w:hint="eastAsia" w:ascii="仿宋" w:hAnsi="仿宋" w:eastAsia="仿宋"/>
          <w:b w:val="0"/>
          <w:bCs/>
          <w:color w:val="000000" w:themeColor="text1"/>
          <w:sz w:val="32"/>
          <w:szCs w:val="32"/>
          <w14:textFill>
            <w14:solidFill>
              <w14:schemeClr w14:val="tx1"/>
            </w14:solidFill>
          </w14:textFill>
        </w:rPr>
        <w:t>万元，完成预算100</w:t>
      </w:r>
      <w:r>
        <w:rPr>
          <w:rStyle w:val="12"/>
          <w:rFonts w:ascii="仿宋" w:hAnsi="仿宋" w:eastAsia="仿宋"/>
          <w:b w:val="0"/>
          <w:bCs/>
          <w:color w:val="000000" w:themeColor="text1"/>
          <w:sz w:val="32"/>
          <w:szCs w:val="32"/>
          <w14:textFill>
            <w14:solidFill>
              <w14:schemeClr w14:val="tx1"/>
            </w14:solidFill>
          </w14:textFill>
        </w:rPr>
        <w:t>%</w:t>
      </w:r>
      <w:r>
        <w:rPr>
          <w:rStyle w:val="12"/>
          <w:rFonts w:hint="eastAsia" w:ascii="仿宋" w:hAnsi="仿宋" w:eastAsia="仿宋"/>
          <w:b w:val="0"/>
          <w:bCs/>
          <w:color w:val="000000" w:themeColor="text1"/>
          <w:sz w:val="32"/>
          <w:szCs w:val="32"/>
          <w14:textFill>
            <w14:solidFill>
              <w14:schemeClr w14:val="tx1"/>
            </w14:solidFill>
          </w14:textFill>
        </w:rPr>
        <w:t>。</w:t>
      </w:r>
    </w:p>
    <w:p w14:paraId="6C1F8FC0">
      <w:pPr>
        <w:spacing w:line="600" w:lineRule="exact"/>
        <w:ind w:firstLine="643" w:firstLineChars="200"/>
        <w:rPr>
          <w:rStyle w:val="12"/>
          <w:rFonts w:ascii="仿宋" w:hAnsi="仿宋" w:eastAsia="仿宋"/>
          <w:b w:val="0"/>
          <w:bCs/>
          <w:sz w:val="32"/>
          <w:szCs w:val="32"/>
        </w:rPr>
      </w:pPr>
      <w:r>
        <w:rPr>
          <w:rStyle w:val="12"/>
          <w:rFonts w:hint="eastAsia" w:ascii="仿宋" w:hAnsi="仿宋" w:eastAsia="仿宋"/>
          <w:bCs/>
          <w:sz w:val="32"/>
          <w:szCs w:val="32"/>
        </w:rPr>
        <w:t>2</w:t>
      </w:r>
      <w:r>
        <w:rPr>
          <w:rStyle w:val="12"/>
          <w:rFonts w:ascii="仿宋" w:hAnsi="仿宋" w:eastAsia="仿宋"/>
          <w:bCs/>
          <w:sz w:val="32"/>
          <w:szCs w:val="32"/>
        </w:rPr>
        <w:t>.</w:t>
      </w:r>
      <w:r>
        <w:rPr>
          <w:rStyle w:val="12"/>
          <w:rFonts w:hint="eastAsia" w:ascii="仿宋" w:hAnsi="仿宋" w:eastAsia="仿宋"/>
          <w:bCs/>
          <w:sz w:val="32"/>
          <w:szCs w:val="32"/>
        </w:rPr>
        <w:t>教育（类）普通教育（款）小学教育（项）</w:t>
      </w:r>
      <w:r>
        <w:rPr>
          <w:rStyle w:val="12"/>
          <w:rFonts w:ascii="仿宋" w:hAnsi="仿宋" w:eastAsia="仿宋"/>
          <w:bCs/>
          <w:sz w:val="32"/>
          <w:szCs w:val="32"/>
        </w:rPr>
        <w:t>:</w:t>
      </w:r>
      <w:r>
        <w:rPr>
          <w:rStyle w:val="12"/>
          <w:rFonts w:ascii="仿宋" w:hAnsi="仿宋" w:eastAsia="仿宋"/>
          <w:b w:val="0"/>
          <w:bCs/>
          <w:sz w:val="32"/>
          <w:szCs w:val="32"/>
        </w:rPr>
        <w:t xml:space="preserve"> </w:t>
      </w:r>
      <w:r>
        <w:rPr>
          <w:rStyle w:val="12"/>
          <w:rFonts w:hint="eastAsia" w:ascii="仿宋" w:hAnsi="仿宋" w:eastAsia="仿宋"/>
          <w:b w:val="0"/>
          <w:bCs/>
          <w:sz w:val="32"/>
          <w:szCs w:val="32"/>
        </w:rPr>
        <w:t>支出决算为</w:t>
      </w:r>
      <w:r>
        <w:rPr>
          <w:rStyle w:val="12"/>
          <w:rFonts w:ascii="仿宋" w:hAnsi="仿宋" w:eastAsia="仿宋"/>
          <w:b w:val="0"/>
          <w:bCs/>
          <w:sz w:val="32"/>
          <w:szCs w:val="32"/>
        </w:rPr>
        <w:t>522.70</w:t>
      </w:r>
      <w:r>
        <w:rPr>
          <w:rStyle w:val="12"/>
          <w:rFonts w:hint="eastAsia" w:ascii="仿宋" w:hAnsi="仿宋" w:eastAsia="仿宋"/>
          <w:b w:val="0"/>
          <w:bCs/>
          <w:sz w:val="32"/>
          <w:szCs w:val="32"/>
        </w:rPr>
        <w:t>万元，完成预算100</w:t>
      </w:r>
      <w:r>
        <w:rPr>
          <w:rStyle w:val="12"/>
          <w:rFonts w:ascii="仿宋" w:hAnsi="仿宋" w:eastAsia="仿宋"/>
          <w:b w:val="0"/>
          <w:bCs/>
          <w:sz w:val="32"/>
          <w:szCs w:val="32"/>
        </w:rPr>
        <w:t>%</w:t>
      </w:r>
      <w:r>
        <w:rPr>
          <w:rStyle w:val="12"/>
          <w:rFonts w:hint="eastAsia" w:ascii="仿宋" w:hAnsi="仿宋" w:eastAsia="仿宋"/>
          <w:b w:val="0"/>
          <w:bCs/>
          <w:sz w:val="32"/>
          <w:szCs w:val="32"/>
        </w:rPr>
        <w:t>。</w:t>
      </w:r>
    </w:p>
    <w:p w14:paraId="6287F539">
      <w:pPr>
        <w:spacing w:line="600" w:lineRule="exact"/>
        <w:ind w:firstLine="643" w:firstLineChars="200"/>
      </w:pPr>
      <w:r>
        <w:rPr>
          <w:rStyle w:val="12"/>
          <w:rFonts w:hint="eastAsia" w:ascii="仿宋" w:hAnsi="仿宋" w:eastAsia="仿宋"/>
          <w:bCs/>
          <w:sz w:val="32"/>
          <w:szCs w:val="32"/>
        </w:rPr>
        <w:t>3</w:t>
      </w:r>
      <w:r>
        <w:rPr>
          <w:rStyle w:val="12"/>
          <w:rFonts w:ascii="仿宋" w:hAnsi="仿宋" w:eastAsia="仿宋"/>
          <w:bCs/>
          <w:sz w:val="32"/>
          <w:szCs w:val="32"/>
        </w:rPr>
        <w:t>.</w:t>
      </w:r>
      <w:r>
        <w:rPr>
          <w:rStyle w:val="12"/>
          <w:rFonts w:hint="eastAsia" w:ascii="仿宋" w:hAnsi="仿宋" w:eastAsia="仿宋"/>
          <w:bCs/>
          <w:sz w:val="32"/>
          <w:szCs w:val="32"/>
        </w:rPr>
        <w:t>教育（类）普通教育（款）其他普通教育（项）</w:t>
      </w:r>
      <w:r>
        <w:rPr>
          <w:rStyle w:val="12"/>
          <w:rFonts w:ascii="仿宋" w:hAnsi="仿宋" w:eastAsia="仿宋"/>
          <w:bCs/>
          <w:sz w:val="32"/>
          <w:szCs w:val="32"/>
        </w:rPr>
        <w:t>:</w:t>
      </w:r>
      <w:r>
        <w:rPr>
          <w:rStyle w:val="12"/>
          <w:rFonts w:ascii="仿宋" w:hAnsi="仿宋" w:eastAsia="仿宋"/>
          <w:b w:val="0"/>
          <w:bCs/>
          <w:sz w:val="32"/>
          <w:szCs w:val="32"/>
        </w:rPr>
        <w:t xml:space="preserve"> </w:t>
      </w:r>
      <w:r>
        <w:rPr>
          <w:rStyle w:val="12"/>
          <w:rFonts w:hint="eastAsia" w:ascii="仿宋" w:hAnsi="仿宋" w:eastAsia="仿宋"/>
          <w:b w:val="0"/>
          <w:bCs/>
          <w:sz w:val="32"/>
          <w:szCs w:val="32"/>
        </w:rPr>
        <w:t>支出决算为</w:t>
      </w:r>
      <w:r>
        <w:rPr>
          <w:rStyle w:val="12"/>
          <w:rFonts w:ascii="仿宋" w:hAnsi="仿宋" w:eastAsia="仿宋"/>
          <w:b w:val="0"/>
          <w:bCs/>
          <w:sz w:val="32"/>
          <w:szCs w:val="32"/>
        </w:rPr>
        <w:t>0.00</w:t>
      </w:r>
      <w:r>
        <w:rPr>
          <w:rStyle w:val="12"/>
          <w:rFonts w:hint="eastAsia" w:ascii="仿宋" w:hAnsi="仿宋" w:eastAsia="仿宋"/>
          <w:b w:val="0"/>
          <w:bCs/>
          <w:sz w:val="32"/>
          <w:szCs w:val="32"/>
        </w:rPr>
        <w:t>万元，完成预算100</w:t>
      </w:r>
      <w:r>
        <w:rPr>
          <w:rStyle w:val="12"/>
          <w:rFonts w:ascii="仿宋" w:hAnsi="仿宋" w:eastAsia="仿宋"/>
          <w:b w:val="0"/>
          <w:bCs/>
          <w:sz w:val="32"/>
          <w:szCs w:val="32"/>
        </w:rPr>
        <w:t>%</w:t>
      </w:r>
      <w:r>
        <w:rPr>
          <w:rStyle w:val="12"/>
          <w:rFonts w:hint="eastAsia" w:ascii="仿宋" w:hAnsi="仿宋" w:eastAsia="仿宋"/>
          <w:b w:val="0"/>
          <w:bCs/>
          <w:sz w:val="32"/>
          <w:szCs w:val="32"/>
        </w:rPr>
        <w:t>。</w:t>
      </w:r>
    </w:p>
    <w:p w14:paraId="1C10C9C2">
      <w:pPr>
        <w:spacing w:line="600" w:lineRule="exact"/>
        <w:ind w:firstLine="643" w:firstLineChars="200"/>
        <w:rPr>
          <w:rFonts w:ascii="仿宋" w:hAnsi="仿宋" w:eastAsia="仿宋"/>
          <w:b/>
          <w:sz w:val="32"/>
          <w:szCs w:val="32"/>
        </w:rPr>
      </w:pPr>
      <w:r>
        <w:rPr>
          <w:rStyle w:val="12"/>
          <w:rFonts w:hint="eastAsia" w:ascii="仿宋" w:hAnsi="仿宋" w:eastAsia="仿宋"/>
          <w:bCs/>
          <w:sz w:val="32"/>
          <w:szCs w:val="32"/>
        </w:rPr>
        <w:t>4</w:t>
      </w:r>
      <w:r>
        <w:rPr>
          <w:rStyle w:val="12"/>
          <w:rFonts w:ascii="仿宋" w:hAnsi="仿宋" w:eastAsia="仿宋"/>
          <w:bCs/>
          <w:sz w:val="32"/>
          <w:szCs w:val="32"/>
        </w:rPr>
        <w:t>.</w:t>
      </w:r>
      <w:r>
        <w:rPr>
          <w:rStyle w:val="12"/>
          <w:rFonts w:hint="eastAsia" w:ascii="仿宋" w:hAnsi="仿宋" w:eastAsia="仿宋"/>
          <w:bCs/>
          <w:sz w:val="32"/>
          <w:szCs w:val="32"/>
        </w:rPr>
        <w:t>社会保障和就业（类）行政事业单位养老（款）机关事业单位基本养老保险缴费（项）</w:t>
      </w:r>
      <w:r>
        <w:rPr>
          <w:rStyle w:val="12"/>
          <w:rFonts w:ascii="仿宋" w:hAnsi="仿宋" w:eastAsia="仿宋"/>
          <w:bCs/>
          <w:sz w:val="32"/>
          <w:szCs w:val="32"/>
        </w:rPr>
        <w:t>:</w:t>
      </w:r>
      <w:r>
        <w:rPr>
          <w:rStyle w:val="12"/>
          <w:rFonts w:ascii="仿宋" w:hAnsi="仿宋" w:eastAsia="仿宋"/>
          <w:b w:val="0"/>
          <w:bCs/>
          <w:sz w:val="32"/>
          <w:szCs w:val="32"/>
        </w:rPr>
        <w:t xml:space="preserve"> </w:t>
      </w:r>
      <w:r>
        <w:rPr>
          <w:rStyle w:val="12"/>
          <w:rFonts w:hint="eastAsia" w:ascii="仿宋" w:hAnsi="仿宋" w:eastAsia="仿宋"/>
          <w:b w:val="0"/>
          <w:bCs/>
          <w:sz w:val="32"/>
          <w:szCs w:val="32"/>
        </w:rPr>
        <w:t>支出决算为</w:t>
      </w:r>
      <w:r>
        <w:rPr>
          <w:rStyle w:val="12"/>
          <w:rFonts w:ascii="仿宋" w:hAnsi="仿宋" w:eastAsia="仿宋"/>
          <w:b w:val="0"/>
          <w:bCs/>
          <w:sz w:val="32"/>
          <w:szCs w:val="32"/>
        </w:rPr>
        <w:t>77.16</w:t>
      </w:r>
      <w:r>
        <w:rPr>
          <w:rStyle w:val="12"/>
          <w:rFonts w:hint="eastAsia" w:ascii="仿宋" w:hAnsi="仿宋" w:eastAsia="仿宋"/>
          <w:b w:val="0"/>
          <w:bCs/>
          <w:sz w:val="32"/>
          <w:szCs w:val="32"/>
        </w:rPr>
        <w:t>万元，完成预算100</w:t>
      </w:r>
      <w:r>
        <w:rPr>
          <w:rStyle w:val="12"/>
          <w:rFonts w:ascii="仿宋" w:hAnsi="仿宋" w:eastAsia="仿宋"/>
          <w:b w:val="0"/>
          <w:bCs/>
          <w:sz w:val="32"/>
          <w:szCs w:val="32"/>
        </w:rPr>
        <w:t>%</w:t>
      </w:r>
      <w:r>
        <w:rPr>
          <w:rStyle w:val="12"/>
          <w:rFonts w:hint="eastAsia" w:ascii="仿宋" w:hAnsi="仿宋" w:eastAsia="仿宋"/>
          <w:b w:val="0"/>
          <w:bCs/>
          <w:sz w:val="32"/>
          <w:szCs w:val="32"/>
        </w:rPr>
        <w:t>。</w:t>
      </w:r>
    </w:p>
    <w:p w14:paraId="4DC40E11">
      <w:pPr>
        <w:spacing w:line="600" w:lineRule="exact"/>
        <w:ind w:firstLine="643" w:firstLineChars="200"/>
      </w:pPr>
      <w:r>
        <w:rPr>
          <w:rStyle w:val="12"/>
          <w:rFonts w:hint="eastAsia" w:ascii="仿宋" w:hAnsi="仿宋" w:eastAsia="仿宋"/>
          <w:bCs/>
          <w:sz w:val="32"/>
          <w:szCs w:val="32"/>
        </w:rPr>
        <w:t>5</w:t>
      </w:r>
      <w:r>
        <w:rPr>
          <w:rStyle w:val="12"/>
          <w:rFonts w:ascii="仿宋" w:hAnsi="仿宋" w:eastAsia="仿宋"/>
          <w:bCs/>
          <w:sz w:val="32"/>
          <w:szCs w:val="32"/>
        </w:rPr>
        <w:t>.</w:t>
      </w:r>
      <w:r>
        <w:rPr>
          <w:rFonts w:hint="eastAsia" w:ascii="仿宋" w:hAnsi="仿宋" w:eastAsia="仿宋"/>
          <w:b/>
          <w:bCs/>
          <w:sz w:val="32"/>
          <w:szCs w:val="32"/>
        </w:rPr>
        <w:t>住房保障</w:t>
      </w:r>
      <w:r>
        <w:rPr>
          <w:rStyle w:val="12"/>
          <w:rFonts w:hint="eastAsia" w:ascii="仿宋" w:hAnsi="仿宋" w:eastAsia="仿宋"/>
          <w:bCs/>
          <w:sz w:val="32"/>
          <w:szCs w:val="32"/>
        </w:rPr>
        <w:t>（类）住房改革（款）住房公积金（项）</w:t>
      </w:r>
      <w:r>
        <w:rPr>
          <w:rStyle w:val="12"/>
          <w:rFonts w:ascii="仿宋" w:hAnsi="仿宋" w:eastAsia="仿宋"/>
          <w:bCs/>
          <w:sz w:val="32"/>
          <w:szCs w:val="32"/>
        </w:rPr>
        <w:t>:</w:t>
      </w:r>
      <w:r>
        <w:rPr>
          <w:rStyle w:val="12"/>
          <w:rFonts w:hint="eastAsia" w:ascii="仿宋" w:hAnsi="仿宋" w:eastAsia="仿宋"/>
          <w:b w:val="0"/>
          <w:bCs/>
          <w:sz w:val="32"/>
          <w:szCs w:val="32"/>
        </w:rPr>
        <w:t>支出决算为</w:t>
      </w:r>
      <w:r>
        <w:rPr>
          <w:rStyle w:val="12"/>
          <w:rFonts w:ascii="仿宋" w:hAnsi="仿宋" w:eastAsia="仿宋"/>
          <w:b w:val="0"/>
          <w:bCs/>
          <w:sz w:val="32"/>
          <w:szCs w:val="32"/>
        </w:rPr>
        <w:t>40.8</w:t>
      </w:r>
      <w:r>
        <w:rPr>
          <w:rStyle w:val="12"/>
          <w:rFonts w:hint="eastAsia" w:ascii="仿宋" w:hAnsi="仿宋" w:eastAsia="仿宋"/>
          <w:b w:val="0"/>
          <w:bCs/>
          <w:sz w:val="32"/>
          <w:szCs w:val="32"/>
        </w:rPr>
        <w:t>万元，完成预算100</w:t>
      </w:r>
      <w:r>
        <w:rPr>
          <w:rStyle w:val="12"/>
          <w:rFonts w:ascii="仿宋" w:hAnsi="仿宋" w:eastAsia="仿宋"/>
          <w:b w:val="0"/>
          <w:bCs/>
          <w:sz w:val="32"/>
          <w:szCs w:val="32"/>
        </w:rPr>
        <w:t>%</w:t>
      </w:r>
      <w:r>
        <w:rPr>
          <w:rStyle w:val="12"/>
          <w:rFonts w:hint="eastAsia" w:ascii="仿宋" w:hAnsi="仿宋" w:eastAsia="仿宋"/>
          <w:b w:val="0"/>
          <w:bCs/>
          <w:sz w:val="32"/>
          <w:szCs w:val="32"/>
        </w:rPr>
        <w:t>。</w:t>
      </w:r>
    </w:p>
    <w:p w14:paraId="59747658">
      <w:pPr>
        <w:spacing w:line="600" w:lineRule="exact"/>
        <w:ind w:firstLine="643" w:firstLineChars="200"/>
      </w:pPr>
      <w:r>
        <w:rPr>
          <w:rStyle w:val="12"/>
          <w:rFonts w:ascii="仿宋" w:hAnsi="仿宋" w:eastAsia="仿宋"/>
          <w:bCs/>
          <w:sz w:val="32"/>
          <w:szCs w:val="32"/>
        </w:rPr>
        <w:t>6.</w:t>
      </w:r>
      <w:r>
        <w:rPr>
          <w:rFonts w:hint="eastAsia" w:ascii="仿宋" w:hAnsi="仿宋" w:eastAsia="仿宋"/>
          <w:b/>
          <w:bCs/>
          <w:sz w:val="32"/>
          <w:szCs w:val="32"/>
        </w:rPr>
        <w:t>卫生健康</w:t>
      </w:r>
      <w:r>
        <w:rPr>
          <w:rStyle w:val="12"/>
          <w:rFonts w:hint="eastAsia" w:ascii="仿宋" w:hAnsi="仿宋" w:eastAsia="仿宋"/>
          <w:bCs/>
          <w:sz w:val="32"/>
          <w:szCs w:val="32"/>
        </w:rPr>
        <w:t>（类）行政事业单位医疗（款）事业单位医疗（项）：</w:t>
      </w:r>
      <w:r>
        <w:rPr>
          <w:rStyle w:val="12"/>
          <w:rFonts w:hint="eastAsia" w:ascii="仿宋" w:hAnsi="仿宋" w:eastAsia="仿宋"/>
          <w:b w:val="0"/>
          <w:bCs/>
          <w:sz w:val="32"/>
          <w:szCs w:val="32"/>
        </w:rPr>
        <w:t>支出决算为</w:t>
      </w:r>
      <w:r>
        <w:rPr>
          <w:rStyle w:val="12"/>
          <w:rFonts w:ascii="仿宋" w:hAnsi="仿宋" w:eastAsia="仿宋"/>
          <w:b w:val="0"/>
          <w:bCs/>
          <w:sz w:val="32"/>
          <w:szCs w:val="32"/>
        </w:rPr>
        <w:t>23.64</w:t>
      </w:r>
      <w:r>
        <w:rPr>
          <w:rStyle w:val="12"/>
          <w:rFonts w:hint="eastAsia" w:ascii="仿宋" w:hAnsi="仿宋" w:eastAsia="仿宋"/>
          <w:b w:val="0"/>
          <w:bCs/>
          <w:sz w:val="32"/>
          <w:szCs w:val="32"/>
        </w:rPr>
        <w:t>万元，完成预算100</w:t>
      </w:r>
      <w:r>
        <w:rPr>
          <w:rStyle w:val="12"/>
          <w:rFonts w:ascii="仿宋" w:hAnsi="仿宋" w:eastAsia="仿宋"/>
          <w:b w:val="0"/>
          <w:bCs/>
          <w:sz w:val="32"/>
          <w:szCs w:val="32"/>
        </w:rPr>
        <w:t>%</w:t>
      </w:r>
      <w:r>
        <w:rPr>
          <w:rStyle w:val="12"/>
          <w:rFonts w:hint="eastAsia" w:ascii="仿宋" w:hAnsi="仿宋" w:eastAsia="仿宋"/>
          <w:b w:val="0"/>
          <w:bCs/>
          <w:sz w:val="32"/>
          <w:szCs w:val="32"/>
        </w:rPr>
        <w:t>。</w:t>
      </w:r>
    </w:p>
    <w:p w14:paraId="6B693FE5">
      <w:pPr>
        <w:tabs>
          <w:tab w:val="right" w:pos="8306"/>
        </w:tabs>
        <w:spacing w:line="600" w:lineRule="exact"/>
        <w:ind w:firstLine="640"/>
        <w:outlineLvl w:val="1"/>
        <w:rPr>
          <w:rStyle w:val="14"/>
        </w:rPr>
      </w:pPr>
      <w:bookmarkStart w:id="29" w:name="_Toc15396608"/>
      <w:bookmarkStart w:id="30"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14"/>
          <w:rFonts w:hint="eastAsia" w:ascii="黑体" w:hAnsi="黑体" w:eastAsia="黑体"/>
          <w:b w:val="0"/>
        </w:rPr>
        <w:t>般公共预算财政拨款基本支出决算情况说明</w:t>
      </w:r>
      <w:bookmarkEnd w:id="29"/>
      <w:bookmarkEnd w:id="30"/>
      <w:r>
        <w:rPr>
          <w:rStyle w:val="14"/>
          <w:rFonts w:ascii="黑体" w:hAnsi="黑体" w:eastAsia="黑体"/>
          <w:b w:val="0"/>
        </w:rPr>
        <w:tab/>
      </w:r>
    </w:p>
    <w:p w14:paraId="014E732C">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23年一般公共预算财政拨款基本支出6</w:t>
      </w:r>
      <w:r>
        <w:rPr>
          <w:rFonts w:ascii="仿宋" w:hAnsi="仿宋" w:eastAsia="仿宋"/>
          <w:sz w:val="32"/>
          <w:szCs w:val="32"/>
        </w:rPr>
        <w:t>73.96</w:t>
      </w:r>
      <w:r>
        <w:rPr>
          <w:rFonts w:hint="eastAsia" w:ascii="仿宋" w:hAnsi="仿宋" w:eastAsia="仿宋"/>
          <w:sz w:val="32"/>
          <w:szCs w:val="32"/>
        </w:rPr>
        <w:t>万元，其中：</w:t>
      </w:r>
    </w:p>
    <w:p w14:paraId="1AC7A86B">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sz w:val="32"/>
          <w:szCs w:val="32"/>
        </w:rPr>
        <w:t>479.70</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sz w:val="32"/>
          <w:szCs w:val="32"/>
        </w:rPr>
        <w:t>121.36</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687FB4EF">
      <w:pPr>
        <w:spacing w:line="600" w:lineRule="exact"/>
        <w:ind w:firstLine="645"/>
        <w:rPr>
          <w:rFonts w:ascii="仿宋" w:hAnsi="仿宋" w:eastAsia="仿宋"/>
          <w:sz w:val="32"/>
          <w:szCs w:val="32"/>
        </w:rPr>
      </w:pPr>
      <w:r>
        <w:rPr>
          <w:rFonts w:hint="eastAsia" w:ascii="仿宋" w:hAnsi="仿宋" w:eastAsia="仿宋"/>
          <w:sz w:val="32"/>
          <w:szCs w:val="32"/>
        </w:rPr>
        <w:t>对个人和家庭的补助经费</w:t>
      </w:r>
      <w:r>
        <w:rPr>
          <w:rFonts w:ascii="仿宋" w:hAnsi="仿宋" w:eastAsia="仿宋"/>
          <w:sz w:val="32"/>
          <w:szCs w:val="32"/>
        </w:rPr>
        <w:t>71.11</w:t>
      </w:r>
      <w:r>
        <w:rPr>
          <w:rFonts w:hint="eastAsia" w:ascii="仿宋" w:hAnsi="仿宋" w:eastAsia="仿宋"/>
          <w:sz w:val="32"/>
          <w:szCs w:val="32"/>
        </w:rPr>
        <w:t>万元，主要包括：离休费、退休费、退职（役）费、抚恤金、生活补助、救济费、医疗费补助、助学金、奖励金、代缴社会保险费、其他个人和家庭的补助支出等。</w:t>
      </w:r>
    </w:p>
    <w:p w14:paraId="6B873D73">
      <w:pPr>
        <w:spacing w:line="600" w:lineRule="exact"/>
        <w:ind w:firstLine="645"/>
        <w:rPr>
          <w:rFonts w:ascii="仿宋" w:hAnsi="仿宋" w:eastAsia="仿宋"/>
          <w:sz w:val="32"/>
          <w:szCs w:val="32"/>
        </w:rPr>
      </w:pPr>
      <w:r>
        <w:rPr>
          <w:rFonts w:hint="eastAsia" w:ascii="仿宋" w:hAnsi="仿宋" w:eastAsia="仿宋"/>
          <w:sz w:val="32"/>
          <w:szCs w:val="32"/>
        </w:rPr>
        <w:t>公设备购置1</w:t>
      </w:r>
      <w:r>
        <w:rPr>
          <w:rFonts w:ascii="仿宋" w:hAnsi="仿宋" w:eastAsia="仿宋"/>
          <w:sz w:val="32"/>
          <w:szCs w:val="32"/>
        </w:rPr>
        <w:t>.79</w:t>
      </w:r>
      <w:r>
        <w:rPr>
          <w:rFonts w:hint="eastAsia" w:ascii="仿宋" w:hAnsi="仿宋" w:eastAsia="仿宋"/>
          <w:sz w:val="32"/>
          <w:szCs w:val="32"/>
        </w:rPr>
        <w:t>万元，主要包括：办公设备购置、专用设备购置、基础设施建设、信息网络及软件购置更新支出等。</w:t>
      </w:r>
    </w:p>
    <w:p w14:paraId="37373D4F">
      <w:pPr>
        <w:spacing w:line="600" w:lineRule="exact"/>
        <w:ind w:firstLine="640"/>
        <w:outlineLvl w:val="1"/>
        <w:rPr>
          <w:rStyle w:val="14"/>
          <w:rFonts w:ascii="黑体" w:hAnsi="黑体" w:eastAsia="黑体"/>
          <w:b w:val="0"/>
        </w:rPr>
      </w:pPr>
      <w:bookmarkStart w:id="31" w:name="_Toc15396609"/>
      <w:bookmarkStart w:id="32" w:name="_Toc15377215"/>
      <w:r>
        <w:rPr>
          <w:rFonts w:hint="eastAsia" w:ascii="黑体" w:eastAsia="黑体"/>
          <w:sz w:val="32"/>
          <w:szCs w:val="32"/>
        </w:rPr>
        <w:t>七、</w:t>
      </w:r>
      <w:r>
        <w:rPr>
          <w:rStyle w:val="14"/>
          <w:rFonts w:hint="eastAsia" w:ascii="黑体" w:hAnsi="黑体" w:eastAsia="黑体"/>
          <w:b w:val="0"/>
        </w:rPr>
        <w:t>财政拨款</w:t>
      </w:r>
      <w:r>
        <w:rPr>
          <w:rStyle w:val="14"/>
          <w:rFonts w:hint="eastAsia" w:ascii="黑体" w:hAnsi="黑体" w:eastAsia="黑体"/>
        </w:rPr>
        <w:t>“</w:t>
      </w:r>
      <w:r>
        <w:rPr>
          <w:rStyle w:val="14"/>
          <w:rFonts w:hint="eastAsia" w:ascii="黑体" w:hAnsi="黑体" w:eastAsia="黑体"/>
          <w:b w:val="0"/>
        </w:rPr>
        <w:t>三公”经费支出决算情况说明</w:t>
      </w:r>
      <w:bookmarkEnd w:id="31"/>
      <w:bookmarkEnd w:id="32"/>
    </w:p>
    <w:p w14:paraId="449C8F8E">
      <w:pPr>
        <w:spacing w:line="600" w:lineRule="exact"/>
        <w:ind w:firstLine="640"/>
        <w:outlineLvl w:val="2"/>
        <w:rPr>
          <w:rFonts w:ascii="仿宋" w:hAnsi="仿宋" w:eastAsia="仿宋"/>
          <w:b/>
          <w:sz w:val="32"/>
          <w:szCs w:val="32"/>
        </w:rPr>
      </w:pPr>
      <w:bookmarkStart w:id="33" w:name="_Toc15377216"/>
      <w:r>
        <w:rPr>
          <w:rFonts w:hint="eastAsia" w:ascii="仿宋" w:hAnsi="仿宋" w:eastAsia="仿宋"/>
          <w:b/>
          <w:sz w:val="32"/>
          <w:szCs w:val="32"/>
        </w:rPr>
        <w:t>（一）“三公”经费财政拨款支出决算总体情况说明</w:t>
      </w:r>
      <w:bookmarkEnd w:id="33"/>
    </w:p>
    <w:p w14:paraId="6AF16FB2">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23年“三公”经费财政拨款支出决算为0万元，完成预算0</w:t>
      </w:r>
      <w:r>
        <w:rPr>
          <w:rFonts w:ascii="仿宋" w:hAnsi="仿宋" w:eastAsia="仿宋"/>
          <w:sz w:val="32"/>
          <w:szCs w:val="32"/>
        </w:rPr>
        <w:t>%</w:t>
      </w:r>
      <w:r>
        <w:rPr>
          <w:rFonts w:hint="eastAsia" w:ascii="仿宋" w:hAnsi="仿宋" w:eastAsia="仿宋"/>
          <w:sz w:val="32"/>
          <w:szCs w:val="32"/>
        </w:rPr>
        <w:t>，较上年增加/减少0万元，增长/下降0%。。</w:t>
      </w:r>
    </w:p>
    <w:p w14:paraId="60C4CFBA">
      <w:pPr>
        <w:spacing w:line="600" w:lineRule="exact"/>
        <w:ind w:firstLine="640"/>
        <w:outlineLvl w:val="2"/>
        <w:rPr>
          <w:rFonts w:ascii="仿宋" w:hAnsi="仿宋" w:eastAsia="仿宋"/>
          <w:b/>
          <w:sz w:val="32"/>
          <w:szCs w:val="32"/>
        </w:rPr>
      </w:pPr>
      <w:bookmarkStart w:id="34" w:name="_Toc15377217"/>
      <w:r>
        <w:rPr>
          <w:rFonts w:hint="eastAsia" w:ascii="仿宋" w:hAnsi="仿宋" w:eastAsia="仿宋"/>
          <w:b/>
          <w:sz w:val="32"/>
          <w:szCs w:val="32"/>
        </w:rPr>
        <w:t>（二）“三公”经费财政拨款支出决算具体情况说明</w:t>
      </w:r>
      <w:bookmarkEnd w:id="34"/>
    </w:p>
    <w:p w14:paraId="4D1823C0">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。具体情况如下：</w:t>
      </w:r>
    </w:p>
    <w:p w14:paraId="41E267D1">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2"/>
          <w:rFonts w:hint="eastAsia" w:ascii="仿宋" w:hAnsi="仿宋" w:eastAsia="仿宋"/>
          <w:b w:val="0"/>
          <w:bCs/>
          <w:sz w:val="32"/>
          <w:szCs w:val="32"/>
        </w:rPr>
        <w:t>完成预算0</w:t>
      </w:r>
      <w:r>
        <w:rPr>
          <w:rStyle w:val="12"/>
          <w:rFonts w:ascii="仿宋" w:hAnsi="仿宋" w:eastAsia="仿宋"/>
          <w:b w:val="0"/>
          <w:bCs/>
          <w:sz w:val="32"/>
          <w:szCs w:val="32"/>
        </w:rPr>
        <w:t>%</w:t>
      </w:r>
      <w:r>
        <w:rPr>
          <w:rStyle w:val="12"/>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w:t>
      </w:r>
      <w:r>
        <w:rPr>
          <w:rFonts w:ascii="仿宋_GB2312" w:eastAsia="仿宋_GB2312"/>
          <w:sz w:val="32"/>
          <w:szCs w:val="32"/>
        </w:rPr>
        <w:t>20</w:t>
      </w:r>
      <w:r>
        <w:rPr>
          <w:rFonts w:hint="eastAsia" w:ascii="仿宋_GB2312" w:eastAsia="仿宋_GB2312"/>
          <w:sz w:val="32"/>
          <w:szCs w:val="32"/>
        </w:rPr>
        <w:t>22年增加</w:t>
      </w:r>
      <w:r>
        <w:rPr>
          <w:rFonts w:ascii="仿宋_GB2312" w:eastAsia="仿宋_GB2312"/>
          <w:sz w:val="32"/>
          <w:szCs w:val="32"/>
        </w:rPr>
        <w:t>/</w:t>
      </w:r>
      <w:r>
        <w:rPr>
          <w:rFonts w:hint="eastAsia" w:ascii="仿宋_GB2312" w:eastAsia="仿宋_GB2312"/>
          <w:sz w:val="32"/>
          <w:szCs w:val="32"/>
        </w:rPr>
        <w:t>减少0万元，增长</w:t>
      </w:r>
      <w:r>
        <w:rPr>
          <w:rFonts w:ascii="仿宋_GB2312" w:eastAsia="仿宋_GB2312"/>
          <w:sz w:val="32"/>
          <w:szCs w:val="32"/>
        </w:rPr>
        <w:t>/</w:t>
      </w:r>
      <w:r>
        <w:rPr>
          <w:rFonts w:hint="eastAsia" w:ascii="仿宋_GB2312" w:eastAsia="仿宋_GB2312"/>
          <w:sz w:val="32"/>
          <w:szCs w:val="32"/>
        </w:rPr>
        <w:t>下降0</w:t>
      </w:r>
      <w:r>
        <w:rPr>
          <w:rFonts w:ascii="仿宋_GB2312" w:eastAsia="仿宋_GB2312"/>
          <w:sz w:val="32"/>
          <w:szCs w:val="32"/>
        </w:rPr>
        <w:t>%</w:t>
      </w:r>
      <w:r>
        <w:rPr>
          <w:rFonts w:hint="eastAsia" w:ascii="仿宋_GB2312" w:eastAsia="仿宋_GB2312"/>
          <w:sz w:val="32"/>
          <w:szCs w:val="32"/>
        </w:rPr>
        <w:t>。</w:t>
      </w:r>
    </w:p>
    <w:p w14:paraId="7EE86740">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2"/>
          <w:rFonts w:hint="eastAsia" w:ascii="仿宋" w:hAnsi="仿宋" w:eastAsia="仿宋"/>
          <w:b w:val="0"/>
          <w:bCs/>
          <w:sz w:val="32"/>
          <w:szCs w:val="32"/>
        </w:rPr>
        <w:t>完成预算0</w:t>
      </w:r>
      <w:r>
        <w:rPr>
          <w:rStyle w:val="12"/>
          <w:rFonts w:ascii="仿宋" w:hAnsi="仿宋" w:eastAsia="仿宋"/>
          <w:b w:val="0"/>
          <w:bCs/>
          <w:sz w:val="32"/>
          <w:szCs w:val="32"/>
        </w:rPr>
        <w:t>%</w:t>
      </w:r>
      <w:r>
        <w:rPr>
          <w:rStyle w:val="12"/>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22年增加</w:t>
      </w:r>
      <w:r>
        <w:rPr>
          <w:rFonts w:ascii="仿宋_GB2312" w:eastAsia="仿宋_GB2312"/>
          <w:sz w:val="32"/>
          <w:szCs w:val="32"/>
        </w:rPr>
        <w:t>/</w:t>
      </w:r>
      <w:r>
        <w:rPr>
          <w:rFonts w:hint="eastAsia" w:ascii="仿宋_GB2312" w:eastAsia="仿宋_GB2312"/>
          <w:sz w:val="32"/>
          <w:szCs w:val="32"/>
        </w:rPr>
        <w:t>减少0万元，增长</w:t>
      </w:r>
      <w:r>
        <w:rPr>
          <w:rFonts w:ascii="仿宋_GB2312" w:eastAsia="仿宋_GB2312"/>
          <w:sz w:val="32"/>
          <w:szCs w:val="32"/>
        </w:rPr>
        <w:t>/</w:t>
      </w:r>
      <w:r>
        <w:rPr>
          <w:rFonts w:hint="eastAsia" w:ascii="仿宋_GB2312" w:eastAsia="仿宋_GB2312"/>
          <w:sz w:val="32"/>
          <w:szCs w:val="32"/>
        </w:rPr>
        <w:t>下降0</w:t>
      </w:r>
      <w:r>
        <w:rPr>
          <w:rFonts w:ascii="仿宋_GB2312" w:eastAsia="仿宋_GB2312"/>
          <w:sz w:val="32"/>
          <w:szCs w:val="32"/>
        </w:rPr>
        <w:t>%</w:t>
      </w:r>
      <w:r>
        <w:rPr>
          <w:rFonts w:hint="eastAsia" w:ascii="仿宋_GB2312" w:eastAsia="仿宋_GB2312"/>
          <w:sz w:val="32"/>
          <w:szCs w:val="32"/>
        </w:rPr>
        <w:t>。</w:t>
      </w:r>
    </w:p>
    <w:p w14:paraId="2AFBAF67">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23年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14:paraId="6E51480E">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14:paraId="37C7BEF9">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w:t>
      </w:r>
      <w:r>
        <w:rPr>
          <w:rStyle w:val="12"/>
          <w:rFonts w:hint="eastAsia" w:ascii="仿宋" w:hAnsi="仿宋" w:eastAsia="仿宋"/>
          <w:b w:val="0"/>
          <w:bCs/>
          <w:sz w:val="32"/>
          <w:szCs w:val="32"/>
        </w:rPr>
        <w:t>完成预算0</w:t>
      </w:r>
      <w:r>
        <w:rPr>
          <w:rStyle w:val="12"/>
          <w:rFonts w:ascii="仿宋" w:hAnsi="仿宋" w:eastAsia="仿宋"/>
          <w:b w:val="0"/>
          <w:bCs/>
          <w:sz w:val="32"/>
          <w:szCs w:val="32"/>
        </w:rPr>
        <w:t>%</w:t>
      </w:r>
      <w:r>
        <w:rPr>
          <w:rStyle w:val="12"/>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22年增加</w:t>
      </w:r>
      <w:r>
        <w:rPr>
          <w:rFonts w:ascii="仿宋_GB2312" w:eastAsia="仿宋_GB2312"/>
          <w:sz w:val="32"/>
          <w:szCs w:val="32"/>
        </w:rPr>
        <w:t>/</w:t>
      </w:r>
      <w:r>
        <w:rPr>
          <w:rFonts w:hint="eastAsia" w:ascii="仿宋_GB2312" w:eastAsia="仿宋_GB2312"/>
          <w:sz w:val="32"/>
          <w:szCs w:val="32"/>
        </w:rPr>
        <w:t>减少0万元，增长</w:t>
      </w:r>
      <w:r>
        <w:rPr>
          <w:rFonts w:ascii="仿宋_GB2312" w:eastAsia="仿宋_GB2312"/>
          <w:sz w:val="32"/>
          <w:szCs w:val="32"/>
        </w:rPr>
        <w:t>/</w:t>
      </w:r>
      <w:r>
        <w:rPr>
          <w:rFonts w:hint="eastAsia" w:ascii="仿宋_GB2312" w:eastAsia="仿宋_GB2312"/>
          <w:sz w:val="32"/>
          <w:szCs w:val="32"/>
        </w:rPr>
        <w:t>下降0</w:t>
      </w:r>
      <w:r>
        <w:rPr>
          <w:rFonts w:ascii="仿宋_GB2312" w:eastAsia="仿宋_GB2312"/>
          <w:sz w:val="32"/>
          <w:szCs w:val="32"/>
        </w:rPr>
        <w:t>%</w:t>
      </w:r>
      <w:r>
        <w:rPr>
          <w:rFonts w:hint="eastAsia" w:ascii="仿宋_GB2312" w:eastAsia="仿宋_GB2312"/>
          <w:sz w:val="32"/>
          <w:szCs w:val="32"/>
        </w:rPr>
        <w:t>。其中：</w:t>
      </w:r>
    </w:p>
    <w:p w14:paraId="6C48101F">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万元。国内公务接待0批次，0人次（不包括陪同人员），共计支出0万元。</w:t>
      </w:r>
    </w:p>
    <w:p w14:paraId="0E07938E">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万元。外事接待0批次，0人次（不包括陪同人员），共计支出0万元。</w:t>
      </w:r>
      <w:bookmarkStart w:id="35" w:name="_Toc15377218"/>
      <w:bookmarkStart w:id="36" w:name="_Toc15396610"/>
    </w:p>
    <w:p w14:paraId="2F8C237A">
      <w:pPr>
        <w:spacing w:line="600" w:lineRule="exact"/>
        <w:ind w:firstLine="640"/>
        <w:outlineLvl w:val="1"/>
        <w:rPr>
          <w:rStyle w:val="14"/>
          <w:rFonts w:ascii="黑体" w:hAnsi="黑体" w:eastAsia="黑体"/>
        </w:rPr>
      </w:pPr>
      <w:r>
        <w:rPr>
          <w:rFonts w:hint="eastAsia" w:ascii="黑体" w:eastAsia="黑体"/>
          <w:sz w:val="32"/>
          <w:szCs w:val="32"/>
        </w:rPr>
        <w:t>八、</w:t>
      </w:r>
      <w:r>
        <w:rPr>
          <w:rStyle w:val="14"/>
          <w:rFonts w:hint="eastAsia" w:ascii="黑体" w:hAnsi="黑体" w:eastAsia="黑体"/>
          <w:b w:val="0"/>
        </w:rPr>
        <w:t>政府性基金预算支出决算情况说明</w:t>
      </w:r>
      <w:bookmarkEnd w:id="35"/>
      <w:bookmarkEnd w:id="36"/>
    </w:p>
    <w:p w14:paraId="7765E4BB">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23年政府性基金预算财政拨款支出0万元。</w:t>
      </w:r>
    </w:p>
    <w:p w14:paraId="296C2C67">
      <w:pPr>
        <w:numPr>
          <w:ilvl w:val="0"/>
          <w:numId w:val="3"/>
        </w:numPr>
        <w:spacing w:line="600" w:lineRule="exact"/>
        <w:ind w:firstLine="640"/>
        <w:outlineLvl w:val="1"/>
        <w:rPr>
          <w:rStyle w:val="14"/>
          <w:rFonts w:ascii="黑体" w:hAnsi="黑体" w:eastAsia="黑体"/>
          <w:b w:val="0"/>
        </w:rPr>
      </w:pPr>
      <w:bookmarkStart w:id="37" w:name="_Toc15377219"/>
      <w:bookmarkStart w:id="38" w:name="_Toc15396611"/>
      <w:r>
        <w:rPr>
          <w:rStyle w:val="14"/>
          <w:rFonts w:hint="eastAsia" w:ascii="黑体" w:hAnsi="黑体" w:eastAsia="黑体"/>
          <w:b w:val="0"/>
        </w:rPr>
        <w:t>国有资本经营预算支出决算情况说明</w:t>
      </w:r>
      <w:bookmarkEnd w:id="37"/>
      <w:bookmarkEnd w:id="38"/>
    </w:p>
    <w:p w14:paraId="2714F3B9">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23年国有资本经营预算财政拨款支出0万元。</w:t>
      </w:r>
    </w:p>
    <w:p w14:paraId="642602DC">
      <w:pPr>
        <w:numPr>
          <w:ilvl w:val="0"/>
          <w:numId w:val="3"/>
        </w:numPr>
        <w:spacing w:line="600" w:lineRule="exact"/>
        <w:ind w:firstLine="640"/>
        <w:outlineLvl w:val="1"/>
        <w:rPr>
          <w:rStyle w:val="14"/>
          <w:rFonts w:ascii="黑体" w:hAnsi="黑体" w:eastAsia="黑体"/>
          <w:b w:val="0"/>
        </w:rPr>
      </w:pPr>
      <w:bookmarkStart w:id="39" w:name="_Toc15396612"/>
      <w:bookmarkStart w:id="40" w:name="_Toc15377221"/>
      <w:r>
        <w:rPr>
          <w:rStyle w:val="14"/>
          <w:rFonts w:hint="eastAsia" w:ascii="黑体" w:hAnsi="黑体" w:eastAsia="黑体"/>
          <w:b w:val="0"/>
        </w:rPr>
        <w:t>其他重要事项的情况说明</w:t>
      </w:r>
      <w:bookmarkEnd w:id="39"/>
      <w:bookmarkEnd w:id="40"/>
    </w:p>
    <w:p w14:paraId="5A0D9495">
      <w:pPr>
        <w:spacing w:line="600" w:lineRule="exact"/>
        <w:ind w:firstLine="643" w:firstLineChars="200"/>
        <w:outlineLvl w:val="2"/>
        <w:rPr>
          <w:rFonts w:ascii="仿宋" w:hAnsi="仿宋" w:eastAsia="仿宋"/>
          <w:sz w:val="32"/>
          <w:szCs w:val="32"/>
        </w:rPr>
      </w:pPr>
      <w:bookmarkStart w:id="41" w:name="_Toc15377222"/>
      <w:r>
        <w:rPr>
          <w:rFonts w:hint="eastAsia" w:ascii="仿宋" w:hAnsi="仿宋" w:eastAsia="仿宋"/>
          <w:b/>
          <w:sz w:val="32"/>
          <w:szCs w:val="32"/>
        </w:rPr>
        <w:t>（一）机关运行经费支出情况</w:t>
      </w:r>
      <w:bookmarkEnd w:id="41"/>
    </w:p>
    <w:p w14:paraId="087F5E12">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23年，本单位机关运行经费支出0万元，与</w:t>
      </w:r>
      <w:r>
        <w:rPr>
          <w:rFonts w:ascii="仿宋_GB2312" w:eastAsia="仿宋_GB2312"/>
          <w:sz w:val="32"/>
          <w:szCs w:val="32"/>
        </w:rPr>
        <w:t>20</w:t>
      </w:r>
      <w:r>
        <w:rPr>
          <w:rFonts w:hint="eastAsia" w:ascii="仿宋_GB2312" w:eastAsia="仿宋_GB2312"/>
          <w:sz w:val="32"/>
          <w:szCs w:val="32"/>
        </w:rPr>
        <w:t>22年决算数持平。</w:t>
      </w:r>
    </w:p>
    <w:p w14:paraId="1885F9D6">
      <w:pPr>
        <w:autoSpaceDE w:val="0"/>
        <w:autoSpaceDN w:val="0"/>
        <w:adjustRightInd w:val="0"/>
        <w:spacing w:line="600" w:lineRule="exact"/>
        <w:ind w:firstLine="643" w:firstLineChars="200"/>
        <w:jc w:val="left"/>
        <w:outlineLvl w:val="2"/>
        <w:rPr>
          <w:rFonts w:ascii="仿宋" w:hAnsi="仿宋" w:eastAsia="仿宋"/>
          <w:b/>
          <w:sz w:val="32"/>
          <w:szCs w:val="32"/>
        </w:rPr>
      </w:pPr>
      <w:bookmarkStart w:id="42" w:name="_Toc15377223"/>
      <w:r>
        <w:rPr>
          <w:rFonts w:hint="eastAsia" w:ascii="仿宋" w:hAnsi="仿宋" w:eastAsia="仿宋"/>
          <w:b/>
          <w:sz w:val="32"/>
          <w:szCs w:val="32"/>
        </w:rPr>
        <w:t>（二）政府采购支出情况</w:t>
      </w:r>
      <w:bookmarkEnd w:id="42"/>
    </w:p>
    <w:p w14:paraId="47F4E59E">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23年，本单位政府采购支出总额0万元，其中：政府采购货物支出0万元、政府采购工程支出0万元、政府采购服务支出0万元。授予中小企业合同金额0万元，占政府采购支出总额的0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14:paraId="77EBE381">
      <w:pPr>
        <w:autoSpaceDE w:val="0"/>
        <w:autoSpaceDN w:val="0"/>
        <w:adjustRightInd w:val="0"/>
        <w:spacing w:line="600" w:lineRule="exact"/>
        <w:ind w:firstLine="643" w:firstLineChars="200"/>
        <w:jc w:val="left"/>
        <w:outlineLvl w:val="2"/>
        <w:rPr>
          <w:rFonts w:ascii="仿宋" w:hAnsi="仿宋" w:eastAsia="仿宋"/>
          <w:b/>
          <w:sz w:val="32"/>
          <w:szCs w:val="32"/>
        </w:rPr>
      </w:pPr>
      <w:bookmarkStart w:id="43" w:name="_Toc15377224"/>
      <w:r>
        <w:rPr>
          <w:rFonts w:hint="eastAsia" w:ascii="仿宋" w:hAnsi="仿宋" w:eastAsia="仿宋"/>
          <w:b/>
          <w:sz w:val="32"/>
          <w:szCs w:val="32"/>
        </w:rPr>
        <w:t>（三）国有资产占有使用情况</w:t>
      </w:r>
      <w:bookmarkEnd w:id="43"/>
    </w:p>
    <w:p w14:paraId="01E0192F">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日，本单位共有车辆0辆，其中：主要领导干部用车0辆、机要通信用车0辆、应急保障用车0辆、其他用车0辆。单价</w:t>
      </w:r>
      <w:r>
        <w:rPr>
          <w:rFonts w:ascii="仿宋_GB2312" w:eastAsia="仿宋_GB2312"/>
          <w:sz w:val="32"/>
          <w:szCs w:val="32"/>
        </w:rPr>
        <w:t>100</w:t>
      </w:r>
      <w:r>
        <w:rPr>
          <w:rFonts w:hint="eastAsia" w:ascii="仿宋_GB2312" w:eastAsia="仿宋_GB2312"/>
          <w:sz w:val="32"/>
          <w:szCs w:val="32"/>
        </w:rPr>
        <w:t>万元以上专用设备0台（套）。</w:t>
      </w:r>
    </w:p>
    <w:p w14:paraId="6282E6A3">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47F86BAD">
      <w:pPr>
        <w:pStyle w:val="5"/>
        <w:spacing w:before="93"/>
        <w:ind w:firstLine="640" w:firstLineChars="200"/>
        <w:rPr>
          <w:highlight w:val="yellow"/>
        </w:rPr>
      </w:pPr>
      <w:r>
        <w:rPr>
          <w:rFonts w:hint="eastAsia" w:hAnsi="仿宋_GB2312" w:cs="仿宋_GB2312"/>
          <w:sz w:val="32"/>
          <w:szCs w:val="32"/>
        </w:rPr>
        <w:t>根据预算绩效管理要求，本单位在2023年度预算编制阶段，对</w:t>
      </w:r>
      <w:r>
        <w:rPr>
          <w:rFonts w:hint="eastAsia" w:hAnsi="仿宋_GB2312" w:cs="仿宋_GB2312"/>
          <w:color w:val="000000" w:themeColor="text1"/>
          <w:sz w:val="32"/>
          <w:szCs w:val="32"/>
          <w14:textFill>
            <w14:solidFill>
              <w14:schemeClr w14:val="tx1"/>
            </w14:solidFill>
          </w14:textFill>
        </w:rPr>
        <w:t>困难非寄宿生生活补助、学前教育减免保教费补助</w:t>
      </w:r>
      <w:r>
        <w:rPr>
          <w:rFonts w:hint="eastAsia" w:hAnsi="仿宋_GB2312" w:cs="仿宋_GB2312"/>
          <w:sz w:val="32"/>
          <w:szCs w:val="32"/>
        </w:rPr>
        <w:t>、</w:t>
      </w:r>
      <w:r>
        <w:rPr>
          <w:rFonts w:hint="eastAsia" w:hAnsi="仿宋_GB2312" w:cs="仿宋_GB2312"/>
          <w:color w:val="000000" w:themeColor="text1"/>
          <w:sz w:val="32"/>
          <w:szCs w:val="32"/>
          <w14:textFill>
            <w14:solidFill>
              <w14:schemeClr w14:val="tx1"/>
            </w14:solidFill>
          </w14:textFill>
        </w:rPr>
        <w:t>学前教育发展资金、</w:t>
      </w:r>
      <w:r>
        <w:rPr>
          <w:rFonts w:hint="eastAsia" w:hAnsi="仿宋_GB2312" w:cs="仿宋_GB2312"/>
          <w:sz w:val="32"/>
          <w:szCs w:val="32"/>
        </w:rPr>
        <w:t>退休人员生活补（助）贴、遗属生活补助、学前公用经费补助、义教公用经费补助等</w:t>
      </w:r>
      <w:r>
        <w:rPr>
          <w:rFonts w:hint="eastAsia" w:hAnsi="仿宋_GB2312" w:cs="仿宋_GB2312"/>
          <w:sz w:val="32"/>
          <w:szCs w:val="32"/>
          <w:lang w:val="en-US" w:eastAsia="zh-CN"/>
        </w:rPr>
        <w:t>22</w:t>
      </w:r>
      <w:r>
        <w:rPr>
          <w:rFonts w:hint="eastAsia" w:hAnsi="仿宋_GB2312" w:cs="仿宋_GB2312"/>
          <w:sz w:val="32"/>
          <w:szCs w:val="32"/>
        </w:rPr>
        <w:t>个项目开展了预算事前绩效评估，对</w:t>
      </w:r>
      <w:r>
        <w:rPr>
          <w:rFonts w:hint="eastAsia" w:hAnsi="仿宋_GB2312" w:cs="仿宋_GB2312"/>
          <w:sz w:val="32"/>
          <w:szCs w:val="32"/>
          <w:lang w:val="en-US" w:eastAsia="zh-CN"/>
        </w:rPr>
        <w:t>22</w:t>
      </w:r>
      <w:r>
        <w:rPr>
          <w:rFonts w:hint="eastAsia" w:hAnsi="仿宋_GB2312" w:cs="仿宋_GB2312"/>
          <w:sz w:val="32"/>
          <w:szCs w:val="32"/>
        </w:rPr>
        <w:t>个项目编制了绩效目标，预算执行过程中，选取</w:t>
      </w:r>
      <w:r>
        <w:rPr>
          <w:rFonts w:hint="eastAsia" w:hAnsi="仿宋_GB2312" w:cs="仿宋_GB2312"/>
          <w:sz w:val="32"/>
          <w:szCs w:val="32"/>
          <w:lang w:val="en-US" w:eastAsia="zh-CN"/>
        </w:rPr>
        <w:t>22</w:t>
      </w:r>
      <w:r>
        <w:rPr>
          <w:rFonts w:hint="eastAsia" w:hAnsi="仿宋_GB2312" w:cs="仿宋_GB2312"/>
          <w:sz w:val="32"/>
          <w:szCs w:val="32"/>
        </w:rPr>
        <w:t>个项目开展绩效监控，组织对</w:t>
      </w:r>
      <w:r>
        <w:rPr>
          <w:rFonts w:hint="eastAsia" w:hAnsi="仿宋_GB2312" w:cs="仿宋_GB2312"/>
          <w:sz w:val="32"/>
          <w:szCs w:val="32"/>
          <w:lang w:val="en-US" w:eastAsia="zh-CN"/>
        </w:rPr>
        <w:t>22</w:t>
      </w:r>
      <w:r>
        <w:rPr>
          <w:rFonts w:hint="eastAsia" w:hAnsi="仿宋_GB2312" w:cs="仿宋_GB2312"/>
          <w:sz w:val="32"/>
          <w:szCs w:val="32"/>
        </w:rPr>
        <w:t>个项目开展绩效自评，绩效自评表详见第四部分附件。</w:t>
      </w:r>
    </w:p>
    <w:p w14:paraId="33FD1D64">
      <w:pPr>
        <w:widowControl/>
        <w:jc w:val="left"/>
        <w:rPr>
          <w:rFonts w:ascii="仿宋_GB2312" w:eastAsia="仿宋_GB2312"/>
          <w:b/>
          <w:sz w:val="32"/>
          <w:szCs w:val="32"/>
        </w:rPr>
      </w:pPr>
      <w:r>
        <w:rPr>
          <w:rFonts w:ascii="仿宋_GB2312" w:eastAsia="仿宋_GB2312"/>
          <w:b/>
          <w:sz w:val="32"/>
          <w:szCs w:val="32"/>
        </w:rPr>
        <w:br w:type="page"/>
      </w:r>
      <w:bookmarkStart w:id="47" w:name="_GoBack"/>
      <w:bookmarkEnd w:id="47"/>
    </w:p>
    <w:p w14:paraId="2119AD16">
      <w:pPr>
        <w:numPr>
          <w:ilvl w:val="0"/>
          <w:numId w:val="4"/>
        </w:numPr>
        <w:spacing w:line="600" w:lineRule="exact"/>
        <w:ind w:firstLine="660" w:firstLineChars="150"/>
        <w:jc w:val="center"/>
        <w:outlineLvl w:val="0"/>
        <w:rPr>
          <w:rStyle w:val="13"/>
          <w:rFonts w:ascii="黑体" w:hAnsi="黑体" w:eastAsia="黑体"/>
          <w:b w:val="0"/>
        </w:rPr>
      </w:pPr>
      <w:bookmarkStart w:id="44" w:name="_Toc15396613"/>
      <w:bookmarkStart w:id="45" w:name="_Toc15377225"/>
      <w:r>
        <w:rPr>
          <w:rFonts w:hint="eastAsia" w:ascii="黑体" w:hAnsi="黑体" w:eastAsia="黑体"/>
          <w:sz w:val="44"/>
          <w:szCs w:val="44"/>
        </w:rPr>
        <w:t>名</w:t>
      </w:r>
      <w:r>
        <w:rPr>
          <w:rStyle w:val="13"/>
          <w:rFonts w:hint="eastAsia" w:ascii="黑体" w:hAnsi="黑体" w:eastAsia="黑体"/>
          <w:b w:val="0"/>
        </w:rPr>
        <w:t>词解释</w:t>
      </w:r>
      <w:bookmarkEnd w:id="44"/>
      <w:bookmarkEnd w:id="45"/>
    </w:p>
    <w:p w14:paraId="6C227469">
      <w:pPr>
        <w:spacing w:line="600" w:lineRule="exact"/>
        <w:jc w:val="left"/>
        <w:rPr>
          <w:rFonts w:ascii="宋体"/>
          <w:b/>
          <w:sz w:val="44"/>
          <w:szCs w:val="44"/>
        </w:rPr>
      </w:pPr>
    </w:p>
    <w:p w14:paraId="5C94D960">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1.财政拨款收入：指单位从同级财政部门取得的财政预算资金。</w:t>
      </w:r>
    </w:p>
    <w:p w14:paraId="3757CCDC">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2.事业收入：指事业单位开展专业业务活动及辅助活动取得的收入。</w:t>
      </w:r>
    </w:p>
    <w:p w14:paraId="4737BCB5">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3.经营收入：指事业单位在专业业务活动及其辅助活动之外开展非独立核算经营活动取得的收入。。</w:t>
      </w:r>
    </w:p>
    <w:p w14:paraId="36BC8DEF">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 xml:space="preserve">4.其他收入：指单位取得的除上述收入以外的各项收入。主要是学前教育保育教育费收入、银行存款利息收入等。 </w:t>
      </w:r>
    </w:p>
    <w:p w14:paraId="35E1B53B">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6DFC216E">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 xml:space="preserve">6.年初结转和结余：指以前年度尚未完成、结转到本年按有关规定继续使用的资金。 </w:t>
      </w:r>
    </w:p>
    <w:p w14:paraId="2E7B69FB">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7.结余分配：指事业单位按照事业单位会计制度的规定从非财政补助结余中分配的事业基金和职工福利基金等。</w:t>
      </w:r>
    </w:p>
    <w:p w14:paraId="3E60B754">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8.年末结转和结余：指单位按有关规定结转到下年或以后年度继续使用的资金。</w:t>
      </w:r>
    </w:p>
    <w:p w14:paraId="012AF899">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9.教育支出（类）教育管理事务（款）行政运行（项）:反映教育行政单位（包括实行公务员管理的事业单位）的基本支出</w:t>
      </w:r>
    </w:p>
    <w:p w14:paraId="5FE3B5BA">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10. 教育支出（类）教育管理事务（款）一般行政管理事务（项）:反映行政单位（包括实行公务员管理的事业单位）未单独设置项级科目的其它项目支出。</w:t>
      </w:r>
    </w:p>
    <w:p w14:paraId="6DC46731">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11. 教育支出（类）教育管理事务（款）其它教育管理事务支出（项）:反映除上述项目以外其它用户教育管理事务方面的支出。</w:t>
      </w:r>
    </w:p>
    <w:p w14:paraId="20ED52DE">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12. 教育支出（类）普通教育（款）学前教育（项）:反映各部门举办的学前教育支出。</w:t>
      </w:r>
    </w:p>
    <w:p w14:paraId="4E151102">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13. 教育支出（类）普通教育（款）小学教育（项）:反映各部门举办的小学教育支出。政府各部门对社会中介组织等举办的小学的资助，如各类捐赠、补贴等，也在本科目中反映。</w:t>
      </w:r>
    </w:p>
    <w:p w14:paraId="562FA0F6">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14. 教育支出（类）普通教育（款）初中教育（项）: 反映各部门举办的初中教育支出。政府各部门对社会中介组织等举办的初中教育的资助，如捐赠、补贴等，也在本科目中反映。</w:t>
      </w:r>
    </w:p>
    <w:p w14:paraId="5E1795F6">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15. 教育支出（类）普通教育（款）高中教育（项）: 反映各部门举办的高级中学教育支出。政府各部门对社会中介组织等举办的高级中学的资助，如捐赠、补贴等，也在本科目中反映。</w:t>
      </w:r>
    </w:p>
    <w:p w14:paraId="4D8BA9BB">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16. 教育支出（类）普通教育（款）其它普通教育（项）: 反映除上述项目以外其他用于普通教育方面的支出。</w:t>
      </w:r>
    </w:p>
    <w:p w14:paraId="228DF911">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17. 教育支出（类）职业教育（款）职业高中教育（项）: 反映各部门举办的职业中学、农业中学（含普通高中改制的）、半工（农）半读中学的支出或补助费</w:t>
      </w:r>
    </w:p>
    <w:p w14:paraId="6997738B">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18. 教育支出（类）职业教育（款）高等职业教育（项）:反映经国家批准设立的高等职业大学、专科职业教育等方面的支出。</w:t>
      </w:r>
    </w:p>
    <w:p w14:paraId="3057BB12">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19. 教育支出（类）特殊教育（款）特殊学校教育（项）: 指各部门举办的盲童学校、聋哑学校、智力落后儿童学校、其它生理缺陷儿童学校的支出。</w:t>
      </w:r>
    </w:p>
    <w:p w14:paraId="3F82E37F">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20. 教育支出（类）特殊教育（款）工读学校教育（项）:指各部门举办的工读学校的支出。</w:t>
      </w:r>
    </w:p>
    <w:p w14:paraId="68AC635D">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21. 教育支出（类）教育附加费安排的支出（款）农村中小学校舍建设（项）:反映教育附加费安排用于农村中小学校舍新建、改建、修缮和维护的支出。</w:t>
      </w:r>
    </w:p>
    <w:p w14:paraId="6B5B72FD">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22. 教育支出（类）教育附加费安排的支出（款）城市中小学校舍建设（项）: 反映教育附加费安排用于城市中小学校舍新建、改建、修缮和维护的支出。</w:t>
      </w:r>
    </w:p>
    <w:p w14:paraId="0F687443">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23. 教育支出（类）教育附加费安排的支出（款）其它教育附加费安排的支出（项）: 指除上述项目以外的教育附加费支出。</w:t>
      </w:r>
    </w:p>
    <w:p w14:paraId="48770624">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24. 教育支出（类）其它教育支出（款）其他教育支出（项）: 指上述项目以外其他用于教育方面的支出。</w:t>
      </w:r>
    </w:p>
    <w:p w14:paraId="6CFB36B3">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25. 社会保障和就业支出（类）行政事业单位离退休（款）机关事业单位基本养老保险缴费支出（项）: 指机关事业单位实施养老保险制度由单位缴纳的基本养老保险费支出。</w:t>
      </w:r>
    </w:p>
    <w:p w14:paraId="06C2BEF3">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26. 社会保障和就业支出（类）行政事业单位离退休（款）机关事业单位职业年金缴费支出（项）: 指机关事业单位实施养老保险制度由单位实际缴纳的职业年金支出。</w:t>
      </w:r>
    </w:p>
    <w:p w14:paraId="21557ADF">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27. 社会保障和就业支出（类）抚恤（款）死亡抚恤（项）: 指按规定用于烈士和牺牲、病故人员家属的一次性和定期抚恤金以及丧葬补助费。</w:t>
      </w:r>
    </w:p>
    <w:p w14:paraId="4C5A9FC7">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28. 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p>
    <w:p w14:paraId="6D769D02">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29. 医疗卫生与计划生育（类）行政事业单位医疗（款）事业单位医疗（项）: 指财政部门安排的事业单位基本医疗保险缴费经费，未参加医疗保险的事业单位的公费医疗经费，按国家规定享受离休人员待遇的医疗经费。</w:t>
      </w:r>
    </w:p>
    <w:p w14:paraId="1B3C5CBE">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30. 农林水支出（类）扶贫（款）其它扶贫支出（项）: 指除上述项目以外其他用于扶贫方面的支出。</w:t>
      </w:r>
    </w:p>
    <w:p w14:paraId="30C0C0CF">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31. 住房保障支出（类）住房改革支出（款）住房公积金（项）: 指行政事业单位按人力资源和社会保障部、财政部规定的基本工资和津贴补贴以及规定比例为职工缴纳的住房公积金。</w:t>
      </w:r>
    </w:p>
    <w:p w14:paraId="69A58302">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32. 其他支出（类）其他支出（款）其他支出（项）: 指上述项目以外其他不能划分到具体功能科目中的支出项目。</w:t>
      </w:r>
    </w:p>
    <w:p w14:paraId="4FA7C97B">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33.基本支出：指为保障机构正常运转、完成日常工作任务而发生的人员支出和公用支出。</w:t>
      </w:r>
    </w:p>
    <w:p w14:paraId="1485A650">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 xml:space="preserve">34.项目支出：指在基本支出之外为完成特定行政任务和事业发展目标所发生的支出。 </w:t>
      </w:r>
    </w:p>
    <w:p w14:paraId="5C74DC16">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35.经营支出：指事业单位在专业业务活动及其辅助活动之外开展非独立核算经营活动发生的支出。</w:t>
      </w:r>
    </w:p>
    <w:p w14:paraId="068FE809">
      <w:pPr>
        <w:pStyle w:val="16"/>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36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0A758F3E">
      <w:pPr>
        <w:pStyle w:val="16"/>
        <w:snapToGrid w:val="0"/>
        <w:spacing w:line="520" w:lineRule="exact"/>
        <w:ind w:firstLine="560" w:firstLineChars="200"/>
        <w:rPr>
          <w:rFonts w:ascii="仿宋_GB2312" w:eastAsia="仿宋_GB2312" w:cs="黑体"/>
          <w:color w:val="auto"/>
          <w:sz w:val="28"/>
          <w:szCs w:val="28"/>
        </w:rPr>
      </w:pPr>
      <w:r>
        <w:rPr>
          <w:rFonts w:hint="eastAsia" w:ascii="仿宋_GB2312" w:eastAsia="仿宋_GB2312"/>
          <w:color w:val="auto"/>
          <w:sz w:val="28"/>
          <w:szCs w:val="28"/>
        </w:rPr>
        <w:t>37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61FB2BB">
      <w:pPr>
        <w:spacing w:line="600" w:lineRule="exact"/>
        <w:jc w:val="center"/>
        <w:outlineLvl w:val="0"/>
        <w:rPr>
          <w:rStyle w:val="13"/>
          <w:rFonts w:ascii="黑体" w:hAnsi="黑体" w:eastAsia="黑体"/>
          <w:b w:val="0"/>
        </w:rPr>
      </w:pPr>
      <w:r>
        <w:rPr>
          <w:rFonts w:ascii="宋体"/>
          <w:b/>
          <w:sz w:val="44"/>
          <w:szCs w:val="44"/>
        </w:rPr>
        <w:br w:type="page"/>
      </w:r>
      <w:bookmarkStart w:id="46" w:name="_Toc15396614"/>
      <w:r>
        <w:rPr>
          <w:rFonts w:hint="eastAsia" w:ascii="黑体" w:hAnsi="黑体" w:eastAsia="黑体"/>
          <w:sz w:val="44"/>
          <w:szCs w:val="44"/>
        </w:rPr>
        <w:t>第</w:t>
      </w:r>
      <w:r>
        <w:rPr>
          <w:rStyle w:val="13"/>
          <w:rFonts w:hint="eastAsia" w:ascii="黑体" w:hAnsi="黑体" w:eastAsia="黑体"/>
          <w:b w:val="0"/>
        </w:rPr>
        <w:t>四部分 附件</w:t>
      </w:r>
      <w:bookmarkEnd w:id="46"/>
    </w:p>
    <w:p w14:paraId="57A71DC5">
      <w:pPr>
        <w:widowControl/>
        <w:jc w:val="left"/>
        <w:rPr>
          <w:rFonts w:ascii="仿宋" w:hAnsi="仿宋" w:eastAsia="仿宋"/>
          <w:kern w:val="44"/>
          <w:sz w:val="32"/>
          <w:szCs w:val="32"/>
        </w:rPr>
      </w:pPr>
      <w:r>
        <w:rPr>
          <w:rFonts w:hint="eastAsia" w:ascii="仿宋" w:hAnsi="仿宋" w:eastAsia="仿宋"/>
          <w:kern w:val="44"/>
          <w:sz w:val="32"/>
          <w:szCs w:val="32"/>
        </w:rPr>
        <w:t>附件一</w:t>
      </w:r>
    </w:p>
    <w:p w14:paraId="7BEF15D4">
      <w:pPr>
        <w:pStyle w:val="2"/>
        <w:ind w:left="980" w:hanging="560"/>
        <w:rPr>
          <w:rFonts w:ascii="仿宋" w:hAnsi="仿宋" w:eastAsia="仿宋" w:cs="仿宋"/>
          <w:sz w:val="28"/>
          <w:szCs w:val="28"/>
        </w:rPr>
      </w:pPr>
      <w:r>
        <w:rPr>
          <w:rFonts w:hint="eastAsia" w:ascii="仿宋" w:hAnsi="仿宋" w:eastAsia="仿宋" w:cs="仿宋"/>
          <w:sz w:val="28"/>
          <w:szCs w:val="28"/>
        </w:rPr>
        <w:t>广元市利州区上西小学部门预算项目支出绩效自评表</w:t>
      </w:r>
    </w:p>
    <w:p w14:paraId="25E059DC"/>
    <w:p w14:paraId="744A24D0">
      <w:pPr>
        <w:spacing w:line="600" w:lineRule="exact"/>
        <w:jc w:val="center"/>
        <w:outlineLvl w:val="0"/>
        <w:rPr>
          <w:rStyle w:val="13"/>
          <w:rFonts w:ascii="黑体" w:hAnsi="黑体" w:eastAsia="黑体"/>
          <w:b w:val="0"/>
        </w:rPr>
      </w:pPr>
      <w:r>
        <w:rPr>
          <w:rFonts w:hint="eastAsia" w:ascii="黑体" w:hAnsi="黑体" w:eastAsia="黑体"/>
          <w:sz w:val="44"/>
          <w:szCs w:val="44"/>
        </w:rPr>
        <w:t>第</w:t>
      </w:r>
      <w:r>
        <w:rPr>
          <w:rStyle w:val="13"/>
          <w:rFonts w:hint="eastAsia" w:ascii="黑体" w:hAnsi="黑体" w:eastAsia="黑体"/>
          <w:b w:val="0"/>
        </w:rPr>
        <w:t>五部分 附件</w:t>
      </w:r>
    </w:p>
    <w:p w14:paraId="4CE9987B">
      <w:pPr>
        <w:widowControl/>
        <w:jc w:val="left"/>
        <w:rPr>
          <w:rFonts w:ascii="仿宋" w:hAnsi="仿宋" w:eastAsia="仿宋"/>
          <w:kern w:val="44"/>
          <w:sz w:val="32"/>
          <w:szCs w:val="32"/>
        </w:rPr>
      </w:pPr>
      <w:r>
        <w:rPr>
          <w:rFonts w:hint="eastAsia" w:ascii="仿宋" w:hAnsi="仿宋" w:eastAsia="仿宋"/>
          <w:kern w:val="44"/>
          <w:sz w:val="32"/>
          <w:szCs w:val="32"/>
        </w:rPr>
        <w:t>附件一</w:t>
      </w:r>
    </w:p>
    <w:p w14:paraId="1C2CDC54">
      <w:pPr>
        <w:outlineLvl w:val="1"/>
        <w:rPr>
          <w:rFonts w:eastAsia="仿宋_GB2312"/>
        </w:rPr>
      </w:pPr>
    </w:p>
    <w:p w14:paraId="4E308CEA">
      <w:pPr>
        <w:pStyle w:val="9"/>
        <w:adjustRightInd w:val="0"/>
        <w:snapToGrid w:val="0"/>
        <w:spacing w:line="440" w:lineRule="exact"/>
        <w:jc w:val="left"/>
        <w:rPr>
          <w:rFonts w:ascii="仿宋" w:hAnsi="仿宋" w:eastAsia="仿宋" w:cs="仿宋"/>
          <w:sz w:val="28"/>
          <w:szCs w:val="28"/>
        </w:rPr>
      </w:pPr>
      <w:r>
        <w:rPr>
          <w:rFonts w:hint="eastAsia" w:ascii="仿宋" w:hAnsi="仿宋" w:eastAsia="仿宋" w:cs="仿宋"/>
          <w:sz w:val="28"/>
          <w:szCs w:val="28"/>
        </w:rPr>
        <w:t>一、收入支出决算总表</w:t>
      </w:r>
    </w:p>
    <w:p w14:paraId="76115970">
      <w:pPr>
        <w:pStyle w:val="9"/>
        <w:adjustRightInd w:val="0"/>
        <w:snapToGrid w:val="0"/>
        <w:spacing w:line="440" w:lineRule="exact"/>
        <w:jc w:val="left"/>
        <w:rPr>
          <w:rFonts w:ascii="仿宋" w:hAnsi="仿宋" w:eastAsia="仿宋" w:cs="仿宋"/>
          <w:sz w:val="28"/>
          <w:szCs w:val="28"/>
        </w:rPr>
      </w:pPr>
      <w:r>
        <w:rPr>
          <w:rFonts w:hint="eastAsia" w:ascii="仿宋" w:hAnsi="仿宋" w:eastAsia="仿宋" w:cs="仿宋"/>
          <w:sz w:val="28"/>
          <w:szCs w:val="28"/>
        </w:rPr>
        <w:t>二、收入决算表</w:t>
      </w:r>
    </w:p>
    <w:p w14:paraId="77D61110">
      <w:pPr>
        <w:pStyle w:val="9"/>
        <w:adjustRightInd w:val="0"/>
        <w:snapToGrid w:val="0"/>
        <w:spacing w:line="440" w:lineRule="exact"/>
        <w:jc w:val="left"/>
        <w:rPr>
          <w:rFonts w:ascii="仿宋" w:hAnsi="仿宋" w:eastAsia="仿宋" w:cs="仿宋"/>
          <w:sz w:val="28"/>
          <w:szCs w:val="28"/>
        </w:rPr>
      </w:pPr>
      <w:r>
        <w:rPr>
          <w:rFonts w:hint="eastAsia" w:ascii="仿宋" w:hAnsi="仿宋" w:eastAsia="仿宋" w:cs="仿宋"/>
          <w:sz w:val="28"/>
          <w:szCs w:val="28"/>
        </w:rPr>
        <w:t>三、支出决算表</w:t>
      </w:r>
    </w:p>
    <w:p w14:paraId="76937EBE">
      <w:pPr>
        <w:pStyle w:val="9"/>
        <w:adjustRightInd w:val="0"/>
        <w:snapToGrid w:val="0"/>
        <w:spacing w:line="440" w:lineRule="exact"/>
        <w:jc w:val="left"/>
        <w:rPr>
          <w:rFonts w:ascii="仿宋" w:hAnsi="仿宋" w:eastAsia="仿宋" w:cs="仿宋"/>
          <w:sz w:val="28"/>
          <w:szCs w:val="28"/>
        </w:rPr>
      </w:pPr>
      <w:r>
        <w:rPr>
          <w:rFonts w:hint="eastAsia" w:ascii="仿宋" w:hAnsi="仿宋" w:eastAsia="仿宋" w:cs="仿宋"/>
          <w:sz w:val="28"/>
          <w:szCs w:val="28"/>
        </w:rPr>
        <w:t>四、财政拨款收入支出决算总表</w:t>
      </w:r>
    </w:p>
    <w:p w14:paraId="517C10C5">
      <w:pPr>
        <w:pStyle w:val="9"/>
        <w:adjustRightInd w:val="0"/>
        <w:snapToGrid w:val="0"/>
        <w:spacing w:line="440" w:lineRule="exact"/>
        <w:jc w:val="left"/>
        <w:rPr>
          <w:rFonts w:ascii="仿宋" w:hAnsi="仿宋" w:eastAsia="仿宋" w:cs="仿宋"/>
          <w:sz w:val="28"/>
          <w:szCs w:val="28"/>
        </w:rPr>
      </w:pPr>
      <w:r>
        <w:rPr>
          <w:rFonts w:hint="eastAsia" w:ascii="仿宋" w:hAnsi="仿宋" w:eastAsia="仿宋" w:cs="仿宋"/>
          <w:sz w:val="28"/>
          <w:szCs w:val="28"/>
        </w:rPr>
        <w:t>五、财政拨款支出决算明细表</w:t>
      </w:r>
    </w:p>
    <w:p w14:paraId="2F074C13">
      <w:pPr>
        <w:pStyle w:val="9"/>
        <w:adjustRightInd w:val="0"/>
        <w:snapToGrid w:val="0"/>
        <w:spacing w:line="440" w:lineRule="exact"/>
        <w:jc w:val="left"/>
        <w:rPr>
          <w:rFonts w:ascii="仿宋" w:hAnsi="仿宋" w:eastAsia="仿宋" w:cs="仿宋"/>
          <w:sz w:val="28"/>
          <w:szCs w:val="28"/>
        </w:rPr>
      </w:pPr>
      <w:r>
        <w:rPr>
          <w:rFonts w:hint="eastAsia" w:ascii="仿宋" w:hAnsi="仿宋" w:eastAsia="仿宋" w:cs="仿宋"/>
          <w:sz w:val="28"/>
          <w:szCs w:val="28"/>
        </w:rPr>
        <w:t>六、一般公共预算财政拨款支出决算表</w:t>
      </w:r>
    </w:p>
    <w:p w14:paraId="6188764F">
      <w:pPr>
        <w:pStyle w:val="9"/>
        <w:adjustRightInd w:val="0"/>
        <w:snapToGrid w:val="0"/>
        <w:spacing w:line="440" w:lineRule="exact"/>
        <w:jc w:val="left"/>
        <w:rPr>
          <w:rFonts w:ascii="仿宋" w:hAnsi="仿宋" w:eastAsia="仿宋" w:cs="仿宋"/>
          <w:sz w:val="28"/>
          <w:szCs w:val="28"/>
        </w:rPr>
      </w:pPr>
      <w:r>
        <w:rPr>
          <w:rFonts w:hint="eastAsia" w:ascii="仿宋" w:hAnsi="仿宋" w:eastAsia="仿宋" w:cs="仿宋"/>
          <w:sz w:val="28"/>
          <w:szCs w:val="28"/>
        </w:rPr>
        <w:t>七、一般公共预算财政拨款支出决算明细表</w:t>
      </w:r>
    </w:p>
    <w:p w14:paraId="038DB5DF">
      <w:pPr>
        <w:pStyle w:val="9"/>
        <w:adjustRightInd w:val="0"/>
        <w:snapToGrid w:val="0"/>
        <w:spacing w:line="440" w:lineRule="exact"/>
        <w:jc w:val="left"/>
        <w:rPr>
          <w:rFonts w:ascii="仿宋" w:hAnsi="仿宋" w:eastAsia="仿宋" w:cs="仿宋"/>
          <w:sz w:val="28"/>
          <w:szCs w:val="28"/>
        </w:rPr>
      </w:pPr>
      <w:r>
        <w:rPr>
          <w:rFonts w:hint="eastAsia" w:ascii="仿宋" w:hAnsi="仿宋" w:eastAsia="仿宋" w:cs="仿宋"/>
          <w:sz w:val="28"/>
          <w:szCs w:val="28"/>
        </w:rPr>
        <w:t>八、一般公共预算财政拨款基本支出决算明细表</w:t>
      </w:r>
    </w:p>
    <w:p w14:paraId="53BACB6C">
      <w:pPr>
        <w:pStyle w:val="9"/>
        <w:adjustRightInd w:val="0"/>
        <w:snapToGrid w:val="0"/>
        <w:spacing w:line="440" w:lineRule="exact"/>
        <w:jc w:val="left"/>
        <w:rPr>
          <w:rFonts w:ascii="仿宋" w:hAnsi="仿宋" w:eastAsia="仿宋" w:cs="仿宋"/>
          <w:sz w:val="28"/>
          <w:szCs w:val="28"/>
        </w:rPr>
      </w:pPr>
      <w:r>
        <w:rPr>
          <w:rFonts w:hint="eastAsia" w:ascii="仿宋" w:hAnsi="仿宋" w:eastAsia="仿宋" w:cs="仿宋"/>
          <w:sz w:val="28"/>
          <w:szCs w:val="28"/>
        </w:rPr>
        <w:t>九、一般公共预算财政拨款项目支出决算表</w:t>
      </w:r>
    </w:p>
    <w:p w14:paraId="1ADD245C">
      <w:pPr>
        <w:pStyle w:val="9"/>
        <w:adjustRightInd w:val="0"/>
        <w:snapToGrid w:val="0"/>
        <w:spacing w:line="440" w:lineRule="exact"/>
        <w:jc w:val="left"/>
        <w:rPr>
          <w:rFonts w:ascii="仿宋" w:hAnsi="仿宋" w:eastAsia="仿宋" w:cs="仿宋"/>
          <w:sz w:val="28"/>
          <w:szCs w:val="28"/>
        </w:rPr>
      </w:pPr>
      <w:r>
        <w:rPr>
          <w:rFonts w:hint="eastAsia" w:ascii="仿宋" w:hAnsi="仿宋" w:eastAsia="仿宋" w:cs="仿宋"/>
          <w:sz w:val="28"/>
          <w:szCs w:val="28"/>
        </w:rPr>
        <w:t>十、政府性基金预算财政拨款收入支出决算表</w:t>
      </w:r>
    </w:p>
    <w:p w14:paraId="06FA1976">
      <w:pPr>
        <w:pStyle w:val="9"/>
        <w:adjustRightInd w:val="0"/>
        <w:snapToGrid w:val="0"/>
        <w:spacing w:line="440" w:lineRule="exact"/>
        <w:jc w:val="left"/>
        <w:rPr>
          <w:rFonts w:ascii="仿宋" w:hAnsi="仿宋" w:eastAsia="仿宋" w:cs="仿宋"/>
          <w:sz w:val="28"/>
          <w:szCs w:val="28"/>
        </w:rPr>
      </w:pPr>
      <w:r>
        <w:rPr>
          <w:rFonts w:hint="eastAsia" w:ascii="仿宋" w:hAnsi="仿宋" w:eastAsia="仿宋" w:cs="仿宋"/>
          <w:sz w:val="28"/>
          <w:szCs w:val="28"/>
        </w:rPr>
        <w:t>十一、国有资本经营预算财政拨款收入支出决算表</w:t>
      </w:r>
    </w:p>
    <w:p w14:paraId="0A287E06">
      <w:pPr>
        <w:pStyle w:val="9"/>
        <w:adjustRightInd w:val="0"/>
        <w:snapToGrid w:val="0"/>
        <w:spacing w:line="440" w:lineRule="exact"/>
        <w:jc w:val="left"/>
        <w:rPr>
          <w:rFonts w:ascii="仿宋" w:hAnsi="仿宋" w:eastAsia="仿宋" w:cs="仿宋"/>
          <w:sz w:val="28"/>
          <w:szCs w:val="28"/>
        </w:rPr>
      </w:pPr>
      <w:r>
        <w:rPr>
          <w:rFonts w:hint="eastAsia" w:ascii="仿宋" w:hAnsi="仿宋" w:eastAsia="仿宋" w:cs="仿宋"/>
          <w:sz w:val="28"/>
          <w:szCs w:val="28"/>
        </w:rPr>
        <w:t>十二、国有资本经营预算财政拨款支出决算表</w:t>
      </w:r>
    </w:p>
    <w:p w14:paraId="7AD48090">
      <w:pPr>
        <w:pStyle w:val="9"/>
        <w:adjustRightInd w:val="0"/>
        <w:snapToGrid w:val="0"/>
        <w:spacing w:line="440" w:lineRule="exact"/>
        <w:jc w:val="left"/>
        <w:rPr>
          <w:sz w:val="24"/>
        </w:rPr>
      </w:pPr>
      <w:r>
        <w:rPr>
          <w:rFonts w:hint="eastAsia" w:ascii="仿宋" w:hAnsi="仿宋" w:eastAsia="仿宋" w:cs="仿宋"/>
          <w:sz w:val="28"/>
          <w:szCs w:val="28"/>
        </w:rPr>
        <w:t>十三、财政拨款“三公”经费支出决算表</w:t>
      </w:r>
    </w:p>
    <w:p w14:paraId="70AFE9A0">
      <w:pPr>
        <w:pStyle w:val="3"/>
        <w:jc w:val="center"/>
        <w:rPr>
          <w:rFonts w:ascii="黑体" w:hAnsi="黑体" w:eastAsia="黑体"/>
          <w:b w:val="0"/>
        </w:rPr>
        <w:sectPr>
          <w:headerReference r:id="rId10" w:type="default"/>
          <w:pgSz w:w="11906" w:h="16838"/>
          <w:pgMar w:top="1440" w:right="1800" w:bottom="1440" w:left="1800" w:header="851" w:footer="992" w:gutter="0"/>
          <w:pgNumType w:chapStyle="1"/>
          <w:cols w:space="425" w:num="1"/>
          <w:titlePg/>
          <w:docGrid w:type="lines" w:linePitch="312" w:charSpace="0"/>
        </w:sectPr>
      </w:pPr>
    </w:p>
    <w:p w14:paraId="4383169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32B08">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48ABBD6"/>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48ABBD6"/>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3263A">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99C4E">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AC2BBFB">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AC2BBFB">
                    <w:pPr>
                      <w:pStyle w:val="6"/>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FF07B">
    <w:pPr>
      <w:pStyle w:val="6"/>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71F4A77">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671F4A77">
                    <w:pPr>
                      <w:pStyle w:val="6"/>
                    </w:pPr>
                    <w:r>
                      <w:fldChar w:fldCharType="begin"/>
                    </w:r>
                    <w:r>
                      <w:instrText xml:space="preserve"> PAGE  \* MERGEFORMAT </w:instrText>
                    </w:r>
                    <w:r>
                      <w:fldChar w:fldCharType="separate"/>
                    </w:r>
                    <w:r>
                      <w:t>2</w:t>
                    </w:r>
                    <w:r>
                      <w:fldChar w:fldCharType="end"/>
                    </w:r>
                  </w:p>
                </w:txbxContent>
              </v:textbox>
            </v:shape>
          </w:pict>
        </mc:Fallback>
      </mc:AlternateContent>
    </w:r>
  </w:p>
  <w:p w14:paraId="2A9184F4">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AD992">
    <w:pPr>
      <w:pStyle w:val="6"/>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2BE6C44">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42BE6C44">
                    <w:pPr>
                      <w:pStyle w:val="6"/>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-16510</wp:posOffset>
              </wp:positionV>
              <wp:extent cx="1828800" cy="1828800"/>
              <wp:effectExtent l="0" t="0" r="10795" b="6350"/>
              <wp:wrapTopAndBottom/>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2C22058">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pt;margin-top:-1.3pt;height:144pt;width:144pt;mso-wrap-distance-bottom:0pt;mso-wrap-distance-top:0pt;mso-wrap-style:none;z-index:251659264;mso-width-relative:page;mso-height-relative:page;" filled="f" stroked="f" coordsize="21600,21600" o:gfxdata="UEsDBAoAAAAAAIdO4kAAAAAAAAAAAAAAAAAEAAAAZHJzL1BLAwQUAAAACACHTuJAk0DSR9UAAAAH&#10;AQAADwAAAGRycy9kb3ducmV2LnhtbE2PQU/DMAyF70j8h8hI3LZ0ZUxVaTqJiXJEYt2BY9Z4bUfj&#10;VEnWlX+Pd4Kbn5/13udiO9tBTOhD70jBapmAQGqc6alVcKirRQYiRE1GD45QwQ8G2Jb3d4XOjbvS&#10;J0772AoOoZBrBV2MYy5laDq0OizdiMTeyXmrI0vfSuP1lcPtINMk2Uire+KGTo+467D53l+sgl1V&#10;137C4IcvfK+ezh+va3yblXp8WCUvICLO8e8YbviMDiUzHd2FTBCDAn4kKlikGxDsplnGi+NteF6D&#10;LAv5n7/8BVBLAwQUAAAACACHTuJAKyyK1TECAABlBAAADgAAAGRycy9lMm9Eb2MueG1srVTNjtMw&#10;EL4j8Q6W7zRtEauqaroqWxUhVexKBXF2HaeJ5D/ZbpPyAPAGnLhw57n6HHx2ki5aOOyBSzr2jL+Z&#10;75uZLm5bJclJOF8bndPJaEyJ0NwUtT7k9NPHzasZJT4wXTBptMjpWXh6u3z5YtHYuZiayshCOAIQ&#10;7eeNzWkVgp1nmeeVUMyPjBUaztI4xQKO7pAVjjVAVzKbjsc3WWNcYZ3hwnvcrjsn7RHdcwBNWdZc&#10;rA0/KqFDh+qEZAGUfFVbT5ep2rIUPNyXpReByJyCaUhfJIG9j99suWDzg2O2qnlfAntOCU84KVZr&#10;JL1CrVlg5Ojqv6BUzZ3xpgwjblTWEUmKgMVk/ESbXcWsSFwgtbdX0f3/g+UfTg+O1AUmYUqJZgod&#10;v3z/dvnx6/LzK8EdBGqsnyNuZxEZ2remRfBw73EZebelU/EXjAj8kPd8lVe0gfD4aDadzcZwcfiG&#10;A/Czx+fW+fBOGEWikVOH/iVZ2WnrQxc6hMRs2mxqKVMPpSZNTm9evxmnB1cPwKWOsSJNQw8TKXWl&#10;Ryu0+7bnuTfFGTSd6SbFW76pUcqW+fDAHEYD5WN5wj0+pTRIaXqLksq4L/+6j/HoGLyUNBi1nGps&#10;FiXyvUYnARgGww3GfjD0Ud0ZzO4ES2l5MvHABTmYpTPqMzZqFXPAxTRHppyGwbwL3bhjI7lYrVIQ&#10;Zs+ysNU7yyN0lMfb1TFAzqRyFKVTAt2JB0xf6lO/KXG8/zynqMd/h+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0DSR9UAAAAHAQAADwAAAAAAAAABACAAAAAiAAAAZHJzL2Rvd25yZXYueG1sUEsB&#10;AhQAFAAAAAgAh07iQCssitUxAgAAZQQAAA4AAAAAAAAAAQAgAAAAJAEAAGRycy9lMm9Eb2MueG1s&#10;UEsFBgAAAAAGAAYAWQEAAMcFAAAAAA==&#10;">
              <v:fill on="f" focussize="0,0"/>
              <v:stroke on="f" weight="0.5pt"/>
              <v:imagedata o:title=""/>
              <o:lock v:ext="edit" aspectratio="f"/>
              <v:textbox inset="0mm,0mm,0mm,0mm" style="mso-fit-shape-to-text:t;">
                <w:txbxContent>
                  <w:p w14:paraId="22C22058">
                    <w:pPr>
                      <w:pStyle w:val="6"/>
                    </w:pPr>
                  </w:p>
                </w:txbxContent>
              </v:textbox>
              <w10:wrap type="topAndBottom"/>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94556">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1A1F5">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77D4E">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02A952F4"/>
    <w:multiLevelType w:val="singleLevel"/>
    <w:tmpl w:val="02A952F4"/>
    <w:lvl w:ilvl="0" w:tentative="0">
      <w:start w:val="1"/>
      <w:numFmt w:val="chineseCounting"/>
      <w:suff w:val="nothing"/>
      <w:lvlText w:val="%1、"/>
      <w:lvlJc w:val="left"/>
      <w:pPr>
        <w:ind w:left="0" w:firstLine="420"/>
      </w:pPr>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1MzJhOTM0N2EwOWFjNjQ4ODAxOTEwZTQ5MjAzMGQifQ=="/>
  </w:docVars>
  <w:rsids>
    <w:rsidRoot w:val="002B11AA"/>
    <w:rsid w:val="0003083D"/>
    <w:rsid w:val="00034A7C"/>
    <w:rsid w:val="00063731"/>
    <w:rsid w:val="00073339"/>
    <w:rsid w:val="000A6B2E"/>
    <w:rsid w:val="000A7569"/>
    <w:rsid w:val="00164E67"/>
    <w:rsid w:val="00166094"/>
    <w:rsid w:val="00183026"/>
    <w:rsid w:val="0022430A"/>
    <w:rsid w:val="0023245F"/>
    <w:rsid w:val="002353EC"/>
    <w:rsid w:val="00242ADE"/>
    <w:rsid w:val="002810ED"/>
    <w:rsid w:val="002A03DD"/>
    <w:rsid w:val="002B11AA"/>
    <w:rsid w:val="002B3520"/>
    <w:rsid w:val="002C542A"/>
    <w:rsid w:val="002D28B0"/>
    <w:rsid w:val="00341FBE"/>
    <w:rsid w:val="0035517B"/>
    <w:rsid w:val="00355632"/>
    <w:rsid w:val="0036388C"/>
    <w:rsid w:val="00394FFA"/>
    <w:rsid w:val="004009DF"/>
    <w:rsid w:val="0041151B"/>
    <w:rsid w:val="00437786"/>
    <w:rsid w:val="00496A99"/>
    <w:rsid w:val="00497FBA"/>
    <w:rsid w:val="00544FC9"/>
    <w:rsid w:val="005507C3"/>
    <w:rsid w:val="00572F0C"/>
    <w:rsid w:val="00592391"/>
    <w:rsid w:val="00597410"/>
    <w:rsid w:val="005A7B48"/>
    <w:rsid w:val="005B4236"/>
    <w:rsid w:val="005D5928"/>
    <w:rsid w:val="005F54F6"/>
    <w:rsid w:val="00610DFF"/>
    <w:rsid w:val="006B76D8"/>
    <w:rsid w:val="00730A0D"/>
    <w:rsid w:val="007F7C5F"/>
    <w:rsid w:val="008138DB"/>
    <w:rsid w:val="008247AC"/>
    <w:rsid w:val="008462CB"/>
    <w:rsid w:val="008D0EF6"/>
    <w:rsid w:val="008D6052"/>
    <w:rsid w:val="00916A24"/>
    <w:rsid w:val="00934F8E"/>
    <w:rsid w:val="009531DE"/>
    <w:rsid w:val="009547CE"/>
    <w:rsid w:val="00991C89"/>
    <w:rsid w:val="009C4BBC"/>
    <w:rsid w:val="009C7BE7"/>
    <w:rsid w:val="009D1DAE"/>
    <w:rsid w:val="009E13E0"/>
    <w:rsid w:val="00A0567A"/>
    <w:rsid w:val="00A5551B"/>
    <w:rsid w:val="00A55C27"/>
    <w:rsid w:val="00A74CD3"/>
    <w:rsid w:val="00A83428"/>
    <w:rsid w:val="00AA2FFF"/>
    <w:rsid w:val="00AB5CA2"/>
    <w:rsid w:val="00AF7120"/>
    <w:rsid w:val="00B1455B"/>
    <w:rsid w:val="00B357E8"/>
    <w:rsid w:val="00B638D8"/>
    <w:rsid w:val="00B977D7"/>
    <w:rsid w:val="00BD0020"/>
    <w:rsid w:val="00BE0366"/>
    <w:rsid w:val="00BF7CA3"/>
    <w:rsid w:val="00C02AC2"/>
    <w:rsid w:val="00C1073B"/>
    <w:rsid w:val="00C1503A"/>
    <w:rsid w:val="00C17893"/>
    <w:rsid w:val="00C55249"/>
    <w:rsid w:val="00C85186"/>
    <w:rsid w:val="00CD6B5B"/>
    <w:rsid w:val="00D06243"/>
    <w:rsid w:val="00D1474D"/>
    <w:rsid w:val="00D16E20"/>
    <w:rsid w:val="00D213DF"/>
    <w:rsid w:val="00D7152D"/>
    <w:rsid w:val="00D92BFA"/>
    <w:rsid w:val="00D96CCF"/>
    <w:rsid w:val="00DA6798"/>
    <w:rsid w:val="00DB0B7C"/>
    <w:rsid w:val="00E640F6"/>
    <w:rsid w:val="00E67ED5"/>
    <w:rsid w:val="00E73FF1"/>
    <w:rsid w:val="00E752EE"/>
    <w:rsid w:val="00EA6875"/>
    <w:rsid w:val="00EB724E"/>
    <w:rsid w:val="00EF7E53"/>
    <w:rsid w:val="00F015FB"/>
    <w:rsid w:val="00F60EB7"/>
    <w:rsid w:val="00F72F95"/>
    <w:rsid w:val="00F97904"/>
    <w:rsid w:val="00FA3429"/>
    <w:rsid w:val="00FC0A31"/>
    <w:rsid w:val="00FC4AF6"/>
    <w:rsid w:val="00FD2BDB"/>
    <w:rsid w:val="00FE6911"/>
    <w:rsid w:val="0B4E6C7C"/>
    <w:rsid w:val="1406266E"/>
    <w:rsid w:val="1E9C16D9"/>
    <w:rsid w:val="26AC37D4"/>
    <w:rsid w:val="41055DF9"/>
    <w:rsid w:val="438A254E"/>
    <w:rsid w:val="4EAC1FAA"/>
    <w:rsid w:val="544B268E"/>
    <w:rsid w:val="5A1E1882"/>
    <w:rsid w:val="5DEE398E"/>
    <w:rsid w:val="6508410F"/>
    <w:rsid w:val="71704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rPr>
      <w:rFonts w:ascii="Calibri" w:hAnsi="Calibri"/>
    </w:rPr>
  </w:style>
  <w:style w:type="paragraph" w:styleId="5">
    <w:name w:val="Body Text"/>
    <w:basedOn w:val="1"/>
    <w:qFormat/>
    <w:uiPriority w:val="99"/>
    <w:pPr>
      <w:spacing w:beforeLines="30"/>
    </w:pPr>
    <w:rPr>
      <w:rFonts w:ascii="仿宋_GB2312" w:eastAsia="仿宋_GB2312"/>
      <w:kern w:val="0"/>
      <w:sz w:val="30"/>
    </w:rPr>
  </w:style>
  <w:style w:type="paragraph" w:styleId="6">
    <w:name w:val="footer"/>
    <w:basedOn w:val="1"/>
    <w:autoRedefine/>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autoRedefine/>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9">
    <w:name w:val="toc 2"/>
    <w:basedOn w:val="1"/>
    <w:next w:val="1"/>
    <w:autoRedefine/>
    <w:unhideWhenUsed/>
    <w:qFormat/>
    <w:uiPriority w:val="39"/>
    <w:pPr>
      <w:tabs>
        <w:tab w:val="right" w:leader="dot" w:pos="8296"/>
      </w:tabs>
      <w:ind w:left="420" w:leftChars="200"/>
    </w:pPr>
  </w:style>
  <w:style w:type="character" w:styleId="12">
    <w:name w:val="Strong"/>
    <w:basedOn w:val="11"/>
    <w:qFormat/>
    <w:uiPriority w:val="99"/>
    <w:rPr>
      <w:b/>
    </w:rPr>
  </w:style>
  <w:style w:type="character" w:customStyle="1" w:styleId="13">
    <w:name w:val="标题 1 字符"/>
    <w:basedOn w:val="11"/>
    <w:link w:val="3"/>
    <w:autoRedefine/>
    <w:qFormat/>
    <w:uiPriority w:val="9"/>
    <w:rPr>
      <w:b/>
      <w:bCs/>
      <w:kern w:val="44"/>
      <w:sz w:val="44"/>
      <w:szCs w:val="44"/>
    </w:rPr>
  </w:style>
  <w:style w:type="character" w:customStyle="1" w:styleId="14">
    <w:name w:val="标题 2 字符"/>
    <w:basedOn w:val="11"/>
    <w:link w:val="4"/>
    <w:autoRedefine/>
    <w:qFormat/>
    <w:uiPriority w:val="9"/>
    <w:rPr>
      <w:rFonts w:asciiTheme="majorHAnsi" w:hAnsiTheme="majorHAnsi" w:eastAsiaTheme="majorEastAsia" w:cstheme="majorBidi"/>
      <w:b/>
      <w:bCs/>
      <w:sz w:val="32"/>
      <w:szCs w:val="32"/>
    </w:rPr>
  </w:style>
  <w:style w:type="paragraph" w:styleId="15">
    <w:name w:val="List Paragraph"/>
    <w:basedOn w:val="1"/>
    <w:autoRedefine/>
    <w:qFormat/>
    <w:uiPriority w:val="34"/>
    <w:pPr>
      <w:ind w:firstLine="420" w:firstLineChars="200"/>
    </w:pPr>
  </w:style>
  <w:style w:type="paragraph" w:customStyle="1" w:styleId="16">
    <w:name w:val="Default"/>
    <w:autoRedefine/>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chart" Target="charts/chart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zh-CN" altLang="en-US"/>
              <a:t>支出决算情况</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支出决算情况</c:v>
                </c:pt>
              </c:strCache>
            </c:strRef>
          </c:tx>
          <c:spPr/>
          <c:explosion val="0"/>
          <c:dPt>
            <c:idx val="0"/>
            <c:bubble3D val="0"/>
            <c:spPr>
              <a:gradFill>
                <a:gsLst>
                  <a:gs pos="100000">
                    <a:schemeClr val="accent1"/>
                  </a:gs>
                  <a:gs pos="0">
                    <a:schemeClr val="accent1">
                      <a:hueOff val="-1670000"/>
                    </a:schemeClr>
                  </a:gs>
                </a:gsLst>
                <a:lin ang="5400000" scaled="0"/>
              </a:gradFill>
              <a:ln>
                <a:gradFill>
                  <a:gsLst>
                    <a:gs pos="100000">
                      <a:schemeClr val="accent1">
                        <a:lumMod val="75000"/>
                      </a:schemeClr>
                    </a:gs>
                    <a:gs pos="0">
                      <a:schemeClr val="accent1">
                        <a:lumMod val="75000"/>
                        <a:hueOff val="-1670000"/>
                      </a:schemeClr>
                    </a:gs>
                  </a:gsLst>
                  <a:lin ang="4620000" scaled="0"/>
                </a:gradFill>
              </a:ln>
              <a:effectLst/>
            </c:spPr>
          </c:dPt>
          <c:dPt>
            <c:idx val="1"/>
            <c:bubble3D val="0"/>
            <c:spPr>
              <a:gradFill>
                <a:gsLst>
                  <a:gs pos="100000">
                    <a:schemeClr val="accent2"/>
                  </a:gs>
                  <a:gs pos="0">
                    <a:schemeClr val="accent2">
                      <a:hueOff val="-1670000"/>
                    </a:schemeClr>
                  </a:gs>
                </a:gsLst>
                <a:lin ang="5400000" scaled="0"/>
              </a:gradFill>
              <a:ln>
                <a:gradFill>
                  <a:gsLst>
                    <a:gs pos="100000">
                      <a:schemeClr val="accent2">
                        <a:lumMod val="75000"/>
                      </a:schemeClr>
                    </a:gs>
                    <a:gs pos="0">
                      <a:schemeClr val="accent2">
                        <a:lumMod val="75000"/>
                        <a:hueOff val="-1670000"/>
                      </a:schemeClr>
                    </a:gs>
                  </a:gsLst>
                  <a:lin ang="4620000" scaled="0"/>
                </a:gradFill>
              </a:ln>
              <a:effectLst/>
            </c:spPr>
          </c:dPt>
          <c:dPt>
            <c:idx val="2"/>
            <c:bubble3D val="0"/>
            <c:spPr>
              <a:gradFill>
                <a:gsLst>
                  <a:gs pos="100000">
                    <a:schemeClr val="accent3"/>
                  </a:gs>
                  <a:gs pos="0">
                    <a:schemeClr val="accent3">
                      <a:hueOff val="-1670000"/>
                    </a:schemeClr>
                  </a:gs>
                </a:gsLst>
                <a:lin ang="5400000" scaled="0"/>
              </a:gradFill>
              <a:ln>
                <a:gradFill>
                  <a:gsLst>
                    <a:gs pos="100000">
                      <a:schemeClr val="accent3">
                        <a:lumMod val="75000"/>
                      </a:schemeClr>
                    </a:gs>
                    <a:gs pos="0">
                      <a:schemeClr val="accent3">
                        <a:lumMod val="75000"/>
                        <a:hueOff val="-1670000"/>
                      </a:schemeClr>
                    </a:gs>
                  </a:gsLst>
                  <a:lin ang="4620000" scaled="0"/>
                </a:gradFill>
              </a:ln>
              <a:effectLst/>
            </c:spPr>
          </c:dPt>
          <c:dPt>
            <c:idx val="3"/>
            <c:bubble3D val="0"/>
            <c:spPr>
              <a:gradFill>
                <a:gsLst>
                  <a:gs pos="100000">
                    <a:schemeClr val="accent4"/>
                  </a:gs>
                  <a:gs pos="0">
                    <a:schemeClr val="accent4">
                      <a:hueOff val="-1670000"/>
                    </a:schemeClr>
                  </a:gs>
                </a:gsLst>
                <a:lin ang="5400000" scaled="0"/>
              </a:gradFill>
              <a:ln>
                <a:gradFill>
                  <a:gsLst>
                    <a:gs pos="100000">
                      <a:schemeClr val="accent4">
                        <a:lumMod val="75000"/>
                      </a:schemeClr>
                    </a:gs>
                    <a:gs pos="0">
                      <a:schemeClr val="accent4">
                        <a:lumMod val="75000"/>
                        <a:hueOff val="-1670000"/>
                      </a:schemeClr>
                    </a:gs>
                  </a:gsLst>
                  <a:lin ang="4620000" scaled="0"/>
                </a:gradFill>
              </a:ln>
              <a:effectLst/>
            </c:spPr>
          </c:dPt>
          <c:dPt>
            <c:idx val="4"/>
            <c:bubble3D val="0"/>
            <c:spPr>
              <a:gradFill>
                <a:gsLst>
                  <a:gs pos="100000">
                    <a:schemeClr val="accent5"/>
                  </a:gs>
                  <a:gs pos="0">
                    <a:schemeClr val="accent5">
                      <a:hueOff val="-1670000"/>
                    </a:schemeClr>
                  </a:gs>
                </a:gsLst>
                <a:lin ang="5400000" scaled="0"/>
              </a:gradFill>
              <a:ln>
                <a:gradFill>
                  <a:gsLst>
                    <a:gs pos="100000">
                      <a:schemeClr val="accent5">
                        <a:lumMod val="75000"/>
                      </a:schemeClr>
                    </a:gs>
                    <a:gs pos="0">
                      <a:schemeClr val="accent5">
                        <a:lumMod val="75000"/>
                        <a:hueOff val="-1670000"/>
                      </a:schemeClr>
                    </a:gs>
                  </a:gsLst>
                  <a:lin ang="4620000" scaled="0"/>
                </a:gra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dk1">
                            <a:lumMod val="75000"/>
                            <a:lumOff val="25000"/>
                          </a:schemeClr>
                        </a:solidFill>
                        <a:latin typeface="+mn-lt"/>
                        <a:ea typeface="+mn-ea"/>
                        <a:cs typeface="+mn-cs"/>
                      </a:defRPr>
                    </a:pPr>
                    <a:r>
                      <a:rPr lang="zh-CN" altLang="en-US"/>
                      <a:t>基本支出</a:t>
                    </a:r>
                    <a:endParaRPr lang="zh-CN" altLang="en-US"/>
                  </a:p>
                  <a:p>
                    <a:pPr defTabSz="914400">
                      <a:defRPr lang="zh-CN" sz="1000" b="0" i="0" u="none" strike="noStrike" kern="1200" baseline="0">
                        <a:solidFill>
                          <a:schemeClr val="dk1">
                            <a:lumMod val="75000"/>
                            <a:lumOff val="25000"/>
                          </a:schemeClr>
                        </a:solidFill>
                        <a:latin typeface="+mn-lt"/>
                        <a:ea typeface="+mn-ea"/>
                        <a:cs typeface="+mn-cs"/>
                      </a:defRPr>
                    </a:pPr>
                    <a:r>
                      <a:rPr lang="en-US" altLang="zh-CN"/>
                      <a:t>91.76%</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lumMod val="75000"/>
                          <a:lumOff val="25000"/>
                        </a:schemeClr>
                      </a:solidFill>
                      <a:latin typeface="+mn-lt"/>
                      <a:ea typeface="+mn-ea"/>
                      <a:cs typeface="+mn-cs"/>
                    </a:defRPr>
                  </a:pPr>
                </a:p>
              </c:txPr>
              <c:dLblPos val="inEnd"/>
              <c:showLegendKey val="0"/>
              <c:showVal val="0"/>
              <c:showCatName val="1"/>
              <c:showSerName val="0"/>
              <c:showPercent val="1"/>
              <c:showBubbleSize val="0"/>
              <c:separator>
</c:separator>
              <c:extLst>
                <c:ext xmlns:c15="http://schemas.microsoft.com/office/drawing/2012/chart" uri="{CE6537A1-D6FC-4f65-9D91-7224C49458BB}">
                  <c15:layout>
                    <c:manualLayout>
                      <c:w val="0.140764647467726"/>
                      <c:h val="0.152974504249292"/>
                    </c:manualLayout>
                  </c15:layout>
                </c:ext>
              </c:extLst>
            </c:dLbl>
            <c:dLbl>
              <c:idx val="1"/>
              <c:layout>
                <c:manualLayout>
                  <c:x val="0.0721904805360876"/>
                  <c:y val="0.13502066183266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dk1">
                            <a:lumMod val="75000"/>
                            <a:lumOff val="25000"/>
                          </a:schemeClr>
                        </a:solidFill>
                        <a:latin typeface="+mn-lt"/>
                        <a:ea typeface="+mn-ea"/>
                        <a:cs typeface="+mn-cs"/>
                      </a:defRPr>
                    </a:pPr>
                    <a:r>
                      <a:rPr lang="zh-CN" altLang="en-US"/>
                      <a:t>项目支出</a:t>
                    </a:r>
                    <a:r>
                      <a:rPr lang="en-US" altLang="zh-CN"/>
                      <a:t>8.24%</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lumMod val="75000"/>
                          <a:lumOff val="25000"/>
                        </a:schemeClr>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16732869910626"/>
                      <c:h val="0.153541076487252"/>
                    </c:manualLayout>
                  </c15:layout>
                </c:ext>
              </c:extLst>
            </c:dLbl>
            <c:dLbl>
              <c:idx val="2"/>
              <c:delete val="1"/>
            </c:dLbl>
            <c:dLbl>
              <c:idx val="3"/>
              <c:delete val="1"/>
            </c:dLbl>
            <c:dLbl>
              <c:idx val="4"/>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87.03</c:v>
                </c:pt>
                <c:pt idx="1" c:formatCode="0.00_ ">
                  <c:v>12.97</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solidFill>
      <a:schemeClr val="lt1">
        <a:lumMod val="96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8">
  <cs:axisTitle>
    <cs:lnRef idx="0"/>
    <cs:fillRef idx="0"/>
    <cs:effectRef idx="0"/>
    <cs:fontRef idx="minor">
      <a:schemeClr val="dk1">
        <a:lumMod val="65000"/>
        <a:lumOff val="35000"/>
      </a:schemeClr>
    </cs:fontRef>
    <cs:defRPr sz="10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lt1">
          <a:lumMod val="96000"/>
        </a:schemeClr>
      </a:solidFill>
      <a:ln w="9525" cap="flat" cmpd="sng" algn="ctr">
        <a:solidFill>
          <a:schemeClr val="tx1">
            <a:lumMod val="15000"/>
            <a:lumOff val="85000"/>
          </a:schemeClr>
        </a:solidFill>
        <a:round/>
      </a:ln>
    </cs:spPr>
    <cs:defRPr sz="1000" kern="1200"/>
  </cs:chartArea>
  <cs:dataLabel>
    <cs:lnRef idx="0"/>
    <cs:fillRef idx="0"/>
    <cs:effectRef idx="0"/>
    <cs:fontRef idx="minor">
      <a:schemeClr val="dk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100000">
            <a:schemeClr val="phClr"/>
          </a:gs>
          <a:gs pos="0">
            <a:schemeClr val="phClr">
              <a:hueOff val="-1670000"/>
            </a:schemeClr>
          </a:gs>
        </a:gsLst>
        <a:lin ang="5400000" scaled="0"/>
      </a:gradFill>
      <a:ln>
        <a:gradFill>
          <a:gsLst>
            <a:gs pos="100000">
              <a:schemeClr val="phClr">
                <a:lumMod val="75000"/>
              </a:schemeClr>
            </a:gs>
            <a:gs pos="0">
              <a:schemeClr val="phClr">
                <a:lumMod val="75000"/>
                <a:hueOff val="-1670000"/>
              </a:schemeClr>
            </a:gs>
          </a:gsLst>
          <a:lin ang="4620000" scaled="0"/>
        </a:gra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a:solidFill>
          <a:schemeClr val="dk1">
            <a:lumMod val="35000"/>
            <a:lumOff val="65000"/>
          </a:schemeClr>
        </a:solidFill>
      </a:ln>
    </cs:spPr>
  </cs:dropLine>
  <cs:errorBar>
    <cs:lnRef idx="0"/>
    <cs:fillRef idx="0"/>
    <cs:effectRef idx="0"/>
    <cs:fontRef idx="minor">
      <a:schemeClr val="tx1"/>
    </cs:fontRef>
    <cs:spPr>
      <a:ln w="9525" cap="flat" cmpd="sng" algn="ctr">
        <a:solidFill>
          <a:schemeClr val="dk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a:solidFill>
          <a:schemeClr val="dk1">
            <a:lumMod val="75000"/>
            <a:lumOff val="25000"/>
          </a:schemeClr>
        </a:solidFill>
      </a:ln>
    </cs:spPr>
  </cs:hiLoLine>
  <cs:leaderLine>
    <cs:lnRef idx="0"/>
    <cs:fillRef idx="0"/>
    <cs:effectRef idx="0"/>
    <cs:fontRef idx="minor">
      <a:schemeClr val="tx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tx1"/>
    </cs:fontRef>
    <cs:spPr>
      <a:ln w="9525">
        <a:solidFill>
          <a:schemeClr val="dk1">
            <a:lumMod val="35000"/>
            <a:lumOff val="65000"/>
          </a:schemeClr>
        </a:solidFill>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none" lIns="0" tIns="0" rIns="0" bIns="0" numCol="1" spcCol="0" rtlCol="0" fromWordArt="0" anchor="t" anchorCtr="0" forceAA="0" compatLnSpc="1">
        <a:sp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6676</Words>
  <Characters>7084</Characters>
  <Lines>52</Lines>
  <Paragraphs>14</Paragraphs>
  <TotalTime>407</TotalTime>
  <ScaleCrop>false</ScaleCrop>
  <LinksUpToDate>false</LinksUpToDate>
  <CharactersWithSpaces>7149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2024-09-29T07:45:00Z</dcterms:created>
  <dc:creator>Li</dc:creator>
  <cp:lastModifiedBy>qzuser</cp:lastModifiedBy>
  <dcterms:modified xsi:type="dcterms:W3CDTF">2024-10-10T04:22:27Z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1A9BCD137D054E658B7F9AEE733719B9_12</vt:lpwstr>
  </property>
</Properties>
</file>