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6DA8F">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77425"/>
      <w:bookmarkStart w:id="1" w:name="_Toc15396475"/>
      <w:bookmarkStart w:id="2" w:name="_Toc15378441"/>
      <w:bookmarkStart w:id="3" w:name="_Toc15396597"/>
      <w:bookmarkStart w:id="4" w:name="_Toc15377193"/>
      <w:bookmarkStart w:id="5" w:name="_Toc15306267"/>
    </w:p>
    <w:p w14:paraId="4EA4DE21">
      <w:pPr>
        <w:spacing w:line="600" w:lineRule="exact"/>
        <w:jc w:val="center"/>
        <w:outlineLvl w:val="0"/>
        <w:rPr>
          <w:rFonts w:ascii="方正小标宋简体" w:hAnsi="宋体" w:eastAsia="方正小标宋简体"/>
          <w:color w:val="auto"/>
          <w:sz w:val="72"/>
          <w:szCs w:val="72"/>
          <w:highlight w:val="none"/>
        </w:rPr>
      </w:pPr>
    </w:p>
    <w:p w14:paraId="213230CE">
      <w:pPr>
        <w:spacing w:line="600" w:lineRule="exact"/>
        <w:jc w:val="center"/>
        <w:outlineLvl w:val="0"/>
        <w:rPr>
          <w:rFonts w:ascii="方正小标宋简体" w:hAnsi="宋体" w:eastAsia="方正小标宋简体"/>
          <w:color w:val="auto"/>
          <w:sz w:val="72"/>
          <w:szCs w:val="72"/>
          <w:highlight w:val="none"/>
        </w:rPr>
      </w:pPr>
    </w:p>
    <w:p w14:paraId="27CE3E1B">
      <w:pPr>
        <w:spacing w:line="600" w:lineRule="exact"/>
        <w:jc w:val="center"/>
        <w:outlineLvl w:val="0"/>
        <w:rPr>
          <w:rFonts w:ascii="方正小标宋简体" w:hAnsi="宋体" w:eastAsia="方正小标宋简体"/>
          <w:color w:val="auto"/>
          <w:sz w:val="72"/>
          <w:szCs w:val="72"/>
          <w:highlight w:val="none"/>
        </w:rPr>
      </w:pPr>
    </w:p>
    <w:p w14:paraId="770ED4CC">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23</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p>
    <w:bookmarkEnd w:id="5"/>
    <w:p w14:paraId="5D200BD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lang w:val="en-US" w:eastAsia="zh-CN"/>
        </w:rPr>
      </w:pPr>
      <w:bookmarkStart w:id="6" w:name="_Toc15396598"/>
      <w:bookmarkStart w:id="7" w:name="_Toc15378442"/>
      <w:bookmarkStart w:id="8" w:name="_Toc15377426"/>
      <w:bookmarkStart w:id="9" w:name="_Toc15306268"/>
      <w:bookmarkStart w:id="10" w:name="_Toc15396476"/>
      <w:bookmarkStart w:id="11" w:name="_Toc15377194"/>
      <w:r>
        <w:rPr>
          <w:rFonts w:hint="eastAsia" w:ascii="方正小标宋简体" w:hAnsi="方正小标宋简体" w:eastAsia="方正小标宋简体" w:cs="方正小标宋简体"/>
          <w:color w:val="auto"/>
          <w:sz w:val="72"/>
          <w:szCs w:val="72"/>
          <w:highlight w:val="none"/>
          <w:lang w:val="en-US" w:eastAsia="zh-CN"/>
        </w:rPr>
        <w:t>广元市利州区宝珠小学</w:t>
      </w:r>
    </w:p>
    <w:p w14:paraId="03C401EE">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14:paraId="22F98E4F">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w:t>
      </w:r>
      <w:r>
        <w:rPr>
          <w:rFonts w:hint="eastAsia" w:ascii="黑体" w:hAnsi="黑体" w:eastAsia="黑体"/>
          <w:color w:val="auto"/>
          <w:sz w:val="48"/>
          <w:szCs w:val="48"/>
          <w:highlight w:val="none"/>
          <w:lang w:val="en-US" w:eastAsia="zh-CN"/>
        </w:rPr>
        <w:t xml:space="preserve">     </w:t>
      </w:r>
      <w:r>
        <w:rPr>
          <w:rFonts w:hint="eastAsia" w:ascii="黑体" w:hAnsi="黑体" w:eastAsia="黑体"/>
          <w:color w:val="auto"/>
          <w:sz w:val="48"/>
          <w:szCs w:val="48"/>
          <w:highlight w:val="none"/>
        </w:rPr>
        <w:t>录</w:t>
      </w:r>
    </w:p>
    <w:p w14:paraId="2AD40759">
      <w:pPr>
        <w:widowControl/>
        <w:jc w:val="center"/>
        <w:rPr>
          <w:rFonts w:ascii="黑体" w:hAnsi="黑体" w:eastAsia="黑体" w:cstheme="minorBidi"/>
          <w:color w:val="auto"/>
          <w:sz w:val="28"/>
          <w:szCs w:val="28"/>
          <w:highlight w:val="none"/>
        </w:rPr>
      </w:pPr>
    </w:p>
    <w:p w14:paraId="6F744FCB">
      <w:pPr>
        <w:pStyle w:val="12"/>
        <w:rPr>
          <w:color w:val="auto"/>
          <w:highlight w:val="none"/>
        </w:rPr>
      </w:pPr>
      <w:r>
        <w:rPr>
          <w:rFonts w:hint="eastAsia"/>
          <w:color w:val="auto"/>
          <w:highlight w:val="none"/>
        </w:rPr>
        <w:t>公开时间：20</w:t>
      </w:r>
      <w:r>
        <w:rPr>
          <w:rFonts w:hint="eastAsia"/>
          <w:color w:val="auto"/>
          <w:highlight w:val="none"/>
          <w:lang w:val="en-US" w:eastAsia="zh-CN"/>
        </w:rPr>
        <w:t>24</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14</w:t>
      </w:r>
      <w:r>
        <w:rPr>
          <w:rFonts w:hint="eastAsia"/>
          <w:color w:val="auto"/>
          <w:highlight w:val="none"/>
        </w:rPr>
        <w:t>日</w:t>
      </w:r>
    </w:p>
    <w:p w14:paraId="73F3A4FC">
      <w:pPr>
        <w:rPr>
          <w:color w:val="auto"/>
          <w:highlight w:val="none"/>
        </w:rPr>
      </w:pPr>
    </w:p>
    <w:p w14:paraId="5849FA59">
      <w:pPr>
        <w:pStyle w:val="12"/>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14:paraId="3EAC2FAF">
      <w:pPr>
        <w:pStyle w:val="13"/>
        <w:adjustRightInd w:val="0"/>
        <w:snapToGrid w:val="0"/>
        <w:spacing w:line="440" w:lineRule="exact"/>
        <w:jc w:val="left"/>
        <w:rPr>
          <w:rFonts w:hint="eastAsia" w:eastAsia="宋体"/>
          <w:color w:val="auto"/>
          <w:sz w:val="24"/>
          <w:highlight w:val="none"/>
          <w:lang w:eastAsia="zh-CN"/>
        </w:rPr>
      </w:pPr>
      <w:r>
        <w:rPr>
          <w:rFonts w:hint="eastAsia"/>
          <w:color w:val="auto"/>
          <w:sz w:val="24"/>
          <w:highlight w:val="none"/>
        </w:rPr>
        <w:t>一、</w:t>
      </w:r>
      <w:r>
        <w:rPr>
          <w:rFonts w:hint="eastAsia"/>
          <w:color w:val="auto"/>
          <w:sz w:val="24"/>
          <w:highlight w:val="none"/>
          <w:lang w:eastAsia="zh-CN"/>
        </w:rPr>
        <w:t>主要职责</w:t>
      </w:r>
    </w:p>
    <w:p w14:paraId="71AC1F1A">
      <w:pPr>
        <w:pStyle w:val="13"/>
        <w:adjustRightInd w:val="0"/>
        <w:snapToGrid w:val="0"/>
        <w:spacing w:line="440" w:lineRule="exact"/>
        <w:jc w:val="left"/>
        <w:rPr>
          <w:rFonts w:hint="eastAsia" w:eastAsia="宋体"/>
          <w:color w:val="auto"/>
          <w:lang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14:paraId="679CF8D0">
      <w:pPr>
        <w:pStyle w:val="12"/>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2023年度</w:t>
      </w:r>
      <w:r>
        <w:rPr>
          <w:rFonts w:hint="eastAsia"/>
          <w:color w:val="auto"/>
          <w:sz w:val="24"/>
          <w:highlight w:val="none"/>
          <w:lang w:eastAsia="zh-CN"/>
        </w:rPr>
        <w:t>单位</w:t>
      </w:r>
      <w:r>
        <w:rPr>
          <w:rFonts w:hint="eastAsia"/>
          <w:color w:val="auto"/>
          <w:sz w:val="24"/>
          <w:highlight w:val="none"/>
        </w:rPr>
        <w:t>决算情况说明</w:t>
      </w:r>
    </w:p>
    <w:p w14:paraId="260D7A79">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一、收入支出决算总体情况说明</w:t>
      </w:r>
    </w:p>
    <w:p w14:paraId="5BAC1243">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二、收入决算情况说明</w:t>
      </w:r>
    </w:p>
    <w:p w14:paraId="09349552">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三、支出决算情况说明</w:t>
      </w:r>
    </w:p>
    <w:p w14:paraId="5920BA21">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四、财政拨款收入支出决算总体情况说明</w:t>
      </w:r>
    </w:p>
    <w:p w14:paraId="08C6D70D">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五、一般公共预算财政拨款支出决算情况说明</w:t>
      </w:r>
    </w:p>
    <w:p w14:paraId="662F35B8">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六、一般公共预算财政拨款基本支出决算情况说明</w:t>
      </w:r>
    </w:p>
    <w:p w14:paraId="3669CC1A">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14:paraId="7097177A">
      <w:pPr>
        <w:pStyle w:val="13"/>
        <w:adjustRightInd w:val="0"/>
        <w:snapToGrid w:val="0"/>
        <w:spacing w:line="440" w:lineRule="exact"/>
        <w:jc w:val="left"/>
        <w:rPr>
          <w:rFonts w:ascii="仿宋" w:hAnsi="仿宋" w:eastAsia="仿宋" w:cs="Times New Roman"/>
          <w:color w:val="auto"/>
          <w:sz w:val="24"/>
          <w:highlight w:val="none"/>
        </w:rPr>
      </w:pPr>
      <w:r>
        <w:rPr>
          <w:rFonts w:hint="eastAsia"/>
          <w:color w:val="auto"/>
          <w:sz w:val="24"/>
          <w:highlight w:val="none"/>
        </w:rPr>
        <w:t>八、政府性基金预算支出决算情况说明</w:t>
      </w:r>
    </w:p>
    <w:p w14:paraId="67205DA2">
      <w:pPr>
        <w:pStyle w:val="13"/>
        <w:adjustRightInd w:val="0"/>
        <w:snapToGrid w:val="0"/>
        <w:spacing w:line="440" w:lineRule="exact"/>
        <w:jc w:val="left"/>
        <w:rPr>
          <w:rFonts w:hint="eastAsia"/>
          <w:color w:val="auto"/>
          <w:sz w:val="24"/>
          <w:highlight w:val="none"/>
        </w:rPr>
      </w:pPr>
      <w:r>
        <w:rPr>
          <w:rFonts w:hint="eastAsia"/>
          <w:color w:val="auto"/>
          <w:sz w:val="24"/>
          <w:highlight w:val="none"/>
        </w:rPr>
        <w:t>九、国有资本经营预算支出决算情况说明</w:t>
      </w:r>
    </w:p>
    <w:p w14:paraId="37C3789C">
      <w:pPr>
        <w:pStyle w:val="13"/>
        <w:adjustRightInd w:val="0"/>
        <w:snapToGrid w:val="0"/>
        <w:spacing w:line="440" w:lineRule="exact"/>
        <w:jc w:val="left"/>
        <w:rPr>
          <w:rFonts w:hint="eastAsia"/>
          <w:color w:val="auto"/>
          <w:sz w:val="24"/>
          <w:highlight w:val="none"/>
          <w:lang w:eastAsia="zh-CN"/>
        </w:rPr>
      </w:pPr>
      <w:r>
        <w:rPr>
          <w:rFonts w:hint="eastAsia"/>
          <w:color w:val="auto"/>
          <w:sz w:val="24"/>
          <w:highlight w:val="none"/>
        </w:rPr>
        <w:t>十、其他重要事项的情况说明</w:t>
      </w:r>
    </w:p>
    <w:p w14:paraId="1B7F0282">
      <w:pPr>
        <w:pStyle w:val="12"/>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14:paraId="3680C5A6">
      <w:pPr>
        <w:pStyle w:val="12"/>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14:paraId="338659C0">
      <w:pPr>
        <w:pStyle w:val="12"/>
        <w:adjustRightInd w:val="0"/>
        <w:snapToGrid w:val="0"/>
        <w:spacing w:before="0" w:line="440" w:lineRule="exact"/>
        <w:jc w:val="left"/>
        <w:rPr>
          <w:rFonts w:cs="Times New Roman"/>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14:paraId="177A2FDE">
      <w:pPr>
        <w:pStyle w:val="13"/>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14:paraId="4AB5B840">
      <w:pPr>
        <w:pStyle w:val="13"/>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14:paraId="1B61B79C">
      <w:pPr>
        <w:pStyle w:val="13"/>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14:paraId="28044619">
      <w:pPr>
        <w:pStyle w:val="13"/>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14:paraId="67B82CEA">
      <w:pPr>
        <w:pStyle w:val="13"/>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14:paraId="1C31995E">
      <w:pPr>
        <w:pStyle w:val="13"/>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14:paraId="5DD2F0AA">
      <w:pPr>
        <w:pStyle w:val="13"/>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14:paraId="7FDC6195">
      <w:pPr>
        <w:pStyle w:val="13"/>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14:paraId="7CEBDFED">
      <w:pPr>
        <w:pStyle w:val="13"/>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14:paraId="3284F445">
      <w:pPr>
        <w:pStyle w:val="13"/>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14:paraId="39B6DA27">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14:paraId="165394C8">
      <w:pPr>
        <w:pStyle w:val="13"/>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14:paraId="080E3DB2">
      <w:pPr>
        <w:pStyle w:val="13"/>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14:paraId="02911CEC">
      <w:pPr>
        <w:widowControl/>
        <w:adjustRightInd w:val="0"/>
        <w:snapToGrid w:val="0"/>
        <w:spacing w:line="440" w:lineRule="exact"/>
        <w:ind w:firstLine="1320" w:firstLineChars="550"/>
        <w:jc w:val="left"/>
        <w:rPr>
          <w:rFonts w:ascii="仿宋" w:hAnsi="仿宋" w:eastAsia="仿宋"/>
          <w:color w:val="auto"/>
          <w:sz w:val="24"/>
          <w:highlight w:val="none"/>
        </w:rPr>
      </w:pPr>
    </w:p>
    <w:p w14:paraId="4012AF67">
      <w:pPr>
        <w:pStyle w:val="3"/>
        <w:jc w:val="center"/>
        <w:rPr>
          <w:rFonts w:hint="eastAsia" w:ascii="黑体" w:hAnsi="黑体" w:eastAsia="黑体"/>
          <w:b w:val="0"/>
          <w:color w:val="auto"/>
          <w:highlight w:val="none"/>
        </w:rPr>
      </w:pPr>
      <w:bookmarkStart w:id="12" w:name="_Toc19089861"/>
      <w:bookmarkStart w:id="13" w:name="_Toc15396599"/>
      <w:bookmarkStart w:id="14" w:name="_Toc15377196"/>
    </w:p>
    <w:p w14:paraId="4FB7FE16">
      <w:pPr>
        <w:rPr>
          <w:rFonts w:hint="eastAsia" w:ascii="黑体" w:hAnsi="黑体" w:eastAsia="黑体"/>
          <w:b w:val="0"/>
          <w:color w:val="auto"/>
          <w:highlight w:val="none"/>
        </w:rPr>
      </w:pPr>
    </w:p>
    <w:p w14:paraId="00FFDD0B">
      <w:pPr>
        <w:pStyle w:val="2"/>
        <w:rPr>
          <w:rFonts w:hint="eastAsia" w:ascii="黑体" w:hAnsi="黑体" w:eastAsia="黑体"/>
          <w:b w:val="0"/>
          <w:color w:val="auto"/>
          <w:highlight w:val="none"/>
        </w:rPr>
      </w:pPr>
    </w:p>
    <w:p w14:paraId="0F20B1F0">
      <w:pPr>
        <w:pStyle w:val="2"/>
        <w:rPr>
          <w:rFonts w:hint="eastAsia" w:ascii="黑体" w:hAnsi="黑体" w:eastAsia="黑体"/>
          <w:b w:val="0"/>
          <w:color w:val="auto"/>
          <w:highlight w:val="none"/>
        </w:rPr>
      </w:pPr>
    </w:p>
    <w:p w14:paraId="5F324990">
      <w:pPr>
        <w:pStyle w:val="2"/>
        <w:rPr>
          <w:rFonts w:hint="eastAsia" w:ascii="黑体" w:hAnsi="黑体" w:eastAsia="黑体"/>
          <w:b w:val="0"/>
          <w:color w:val="auto"/>
          <w:highlight w:val="none"/>
        </w:rPr>
      </w:pPr>
    </w:p>
    <w:p w14:paraId="71820139">
      <w:pPr>
        <w:pStyle w:val="2"/>
        <w:rPr>
          <w:rFonts w:hint="eastAsia" w:ascii="黑体" w:hAnsi="黑体" w:eastAsia="黑体"/>
          <w:b w:val="0"/>
          <w:color w:val="auto"/>
          <w:highlight w:val="none"/>
        </w:rPr>
      </w:pPr>
    </w:p>
    <w:p w14:paraId="35B726F2">
      <w:pPr>
        <w:pStyle w:val="2"/>
        <w:rPr>
          <w:rFonts w:hint="eastAsia" w:ascii="黑体" w:hAnsi="黑体" w:eastAsia="黑体"/>
          <w:b w:val="0"/>
          <w:color w:val="auto"/>
          <w:highlight w:val="none"/>
        </w:rPr>
      </w:pPr>
    </w:p>
    <w:p w14:paraId="0421EAF2">
      <w:pPr>
        <w:pStyle w:val="2"/>
        <w:rPr>
          <w:rFonts w:hint="eastAsia" w:ascii="黑体" w:hAnsi="黑体" w:eastAsia="黑体"/>
          <w:b w:val="0"/>
          <w:color w:val="auto"/>
          <w:highlight w:val="none"/>
        </w:rPr>
      </w:pPr>
    </w:p>
    <w:p w14:paraId="381CA95C">
      <w:pPr>
        <w:pStyle w:val="2"/>
        <w:rPr>
          <w:rFonts w:hint="eastAsia" w:ascii="黑体" w:hAnsi="黑体" w:eastAsia="黑体"/>
          <w:b w:val="0"/>
          <w:color w:val="auto"/>
          <w:highlight w:val="none"/>
        </w:rPr>
      </w:pPr>
    </w:p>
    <w:p w14:paraId="0998F2AE">
      <w:pPr>
        <w:pStyle w:val="2"/>
        <w:rPr>
          <w:rFonts w:hint="eastAsia" w:ascii="黑体" w:hAnsi="黑体" w:eastAsia="黑体"/>
          <w:b w:val="0"/>
          <w:color w:val="auto"/>
          <w:highlight w:val="none"/>
        </w:rPr>
      </w:pPr>
    </w:p>
    <w:p w14:paraId="513FCC45">
      <w:pPr>
        <w:pStyle w:val="2"/>
        <w:rPr>
          <w:rFonts w:hint="eastAsia" w:ascii="黑体" w:hAnsi="黑体" w:eastAsia="黑体"/>
          <w:b w:val="0"/>
          <w:color w:val="auto"/>
          <w:highlight w:val="none"/>
        </w:rPr>
      </w:pPr>
    </w:p>
    <w:p w14:paraId="17219426">
      <w:pPr>
        <w:pStyle w:val="2"/>
        <w:rPr>
          <w:rFonts w:hint="eastAsia" w:ascii="黑体" w:hAnsi="黑体" w:eastAsia="黑体"/>
          <w:b w:val="0"/>
          <w:color w:val="auto"/>
          <w:highlight w:val="none"/>
        </w:rPr>
      </w:pPr>
    </w:p>
    <w:p w14:paraId="1C813A4A">
      <w:pPr>
        <w:pStyle w:val="2"/>
        <w:rPr>
          <w:rFonts w:hint="eastAsia" w:ascii="黑体" w:hAnsi="黑体" w:eastAsia="黑体"/>
          <w:b w:val="0"/>
          <w:color w:val="auto"/>
          <w:highlight w:val="none"/>
        </w:rPr>
      </w:pPr>
    </w:p>
    <w:p w14:paraId="65352A80">
      <w:pPr>
        <w:pStyle w:val="2"/>
        <w:rPr>
          <w:rFonts w:hint="eastAsia" w:ascii="黑体" w:hAnsi="黑体" w:eastAsia="黑体"/>
          <w:b w:val="0"/>
          <w:color w:val="auto"/>
          <w:highlight w:val="none"/>
        </w:rPr>
      </w:pPr>
    </w:p>
    <w:p w14:paraId="70BCF2D3">
      <w:pPr>
        <w:pStyle w:val="2"/>
        <w:rPr>
          <w:rFonts w:hint="eastAsia" w:ascii="黑体" w:hAnsi="黑体" w:eastAsia="黑体"/>
          <w:b w:val="0"/>
          <w:color w:val="auto"/>
          <w:highlight w:val="none"/>
        </w:rPr>
      </w:pPr>
    </w:p>
    <w:p w14:paraId="55EA3315">
      <w:pPr>
        <w:pStyle w:val="3"/>
        <w:jc w:val="center"/>
        <w:rPr>
          <w:rStyle w:val="30"/>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30"/>
          <w:rFonts w:hint="eastAsia" w:ascii="黑体" w:hAnsi="黑体" w:eastAsia="黑体"/>
          <w:b w:val="0"/>
          <w:bCs w:val="0"/>
          <w:color w:val="auto"/>
          <w:highlight w:val="none"/>
        </w:rPr>
        <w:t>概况</w:t>
      </w:r>
    </w:p>
    <w:p w14:paraId="589A97B1">
      <w:pPr>
        <w:pStyle w:val="4"/>
        <w:numPr>
          <w:ilvl w:val="0"/>
          <w:numId w:val="1"/>
        </w:numPr>
        <w:rPr>
          <w:rStyle w:val="31"/>
          <w:rFonts w:hint="eastAsia" w:ascii="黑体" w:hAnsi="黑体" w:eastAsia="黑体"/>
          <w:b w:val="0"/>
          <w:bCs w:val="0"/>
          <w:color w:val="auto"/>
          <w:highlight w:val="none"/>
          <w:lang w:eastAsia="zh-CN"/>
        </w:rPr>
      </w:pPr>
      <w:r>
        <w:rPr>
          <w:rStyle w:val="31"/>
          <w:rFonts w:hint="eastAsia" w:ascii="黑体" w:hAnsi="黑体" w:eastAsia="黑体"/>
          <w:b w:val="0"/>
          <w:bCs w:val="0"/>
          <w:color w:val="auto"/>
          <w:highlight w:val="none"/>
          <w:lang w:eastAsia="zh-CN"/>
        </w:rPr>
        <w:t>主要职责</w:t>
      </w:r>
    </w:p>
    <w:p w14:paraId="4F8E8CD5">
      <w:pPr>
        <w:snapToGrid w:val="0"/>
        <w:spacing w:line="576" w:lineRule="exact"/>
        <w:ind w:firstLine="640" w:firstLineChars="200"/>
        <w:rPr>
          <w:rFonts w:hint="eastAsia" w:ascii="仿宋_GB2312" w:eastAsia="仿宋_GB2312"/>
          <w:sz w:val="32"/>
          <w:szCs w:val="32"/>
        </w:rPr>
      </w:pPr>
      <w:r>
        <w:rPr>
          <w:rFonts w:hint="eastAsia" w:ascii="仿宋" w:hAnsi="仿宋" w:eastAsia="仿宋"/>
          <w:sz w:val="32"/>
          <w:szCs w:val="32"/>
        </w:rPr>
        <w:t>主要职能是：实施小学义务教育，小学学历教育。</w:t>
      </w:r>
      <w:r>
        <w:rPr>
          <w:rFonts w:hint="eastAsia" w:ascii="华文仿宋" w:hAnsi="华文仿宋" w:eastAsia="华文仿宋" w:cs="华文仿宋"/>
          <w:color w:val="000000"/>
          <w:sz w:val="32"/>
          <w:szCs w:val="32"/>
        </w:rPr>
        <w:t>现有编制</w:t>
      </w:r>
      <w:r>
        <w:rPr>
          <w:rFonts w:ascii="华文仿宋" w:hAnsi="华文仿宋" w:eastAsia="华文仿宋" w:cs="华文仿宋"/>
          <w:color w:val="000000"/>
          <w:sz w:val="32"/>
          <w:szCs w:val="32"/>
        </w:rPr>
        <w:t>15</w:t>
      </w:r>
      <w:r>
        <w:rPr>
          <w:rFonts w:hint="eastAsia" w:ascii="华文仿宋" w:hAnsi="华文仿宋" w:eastAsia="华文仿宋" w:cs="华文仿宋"/>
          <w:color w:val="000000"/>
          <w:sz w:val="32"/>
          <w:szCs w:val="32"/>
        </w:rPr>
        <w:t>名，其中事业编制</w:t>
      </w:r>
      <w:r>
        <w:rPr>
          <w:rFonts w:ascii="华文仿宋" w:hAnsi="华文仿宋" w:eastAsia="华文仿宋" w:cs="华文仿宋"/>
          <w:color w:val="000000"/>
          <w:sz w:val="32"/>
          <w:szCs w:val="32"/>
        </w:rPr>
        <w:t>14</w:t>
      </w:r>
      <w:r>
        <w:rPr>
          <w:rFonts w:hint="eastAsia" w:ascii="华文仿宋" w:hAnsi="华文仿宋" w:eastAsia="华文仿宋" w:cs="华文仿宋"/>
          <w:color w:val="000000"/>
          <w:sz w:val="32"/>
          <w:szCs w:val="32"/>
        </w:rPr>
        <w:t>名，管理岗1名。</w:t>
      </w:r>
      <w:r>
        <w:rPr>
          <w:rFonts w:hint="eastAsia" w:ascii="仿宋_GB2312" w:eastAsia="仿宋_GB2312"/>
          <w:sz w:val="32"/>
          <w:szCs w:val="32"/>
        </w:rPr>
        <w:t>在职人员总数</w:t>
      </w:r>
      <w:r>
        <w:rPr>
          <w:rFonts w:hint="eastAsia" w:ascii="仿宋" w:hAnsi="仿宋" w:eastAsia="仿宋" w:cs="仿宋"/>
          <w:sz w:val="32"/>
          <w:szCs w:val="32"/>
        </w:rPr>
        <w:t>1</w:t>
      </w:r>
      <w:r>
        <w:rPr>
          <w:rFonts w:hint="eastAsia" w:ascii="仿宋" w:hAnsi="仿宋" w:eastAsia="仿宋" w:cs="仿宋"/>
          <w:sz w:val="32"/>
          <w:szCs w:val="32"/>
          <w:lang w:val="en-US" w:eastAsia="zh-CN"/>
        </w:rPr>
        <w:t>5</w:t>
      </w:r>
      <w:r>
        <w:rPr>
          <w:rFonts w:hint="eastAsia" w:ascii="仿宋_GB2312" w:eastAsia="仿宋_GB2312"/>
          <w:sz w:val="32"/>
          <w:szCs w:val="32"/>
        </w:rPr>
        <w:t>人，退休人员</w:t>
      </w:r>
      <w:r>
        <w:rPr>
          <w:rFonts w:hint="eastAsia" w:ascii="仿宋" w:hAnsi="仿宋" w:eastAsia="仿宋" w:cs="仿宋"/>
          <w:sz w:val="32"/>
          <w:szCs w:val="32"/>
          <w:lang w:val="en-US" w:eastAsia="zh-CN"/>
        </w:rPr>
        <w:t>30</w:t>
      </w:r>
      <w:r>
        <w:rPr>
          <w:rFonts w:hint="eastAsia" w:ascii="仿宋_GB2312" w:eastAsia="仿宋_GB2312"/>
          <w:sz w:val="32"/>
          <w:szCs w:val="32"/>
        </w:rPr>
        <w:t>人。202</w:t>
      </w:r>
      <w:r>
        <w:rPr>
          <w:rFonts w:hint="eastAsia" w:ascii="仿宋_GB2312" w:eastAsia="仿宋_GB2312"/>
          <w:sz w:val="32"/>
          <w:szCs w:val="32"/>
          <w:lang w:val="en-US" w:eastAsia="zh-CN"/>
        </w:rPr>
        <w:t>3</w:t>
      </w:r>
      <w:r>
        <w:rPr>
          <w:rFonts w:hint="eastAsia" w:ascii="仿宋_GB2312" w:eastAsia="仿宋_GB2312"/>
          <w:sz w:val="32"/>
          <w:szCs w:val="32"/>
        </w:rPr>
        <w:t>年初固定资产总额444.26万元。</w:t>
      </w:r>
    </w:p>
    <w:p w14:paraId="4E5ACC52">
      <w:pPr>
        <w:rPr>
          <w:rFonts w:hint="eastAsia"/>
          <w:lang w:eastAsia="zh-CN"/>
        </w:rPr>
      </w:pPr>
    </w:p>
    <w:p w14:paraId="72A8D3E6">
      <w:pPr>
        <w:pStyle w:val="4"/>
        <w:numPr>
          <w:ilvl w:val="0"/>
          <w:numId w:val="1"/>
        </w:numPr>
        <w:ind w:left="0" w:leftChars="0" w:firstLine="0" w:firstLineChars="0"/>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机构设置</w:t>
      </w:r>
    </w:p>
    <w:p w14:paraId="1FC80F70">
      <w:pPr>
        <w:numPr>
          <w:ilvl w:val="0"/>
          <w:numId w:val="0"/>
        </w:numPr>
        <w:ind w:leftChars="0"/>
        <w:rPr>
          <w:rFonts w:hint="default"/>
          <w:lang w:val="en-US" w:eastAsia="zh-CN"/>
        </w:rPr>
      </w:pPr>
      <w:r>
        <w:rPr>
          <w:rFonts w:hint="eastAsia"/>
          <w:lang w:val="en-US" w:eastAsia="zh-CN"/>
        </w:rPr>
        <w:t xml:space="preserve">    </w:t>
      </w:r>
      <w:r>
        <w:rPr>
          <w:rFonts w:hint="eastAsia" w:ascii="仿宋" w:hAnsi="仿宋" w:eastAsia="仿宋"/>
          <w:sz w:val="32"/>
          <w:szCs w:val="32"/>
        </w:rPr>
        <w:t>广元市利州区宝珠小学属于二级预算单位，下设廉勤委，学校工会，教导处，总务处，德育处，安全办，办公室6个部门。</w:t>
      </w:r>
    </w:p>
    <w:p w14:paraId="52CBFD26">
      <w:pPr>
        <w:pStyle w:val="2"/>
        <w:pageBreakBefore w:val="0"/>
        <w:widowControl w:val="0"/>
        <w:kinsoku/>
        <w:wordWrap/>
        <w:overflowPunct/>
        <w:topLinePunct w:val="0"/>
        <w:autoSpaceDE/>
        <w:autoSpaceDN/>
        <w:bidi w:val="0"/>
        <w:adjustRightInd w:val="0"/>
        <w:snapToGrid w:val="0"/>
        <w:spacing w:before="93" w:line="500" w:lineRule="exact"/>
        <w:ind w:firstLine="672" w:firstLineChars="210"/>
        <w:textAlignment w:val="auto"/>
        <w:rPr>
          <w:color w:val="000000" w:themeColor="text1"/>
          <w:sz w:val="32"/>
          <w:szCs w:val="32"/>
          <w14:textFill>
            <w14:solidFill>
              <w14:schemeClr w14:val="tx1"/>
            </w14:solidFill>
          </w14:textFill>
        </w:rPr>
      </w:pPr>
      <w:r>
        <w:rPr>
          <w:rFonts w:ascii="仿宋" w:hAnsi="仿宋" w:eastAsia="仿宋"/>
          <w:color w:val="auto"/>
          <w:sz w:val="32"/>
          <w:szCs w:val="32"/>
          <w:highlight w:val="none"/>
        </w:rPr>
        <w:br w:type="page"/>
      </w:r>
      <w:bookmarkEnd w:id="12"/>
    </w:p>
    <w:p w14:paraId="7A1B22EC">
      <w:pPr>
        <w:pStyle w:val="3"/>
        <w:keepNext/>
        <w:keepLines/>
        <w:pageBreakBefore w:val="0"/>
        <w:widowControl w:val="0"/>
        <w:kinsoku/>
        <w:wordWrap/>
        <w:overflowPunct/>
        <w:topLinePunct w:val="0"/>
        <w:autoSpaceDE/>
        <w:autoSpaceDN/>
        <w:bidi w:val="0"/>
        <w:adjustRightInd/>
        <w:snapToGrid w:val="0"/>
        <w:spacing w:before="0" w:after="0" w:line="240" w:lineRule="auto"/>
        <w:ind w:firstLine="880" w:firstLineChars="200"/>
        <w:jc w:val="both"/>
        <w:textAlignment w:val="auto"/>
        <w:rPr>
          <w:rStyle w:val="30"/>
          <w:rFonts w:hint="eastAsia" w:ascii="黑体" w:hAnsi="黑体" w:eastAsia="黑体"/>
          <w:b w:val="0"/>
          <w:bCs/>
          <w:color w:val="auto"/>
          <w:highlight w:val="none"/>
        </w:rPr>
      </w:pPr>
      <w:bookmarkStart w:id="15" w:name="_Toc19089864"/>
      <w:r>
        <w:rPr>
          <w:rFonts w:hint="eastAsia" w:ascii="黑体" w:hAnsi="黑体" w:eastAsia="黑体"/>
          <w:b w:val="0"/>
          <w:color w:val="000000" w:themeColor="text1"/>
          <w14:textFill>
            <w14:solidFill>
              <w14:schemeClr w14:val="tx1"/>
            </w14:solidFill>
          </w14:textFill>
        </w:rPr>
        <w:t>第二部分</w:t>
      </w:r>
      <w:r>
        <w:rPr>
          <w:rFonts w:hint="eastAsia" w:ascii="黑体" w:hAnsi="黑体" w:eastAsia="黑体"/>
          <w:color w:val="000000" w:themeColor="text1"/>
          <w14:textFill>
            <w14:solidFill>
              <w14:schemeClr w14:val="tx1"/>
            </w14:solidFill>
          </w14:textFill>
        </w:rPr>
        <w:t xml:space="preserve"> </w:t>
      </w:r>
      <w:r>
        <w:rPr>
          <w:rStyle w:val="37"/>
          <w:rFonts w:ascii="黑体" w:hAnsi="黑体" w:eastAsia="黑体"/>
          <w:b w:val="0"/>
          <w:bCs w:val="0"/>
          <w:color w:val="000000" w:themeColor="text1"/>
          <w14:textFill>
            <w14:solidFill>
              <w14:schemeClr w14:val="tx1"/>
            </w14:solidFill>
          </w14:textFill>
        </w:rPr>
        <w:t>202</w:t>
      </w:r>
      <w:r>
        <w:rPr>
          <w:rStyle w:val="37"/>
          <w:rFonts w:hint="eastAsia" w:ascii="黑体" w:hAnsi="黑体" w:eastAsia="黑体"/>
          <w:b w:val="0"/>
          <w:bCs w:val="0"/>
          <w:color w:val="000000" w:themeColor="text1"/>
          <w:lang w:val="en-US" w:eastAsia="zh-CN"/>
          <w14:textFill>
            <w14:solidFill>
              <w14:schemeClr w14:val="tx1"/>
            </w14:solidFill>
          </w14:textFill>
        </w:rPr>
        <w:t>3</w:t>
      </w:r>
      <w:r>
        <w:rPr>
          <w:rStyle w:val="37"/>
          <w:rFonts w:hint="eastAsia" w:ascii="黑体" w:hAnsi="黑体" w:eastAsia="黑体"/>
          <w:b w:val="0"/>
          <w:bCs w:val="0"/>
          <w:color w:val="000000" w:themeColor="text1"/>
          <w14:textFill>
            <w14:solidFill>
              <w14:schemeClr w14:val="tx1"/>
            </w14:solidFill>
          </w14:textFill>
        </w:rPr>
        <w:t>年度</w:t>
      </w:r>
      <w:r>
        <w:rPr>
          <w:rStyle w:val="37"/>
          <w:rFonts w:hint="eastAsia" w:ascii="黑体" w:hAnsi="黑体" w:eastAsia="黑体"/>
          <w:b w:val="0"/>
          <w:bCs w:val="0"/>
          <w:color w:val="000000" w:themeColor="text1"/>
          <w:lang w:eastAsia="zh-CN"/>
          <w14:textFill>
            <w14:solidFill>
              <w14:schemeClr w14:val="tx1"/>
            </w14:solidFill>
          </w14:textFill>
        </w:rPr>
        <w:t>单位</w:t>
      </w:r>
      <w:r>
        <w:rPr>
          <w:rStyle w:val="37"/>
          <w:rFonts w:hint="eastAsia" w:ascii="黑体" w:hAnsi="黑体" w:eastAsia="黑体"/>
          <w:b w:val="0"/>
          <w:bCs w:val="0"/>
          <w:color w:val="000000" w:themeColor="text1"/>
          <w14:textFill>
            <w14:solidFill>
              <w14:schemeClr w14:val="tx1"/>
            </w14:solidFill>
          </w14:textFill>
        </w:rPr>
        <w:t>决算情况说明</w:t>
      </w:r>
      <w:bookmarkEnd w:id="13"/>
      <w:bookmarkEnd w:id="14"/>
      <w:bookmarkEnd w:id="15"/>
      <w:bookmarkStart w:id="16" w:name="_Toc15377204"/>
      <w:bookmarkStart w:id="17" w:name="_Toc15396602"/>
    </w:p>
    <w:bookmarkEnd w:id="16"/>
    <w:bookmarkEnd w:id="17"/>
    <w:p w14:paraId="293B9A68">
      <w:pPr>
        <w:pStyle w:val="29"/>
        <w:numPr>
          <w:ilvl w:val="0"/>
          <w:numId w:val="0"/>
        </w:numPr>
        <w:spacing w:line="600" w:lineRule="exact"/>
        <w:outlineLvl w:val="1"/>
        <w:rPr>
          <w:rFonts w:hint="eastAsia" w:ascii="黑体" w:hAnsi="黑体" w:eastAsia="黑体"/>
          <w:color w:val="auto"/>
          <w:sz w:val="32"/>
          <w:szCs w:val="32"/>
          <w:highlight w:val="none"/>
        </w:rPr>
      </w:pPr>
      <w:bookmarkStart w:id="18" w:name="_Toc15396603"/>
      <w:bookmarkStart w:id="19" w:name="_Toc15377205"/>
    </w:p>
    <w:bookmarkEnd w:id="18"/>
    <w:bookmarkEnd w:id="19"/>
    <w:p w14:paraId="7FD975C4">
      <w:pPr>
        <w:pStyle w:val="29"/>
        <w:numPr>
          <w:ilvl w:val="0"/>
          <w:numId w:val="2"/>
        </w:numPr>
        <w:spacing w:line="520" w:lineRule="exact"/>
        <w:ind w:firstLineChars="0"/>
        <w:outlineLvl w:val="1"/>
        <w:rPr>
          <w:rStyle w:val="38"/>
          <w:rFonts w:ascii="黑体" w:hAnsi="黑体" w:eastAsia="黑体"/>
          <w:b w:val="0"/>
          <w:color w:val="000000" w:themeColor="text1"/>
          <w14:textFill>
            <w14:solidFill>
              <w14:schemeClr w14:val="tx1"/>
            </w14:solidFill>
          </w14:textFill>
        </w:rPr>
      </w:pPr>
      <w:bookmarkStart w:id="20" w:name="_Toc19089865"/>
      <w:r>
        <w:rPr>
          <w:rFonts w:hint="eastAsia" w:ascii="黑体" w:hAnsi="黑体" w:eastAsia="黑体"/>
          <w:color w:val="000000" w:themeColor="text1"/>
          <w:sz w:val="32"/>
          <w:szCs w:val="32"/>
          <w14:textFill>
            <w14:solidFill>
              <w14:schemeClr w14:val="tx1"/>
            </w14:solidFill>
          </w14:textFill>
        </w:rPr>
        <w:t>收</w:t>
      </w:r>
      <w:r>
        <w:rPr>
          <w:rStyle w:val="38"/>
          <w:rFonts w:hint="eastAsia" w:ascii="黑体" w:hAnsi="黑体" w:eastAsia="黑体"/>
          <w:b w:val="0"/>
          <w:color w:val="000000" w:themeColor="text1"/>
          <w14:textFill>
            <w14:solidFill>
              <w14:schemeClr w14:val="tx1"/>
            </w14:solidFill>
          </w14:textFill>
        </w:rPr>
        <w:t>入支出决算总体情况说明</w:t>
      </w:r>
      <w:bookmarkEnd w:id="20"/>
    </w:p>
    <w:p w14:paraId="3D682F4D">
      <w:pPr>
        <w:spacing w:line="600" w:lineRule="exact"/>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446.56</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年相比，收、支总计</w:t>
      </w:r>
      <w:r>
        <w:rPr>
          <w:rFonts w:hint="eastAsia" w:ascii="仿宋" w:hAnsi="仿宋" w:eastAsia="仿宋"/>
          <w:color w:val="000000"/>
          <w:sz w:val="32"/>
          <w:szCs w:val="32"/>
          <w:lang w:eastAsia="zh-CN"/>
        </w:rPr>
        <w:t>（</w:t>
      </w:r>
      <w:r>
        <w:rPr>
          <w:rFonts w:hint="eastAsia" w:ascii="宋体" w:hAnsi="宋体" w:cs="宋体"/>
          <w:color w:val="333333"/>
          <w:kern w:val="0"/>
          <w:sz w:val="28"/>
          <w:szCs w:val="28"/>
          <w:shd w:val="clear" w:color="auto" w:fill="FFFFFF"/>
          <w:lang w:val="en-US" w:eastAsia="zh-CN" w:bidi="ar"/>
        </w:rPr>
        <w:t>411.51</w:t>
      </w:r>
      <w:r>
        <w:rPr>
          <w:rFonts w:hint="eastAsia" w:ascii="仿宋" w:hAnsi="仿宋" w:eastAsia="仿宋"/>
          <w:color w:val="auto"/>
          <w:sz w:val="32"/>
          <w:szCs w:val="32"/>
        </w:rPr>
        <w:t>万元</w:t>
      </w:r>
      <w:r>
        <w:rPr>
          <w:rFonts w:hint="eastAsia" w:ascii="仿宋" w:hAnsi="仿宋" w:eastAsia="仿宋"/>
          <w:color w:val="000000"/>
          <w:sz w:val="32"/>
          <w:szCs w:val="32"/>
          <w:lang w:eastAsia="zh-CN"/>
        </w:rPr>
        <w:t>）</w:t>
      </w:r>
      <w:r>
        <w:rPr>
          <w:rFonts w:hint="eastAsia" w:ascii="仿宋" w:hAnsi="仿宋" w:eastAsia="仿宋"/>
          <w:sz w:val="32"/>
          <w:szCs w:val="32"/>
        </w:rPr>
        <w:t>增加</w:t>
      </w:r>
      <w:r>
        <w:rPr>
          <w:rFonts w:hint="eastAsia" w:ascii="仿宋" w:hAnsi="仿宋" w:eastAsia="仿宋"/>
          <w:sz w:val="32"/>
          <w:szCs w:val="32"/>
          <w:lang w:val="en-US" w:eastAsia="zh-CN"/>
        </w:rPr>
        <w:t>35.05</w:t>
      </w:r>
      <w:r>
        <w:rPr>
          <w:rFonts w:hint="eastAsia" w:ascii="仿宋" w:hAnsi="仿宋" w:eastAsia="仿宋"/>
          <w:sz w:val="32"/>
          <w:szCs w:val="32"/>
        </w:rPr>
        <w:t>万元，增加</w:t>
      </w:r>
      <w:r>
        <w:rPr>
          <w:rFonts w:hint="eastAsia" w:ascii="仿宋" w:hAnsi="仿宋" w:eastAsia="仿宋"/>
          <w:sz w:val="32"/>
          <w:szCs w:val="32"/>
          <w:lang w:val="en-US" w:eastAsia="zh-CN"/>
        </w:rPr>
        <w:t>8.51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教职工工资收入年度正常增长。</w:t>
      </w:r>
    </w:p>
    <w:p w14:paraId="577270BA">
      <w:pPr>
        <w:spacing w:line="600" w:lineRule="exact"/>
        <w:ind w:firstLine="640" w:firstLineChars="200"/>
        <w:outlineLvl w:val="2"/>
        <w:rPr>
          <w:rStyle w:val="19"/>
          <w:rFonts w:ascii="仿宋" w:hAnsi="仿宋" w:eastAsia="仿宋" w:cstheme="minorBidi"/>
          <w:b w:val="0"/>
          <w:bCs/>
          <w:color w:val="000000" w:themeColor="text1"/>
          <w:spacing w:val="-6"/>
          <w:sz w:val="32"/>
          <w:szCs w:val="32"/>
          <w14:textFill>
            <w14:solidFill>
              <w14:schemeClr w14:val="tx1"/>
            </w14:solidFill>
          </w14:textFill>
        </w:rPr>
      </w:pPr>
      <w:r>
        <w:rPr>
          <w:rFonts w:ascii="仿宋_GB2312" w:eastAsia="仿宋_GB2312"/>
          <w:sz w:val="32"/>
          <w:szCs w:val="32"/>
        </w:rPr>
        <w:drawing>
          <wp:anchor distT="0" distB="0" distL="114300" distR="114300" simplePos="0" relativeHeight="251665408" behindDoc="1" locked="0" layoutInCell="1" allowOverlap="1">
            <wp:simplePos x="0" y="0"/>
            <wp:positionH relativeFrom="column">
              <wp:posOffset>80010</wp:posOffset>
            </wp:positionH>
            <wp:positionV relativeFrom="paragraph">
              <wp:posOffset>265430</wp:posOffset>
            </wp:positionV>
            <wp:extent cx="5118100" cy="2514600"/>
            <wp:effectExtent l="4445" t="4445" r="5080" b="6985"/>
            <wp:wrapTight wrapText="bothSides">
              <wp:wrapPolygon>
                <wp:start x="-19" y="-38"/>
                <wp:lineTo x="-19" y="21382"/>
                <wp:lineTo x="72" y="21382"/>
                <wp:lineTo x="5448" y="21382"/>
                <wp:lineTo x="15061" y="21011"/>
                <wp:lineTo x="18797" y="19527"/>
                <wp:lineTo x="18751" y="1445"/>
                <wp:lineTo x="21394" y="55"/>
                <wp:lineTo x="21394" y="-38"/>
                <wp:lineTo x="-19" y="-38"/>
              </wp:wrapPolygon>
            </wp:wrapTight>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B0467C4">
      <w:pPr>
        <w:pStyle w:val="2"/>
        <w:ind w:firstLine="960" w:firstLineChars="3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5662DCC0">
      <w:pPr>
        <w:pStyle w:val="29"/>
        <w:numPr>
          <w:ilvl w:val="0"/>
          <w:numId w:val="0"/>
        </w:numPr>
        <w:spacing w:line="600" w:lineRule="exact"/>
        <w:ind w:left="640" w:leftChars="0"/>
        <w:outlineLvl w:val="1"/>
        <w:rPr>
          <w:rFonts w:hint="eastAsia" w:ascii="黑体" w:hAnsi="黑体" w:eastAsia="黑体"/>
          <w:color w:val="auto"/>
          <w:sz w:val="32"/>
          <w:szCs w:val="32"/>
          <w:highlight w:val="none"/>
          <w:lang w:eastAsia="zh-CN"/>
        </w:rPr>
      </w:pPr>
      <w:bookmarkStart w:id="21" w:name="_Toc15377206"/>
      <w:bookmarkStart w:id="22" w:name="_Toc15396604"/>
    </w:p>
    <w:p w14:paraId="2A711057">
      <w:pPr>
        <w:pStyle w:val="29"/>
        <w:numPr>
          <w:ilvl w:val="0"/>
          <w:numId w:val="0"/>
        </w:numPr>
        <w:spacing w:line="600" w:lineRule="exact"/>
        <w:ind w:left="640" w:leftChars="0"/>
        <w:outlineLvl w:val="1"/>
        <w:rPr>
          <w:rStyle w:val="31"/>
          <w:rFonts w:ascii="黑体" w:hAnsi="黑体" w:eastAsia="黑体"/>
          <w:b w:val="0"/>
          <w:color w:val="auto"/>
          <w:highlight w:val="none"/>
        </w:rPr>
      </w:pPr>
      <w:r>
        <w:rPr>
          <w:rFonts w:hint="eastAsia" w:ascii="黑体" w:hAnsi="黑体" w:eastAsia="黑体"/>
          <w:color w:val="auto"/>
          <w:sz w:val="32"/>
          <w:szCs w:val="32"/>
          <w:highlight w:val="none"/>
          <w:lang w:eastAsia="zh-CN"/>
        </w:rPr>
        <w:t>二、</w:t>
      </w:r>
      <w:r>
        <w:rPr>
          <w:rFonts w:hint="eastAsia" w:ascii="黑体" w:hAnsi="黑体" w:eastAsia="黑体"/>
          <w:color w:val="auto"/>
          <w:sz w:val="32"/>
          <w:szCs w:val="32"/>
          <w:highlight w:val="none"/>
        </w:rPr>
        <w:t>收</w:t>
      </w:r>
      <w:r>
        <w:rPr>
          <w:rStyle w:val="31"/>
          <w:rFonts w:hint="eastAsia" w:ascii="黑体" w:hAnsi="黑体" w:eastAsia="黑体"/>
          <w:b w:val="0"/>
          <w:color w:val="auto"/>
          <w:highlight w:val="none"/>
        </w:rPr>
        <w:t>入决算情况说明</w:t>
      </w:r>
      <w:bookmarkEnd w:id="21"/>
      <w:bookmarkEnd w:id="22"/>
    </w:p>
    <w:p w14:paraId="7B3E57B1">
      <w:pPr>
        <w:spacing w:line="600" w:lineRule="exact"/>
        <w:ind w:firstLine="640" w:firstLineChars="200"/>
        <w:outlineLvl w:val="1"/>
        <w:rPr>
          <w:rFonts w:ascii="仿宋" w:hAnsi="仿宋" w:eastAsia="仿宋"/>
          <w:b/>
          <w:sz w:val="32"/>
          <w:szCs w:val="32"/>
        </w:rPr>
      </w:pPr>
      <w:bookmarkStart w:id="23" w:name="_Toc19089866"/>
      <w:bookmarkStart w:id="24" w:name="_Toc15377207"/>
      <w:bookmarkStart w:id="25" w:name="_Toc15396605"/>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年本年收入合计</w:t>
      </w:r>
      <w:r>
        <w:rPr>
          <w:rFonts w:hint="eastAsia" w:ascii="仿宋" w:hAnsi="仿宋" w:eastAsia="仿宋"/>
          <w:color w:val="000000" w:themeColor="text1"/>
          <w:sz w:val="32"/>
          <w:szCs w:val="32"/>
          <w:lang w:val="en-US" w:eastAsia="zh-CN"/>
          <w14:textFill>
            <w14:solidFill>
              <w14:schemeClr w14:val="tx1"/>
            </w14:solidFill>
          </w14:textFill>
        </w:rPr>
        <w:t>446.56</w:t>
      </w:r>
      <w:r>
        <w:rPr>
          <w:rFonts w:hint="eastAsia" w:ascii="仿宋" w:hAnsi="仿宋" w:eastAsia="仿宋"/>
          <w:color w:val="000000" w:themeColor="text1"/>
          <w:sz w:val="32"/>
          <w:szCs w:val="32"/>
          <w14:textFill>
            <w14:solidFill>
              <w14:schemeClr w14:val="tx1"/>
            </w14:solidFill>
          </w14:textFill>
        </w:rPr>
        <w:t>万元，其中：一般公共预算财政拨款收入</w:t>
      </w:r>
      <w:r>
        <w:rPr>
          <w:rFonts w:hint="eastAsia" w:ascii="仿宋" w:hAnsi="仿宋" w:eastAsia="仿宋"/>
          <w:color w:val="000000" w:themeColor="text1"/>
          <w:sz w:val="32"/>
          <w:szCs w:val="32"/>
          <w:lang w:val="en-US" w:eastAsia="zh-CN"/>
          <w14:textFill>
            <w14:solidFill>
              <w14:schemeClr w14:val="tx1"/>
            </w14:solidFill>
          </w14:textFill>
        </w:rPr>
        <w:t>437.52</w:t>
      </w:r>
      <w:r>
        <w:rPr>
          <w:rFonts w:hint="eastAsia" w:ascii="仿宋" w:hAnsi="仿宋" w:eastAsia="仿宋"/>
          <w:color w:val="000000" w:themeColor="text1"/>
          <w:sz w:val="32"/>
          <w:szCs w:val="32"/>
          <w14:textFill>
            <w14:solidFill>
              <w14:schemeClr w14:val="tx1"/>
            </w14:solidFill>
          </w14:textFill>
        </w:rPr>
        <w:t>万元，占比9</w:t>
      </w:r>
      <w:r>
        <w:rPr>
          <w:rFonts w:hint="eastAsia" w:ascii="仿宋" w:hAnsi="仿宋" w:eastAsia="仿宋"/>
          <w:color w:val="000000" w:themeColor="text1"/>
          <w:sz w:val="32"/>
          <w:szCs w:val="32"/>
          <w:lang w:val="en-US" w:eastAsia="zh-CN"/>
          <w14:textFill>
            <w14:solidFill>
              <w14:schemeClr w14:val="tx1"/>
            </w14:solidFill>
          </w14:textFill>
        </w:rPr>
        <w:t>7</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98</w:t>
      </w:r>
      <w:r>
        <w:rPr>
          <w:rFonts w:hint="eastAsia" w:ascii="仿宋" w:hAnsi="仿宋" w:eastAsia="仿宋"/>
          <w:color w:val="000000" w:themeColor="text1"/>
          <w:sz w:val="32"/>
          <w:szCs w:val="32"/>
          <w14:textFill>
            <w14:solidFill>
              <w14:schemeClr w14:val="tx1"/>
            </w14:solidFill>
          </w14:textFill>
        </w:rPr>
        <w:t>%；其他收入</w:t>
      </w:r>
      <w:r>
        <w:rPr>
          <w:rFonts w:hint="eastAsia" w:ascii="仿宋" w:hAnsi="仿宋" w:eastAsia="仿宋"/>
          <w:color w:val="000000" w:themeColor="text1"/>
          <w:sz w:val="32"/>
          <w:szCs w:val="32"/>
          <w:lang w:val="en-US" w:eastAsia="zh-CN"/>
          <w14:textFill>
            <w14:solidFill>
              <w14:schemeClr w14:val="tx1"/>
            </w14:solidFill>
          </w14:textFill>
        </w:rPr>
        <w:t>9.04</w:t>
      </w:r>
      <w:r>
        <w:rPr>
          <w:rFonts w:hint="eastAsia" w:ascii="仿宋" w:hAnsi="仿宋" w:eastAsia="仿宋"/>
          <w:color w:val="000000" w:themeColor="text1"/>
          <w:sz w:val="32"/>
          <w:szCs w:val="32"/>
          <w14:textFill>
            <w14:solidFill>
              <w14:schemeClr w14:val="tx1"/>
            </w14:solidFill>
          </w14:textFill>
        </w:rPr>
        <w:t>万元，占比</w:t>
      </w:r>
      <w:r>
        <w:rPr>
          <w:rFonts w:hint="eastAsia" w:ascii="仿宋" w:hAnsi="仿宋" w:eastAsia="仿宋"/>
          <w:color w:val="000000" w:themeColor="text1"/>
          <w:sz w:val="32"/>
          <w:szCs w:val="32"/>
          <w:lang w:val="en-US" w:eastAsia="zh-CN"/>
          <w14:textFill>
            <w14:solidFill>
              <w14:schemeClr w14:val="tx1"/>
            </w14:solidFill>
          </w14:textFill>
        </w:rPr>
        <w:t>2.02</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sz w:val="32"/>
          <w:szCs w:val="32"/>
        </w:rPr>
        <w:t>。</w:t>
      </w:r>
      <w:bookmarkEnd w:id="23"/>
    </w:p>
    <w:p w14:paraId="18BE023A">
      <w:pPr>
        <w:spacing w:line="600" w:lineRule="exact"/>
        <w:jc w:val="center"/>
        <w:outlineLvl w:val="2"/>
        <w:rPr>
          <w:rFonts w:ascii="仿宋_GB2312" w:eastAsia="仿宋_GB2312"/>
          <w:sz w:val="32"/>
          <w:szCs w:val="32"/>
        </w:rPr>
      </w:pPr>
      <w:r>
        <w:rPr>
          <w:rFonts w:ascii="仿宋_GB2312" w:eastAsia="仿宋_GB2312"/>
          <w:sz w:val="32"/>
          <w:szCs w:val="32"/>
        </w:rPr>
        <w:drawing>
          <wp:anchor distT="0" distB="0" distL="114300" distR="114300" simplePos="0" relativeHeight="251666432" behindDoc="0" locked="0" layoutInCell="1" allowOverlap="1">
            <wp:simplePos x="0" y="0"/>
            <wp:positionH relativeFrom="column">
              <wp:posOffset>-26035</wp:posOffset>
            </wp:positionH>
            <wp:positionV relativeFrom="paragraph">
              <wp:posOffset>-7768590</wp:posOffset>
            </wp:positionV>
            <wp:extent cx="5502275" cy="3085465"/>
            <wp:effectExtent l="4445" t="4445" r="17780" b="15240"/>
            <wp:wrapSquare wrapText="bothSides"/>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sz w:val="32"/>
          <w:szCs w:val="32"/>
        </w:rPr>
        <w:t>（图2：收入决算结构图）（饼状图）</w:t>
      </w:r>
    </w:p>
    <w:p w14:paraId="317EB4DC">
      <w:pPr>
        <w:pStyle w:val="29"/>
        <w:numPr>
          <w:ilvl w:val="0"/>
          <w:numId w:val="0"/>
        </w:numPr>
        <w:spacing w:line="600" w:lineRule="exact"/>
        <w:ind w:left="640" w:leftChars="0"/>
        <w:outlineLvl w:val="1"/>
        <w:rPr>
          <w:rFonts w:hint="eastAsia" w:ascii="黑体" w:hAnsi="黑体" w:eastAsia="黑体"/>
          <w:color w:val="auto"/>
          <w:sz w:val="32"/>
          <w:szCs w:val="32"/>
          <w:highlight w:val="none"/>
          <w:lang w:eastAsia="zh-CN"/>
        </w:rPr>
      </w:pPr>
    </w:p>
    <w:p w14:paraId="44CC55D2">
      <w:pPr>
        <w:pStyle w:val="29"/>
        <w:numPr>
          <w:ilvl w:val="0"/>
          <w:numId w:val="0"/>
        </w:numPr>
        <w:spacing w:line="600" w:lineRule="exact"/>
        <w:ind w:left="640" w:leftChars="0"/>
        <w:outlineLvl w:val="1"/>
        <w:rPr>
          <w:rStyle w:val="31"/>
          <w:rFonts w:ascii="黑体" w:hAnsi="黑体" w:eastAsia="黑体"/>
          <w:b w:val="0"/>
          <w:color w:val="auto"/>
          <w:highlight w:val="none"/>
        </w:rPr>
      </w:pPr>
      <w:r>
        <w:rPr>
          <w:rFonts w:hint="eastAsia" w:ascii="黑体" w:hAnsi="黑体" w:eastAsia="黑体"/>
          <w:color w:val="auto"/>
          <w:sz w:val="32"/>
          <w:szCs w:val="32"/>
          <w:highlight w:val="none"/>
          <w:lang w:eastAsia="zh-CN"/>
        </w:rPr>
        <w:t>三、</w:t>
      </w:r>
      <w:r>
        <w:rPr>
          <w:rFonts w:hint="eastAsia" w:ascii="黑体" w:hAnsi="黑体" w:eastAsia="黑体"/>
          <w:color w:val="auto"/>
          <w:sz w:val="32"/>
          <w:szCs w:val="32"/>
          <w:highlight w:val="none"/>
        </w:rPr>
        <w:t>支</w:t>
      </w:r>
      <w:r>
        <w:rPr>
          <w:rStyle w:val="31"/>
          <w:rFonts w:hint="eastAsia" w:ascii="黑体" w:hAnsi="黑体" w:eastAsia="黑体"/>
          <w:b w:val="0"/>
          <w:color w:val="auto"/>
          <w:highlight w:val="none"/>
        </w:rPr>
        <w:t>出决算情况说明</w:t>
      </w:r>
      <w:bookmarkEnd w:id="24"/>
      <w:bookmarkEnd w:id="25"/>
      <w:r>
        <w:rPr>
          <w:rStyle w:val="31"/>
          <w:rFonts w:hint="eastAsia" w:ascii="黑体" w:hAnsi="黑体" w:eastAsia="黑体"/>
          <w:b w:val="0"/>
          <w:color w:val="auto"/>
          <w:highlight w:val="none"/>
          <w:lang w:val="en-US" w:eastAsia="zh-CN"/>
        </w:rPr>
        <w:t xml:space="preserve"> </w:t>
      </w:r>
    </w:p>
    <w:p w14:paraId="2B193B1E">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446.56</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413.97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92.70</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32.59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7.30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14:paraId="3796FEF5">
      <w:pPr>
        <w:spacing w:line="600" w:lineRule="exact"/>
        <w:ind w:left="0" w:leftChars="0" w:firstLine="0" w:firstLineChars="0"/>
        <w:jc w:val="center"/>
        <w:rPr>
          <w:rFonts w:hint="eastAsia"/>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245110</wp:posOffset>
            </wp:positionH>
            <wp:positionV relativeFrom="paragraph">
              <wp:posOffset>58420</wp:posOffset>
            </wp:positionV>
            <wp:extent cx="5298440" cy="1892935"/>
            <wp:effectExtent l="4445" t="4445" r="12065" b="762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bookmarkStart w:id="26" w:name="_Toc15396606"/>
      <w:bookmarkStart w:id="27" w:name="_Toc15377208"/>
      <w:r>
        <w:rPr>
          <w:rFonts w:hint="eastAsia" w:ascii="仿宋" w:hAnsi="仿宋" w:eastAsia="仿宋"/>
          <w:color w:val="auto"/>
          <w:sz w:val="32"/>
          <w:szCs w:val="32"/>
          <w:highlight w:val="none"/>
        </w:rPr>
        <w:t>（图3：支出决算结构图）（饼状图）</w:t>
      </w:r>
    </w:p>
    <w:p w14:paraId="1E355CF4">
      <w:pPr>
        <w:spacing w:line="600" w:lineRule="exact"/>
        <w:ind w:firstLine="640" w:firstLineChars="200"/>
        <w:outlineLvl w:val="1"/>
        <w:rPr>
          <w:rFonts w:hint="eastAsia" w:ascii="黑体" w:hAnsi="黑体" w:eastAsia="黑体"/>
          <w:color w:val="auto"/>
          <w:sz w:val="32"/>
          <w:szCs w:val="32"/>
          <w:highlight w:val="none"/>
        </w:rPr>
      </w:pPr>
    </w:p>
    <w:p w14:paraId="61CA6F40">
      <w:pPr>
        <w:spacing w:line="600" w:lineRule="exact"/>
        <w:ind w:firstLine="640" w:firstLineChars="200"/>
        <w:outlineLvl w:val="1"/>
        <w:rPr>
          <w:rStyle w:val="31"/>
          <w:rFonts w:ascii="黑体" w:hAnsi="黑体" w:eastAsia="黑体"/>
          <w:b w:val="0"/>
          <w:color w:val="auto"/>
          <w:highlight w:val="none"/>
        </w:rPr>
      </w:pPr>
      <w:r>
        <w:rPr>
          <w:rFonts w:hint="eastAsia" w:ascii="黑体" w:hAnsi="黑体" w:eastAsia="黑体"/>
          <w:color w:val="auto"/>
          <w:sz w:val="32"/>
          <w:szCs w:val="32"/>
          <w:highlight w:val="none"/>
        </w:rPr>
        <w:t>四、财</w:t>
      </w:r>
      <w:r>
        <w:rPr>
          <w:rStyle w:val="31"/>
          <w:rFonts w:hint="eastAsia" w:ascii="黑体" w:hAnsi="黑体" w:eastAsia="黑体"/>
          <w:b w:val="0"/>
          <w:color w:val="auto"/>
          <w:highlight w:val="none"/>
        </w:rPr>
        <w:t>政拨款收入支出决算总体情况说明</w:t>
      </w:r>
      <w:bookmarkEnd w:id="26"/>
      <w:bookmarkEnd w:id="27"/>
    </w:p>
    <w:p w14:paraId="456D9ABF">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年财政拨款收、支总计</w:t>
      </w:r>
      <w:r>
        <w:rPr>
          <w:rFonts w:hint="eastAsia" w:ascii="仿宋" w:hAnsi="仿宋" w:eastAsia="仿宋"/>
          <w:sz w:val="32"/>
          <w:szCs w:val="32"/>
          <w:lang w:val="en-US" w:eastAsia="zh-CN"/>
        </w:rPr>
        <w:t>437.52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年（4</w:t>
      </w:r>
      <w:r>
        <w:rPr>
          <w:rFonts w:hint="eastAsia" w:ascii="仿宋" w:hAnsi="仿宋" w:eastAsia="仿宋"/>
          <w:sz w:val="32"/>
          <w:szCs w:val="32"/>
          <w:lang w:val="en-US" w:eastAsia="zh-CN"/>
        </w:rPr>
        <w:t>11</w:t>
      </w:r>
      <w:r>
        <w:rPr>
          <w:rFonts w:hint="eastAsia" w:ascii="仿宋" w:hAnsi="仿宋" w:eastAsia="仿宋"/>
          <w:sz w:val="32"/>
          <w:szCs w:val="32"/>
        </w:rPr>
        <w:t>.5</w:t>
      </w:r>
      <w:r>
        <w:rPr>
          <w:rFonts w:hint="eastAsia" w:ascii="仿宋" w:hAnsi="仿宋" w:eastAsia="仿宋"/>
          <w:sz w:val="32"/>
          <w:szCs w:val="32"/>
          <w:lang w:val="en-US" w:eastAsia="zh-CN"/>
        </w:rPr>
        <w:t>1</w:t>
      </w:r>
      <w:r>
        <w:rPr>
          <w:rFonts w:hint="eastAsia" w:ascii="仿宋" w:hAnsi="仿宋" w:eastAsia="仿宋"/>
          <w:sz w:val="32"/>
          <w:szCs w:val="32"/>
        </w:rPr>
        <w:t>万元）相比，财政拨款收、支总计增加</w:t>
      </w:r>
      <w:r>
        <w:rPr>
          <w:rFonts w:hint="eastAsia" w:ascii="仿宋" w:hAnsi="仿宋" w:eastAsia="仿宋"/>
          <w:sz w:val="32"/>
          <w:szCs w:val="32"/>
          <w:lang w:val="en-US" w:eastAsia="zh-CN"/>
        </w:rPr>
        <w:t>26.01</w:t>
      </w:r>
      <w:r>
        <w:rPr>
          <w:rFonts w:hint="eastAsia" w:ascii="仿宋" w:hAnsi="仿宋" w:eastAsia="仿宋"/>
          <w:sz w:val="32"/>
          <w:szCs w:val="32"/>
        </w:rPr>
        <w:t>万元，增加</w:t>
      </w:r>
      <w:r>
        <w:rPr>
          <w:rFonts w:hint="eastAsia" w:ascii="仿宋" w:hAnsi="仿宋" w:eastAsia="仿宋"/>
          <w:sz w:val="32"/>
          <w:szCs w:val="32"/>
          <w:lang w:val="en-US" w:eastAsia="zh-CN"/>
        </w:rPr>
        <w:t>6</w:t>
      </w:r>
      <w:r>
        <w:rPr>
          <w:rFonts w:hint="eastAsia" w:ascii="仿宋" w:hAnsi="仿宋" w:eastAsia="仿宋"/>
          <w:sz w:val="32"/>
          <w:szCs w:val="32"/>
        </w:rPr>
        <w:t>.3</w:t>
      </w:r>
      <w:r>
        <w:rPr>
          <w:rFonts w:hint="eastAsia" w:ascii="仿宋" w:hAnsi="仿宋" w:eastAsia="仿宋"/>
          <w:sz w:val="32"/>
          <w:szCs w:val="32"/>
          <w:lang w:val="en-US" w:eastAsia="zh-CN"/>
        </w:rPr>
        <w:t>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themeColor="text1"/>
          <w:sz w:val="32"/>
          <w:szCs w:val="32"/>
          <w:highlight w:val="none"/>
          <w14:textFill>
            <w14:solidFill>
              <w14:schemeClr w14:val="tx1"/>
            </w14:solidFill>
          </w14:textFill>
        </w:rPr>
        <w:t>主要变动原因是</w:t>
      </w:r>
      <w:r>
        <w:rPr>
          <w:rFonts w:hint="eastAsia" w:ascii="仿宋" w:hAnsi="仿宋" w:eastAsia="仿宋"/>
          <w:color w:val="000000" w:themeColor="text1"/>
          <w:sz w:val="32"/>
          <w:szCs w:val="32"/>
          <w:highlight w:val="none"/>
          <w:lang w:val="en-US" w:eastAsia="zh-CN"/>
          <w14:textFill>
            <w14:solidFill>
              <w14:schemeClr w14:val="tx1"/>
            </w14:solidFill>
          </w14:textFill>
        </w:rPr>
        <w:t>教职工工资收入年度正常增长。</w:t>
      </w:r>
    </w:p>
    <w:p w14:paraId="4133C929">
      <w:pPr>
        <w:spacing w:line="600" w:lineRule="exact"/>
        <w:ind w:firstLine="1280" w:firstLineChars="4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2336" behindDoc="1" locked="0" layoutInCell="1" allowOverlap="1">
            <wp:simplePos x="0" y="0"/>
            <wp:positionH relativeFrom="column">
              <wp:posOffset>421005</wp:posOffset>
            </wp:positionH>
            <wp:positionV relativeFrom="paragraph">
              <wp:posOffset>88265</wp:posOffset>
            </wp:positionV>
            <wp:extent cx="5377815" cy="2782570"/>
            <wp:effectExtent l="4445" t="4445" r="8890" b="51435"/>
            <wp:wrapTight wrapText="bothSides">
              <wp:wrapPolygon>
                <wp:start x="-18" y="-35"/>
                <wp:lineTo x="-18" y="21556"/>
                <wp:lineTo x="21559" y="21556"/>
                <wp:lineTo x="21559" y="-35"/>
                <wp:lineTo x="-18" y="-35"/>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olor w:val="auto"/>
          <w:sz w:val="32"/>
          <w:szCs w:val="32"/>
          <w:highlight w:val="none"/>
        </w:rPr>
        <w:t>（图4：财政拨款收、支决算总计变动情况）（柱状图）</w:t>
      </w:r>
    </w:p>
    <w:p w14:paraId="08B8363A">
      <w:pPr>
        <w:spacing w:line="600" w:lineRule="exact"/>
        <w:ind w:firstLine="640" w:firstLineChars="200"/>
        <w:outlineLvl w:val="1"/>
        <w:rPr>
          <w:rFonts w:hint="eastAsia" w:ascii="黑体" w:hAnsi="黑体" w:eastAsia="黑体"/>
          <w:color w:val="auto"/>
          <w:sz w:val="32"/>
          <w:szCs w:val="32"/>
          <w:highlight w:val="none"/>
        </w:rPr>
      </w:pPr>
      <w:bookmarkStart w:id="28" w:name="_Toc15377209"/>
      <w:bookmarkStart w:id="29" w:name="_Toc15396607"/>
    </w:p>
    <w:p w14:paraId="5245EB3D">
      <w:pPr>
        <w:spacing w:line="600" w:lineRule="exact"/>
        <w:ind w:firstLine="640" w:firstLineChars="200"/>
        <w:outlineLvl w:val="1"/>
        <w:rPr>
          <w:rStyle w:val="31"/>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1"/>
          <w:rFonts w:hint="eastAsia" w:ascii="黑体" w:hAnsi="黑体" w:eastAsia="黑体"/>
          <w:b w:val="0"/>
          <w:color w:val="auto"/>
          <w:highlight w:val="none"/>
        </w:rPr>
        <w:t>般公共预算财政拨款支出决算情况说明</w:t>
      </w:r>
      <w:bookmarkEnd w:id="28"/>
      <w:bookmarkEnd w:id="29"/>
    </w:p>
    <w:p w14:paraId="5702BFAA">
      <w:pPr>
        <w:spacing w:line="600" w:lineRule="exact"/>
        <w:ind w:firstLine="640" w:firstLineChars="200"/>
        <w:outlineLvl w:val="2"/>
        <w:rPr>
          <w:rFonts w:hint="eastAsia" w:ascii="楷体" w:hAnsi="楷体" w:eastAsia="楷体" w:cs="楷体"/>
          <w:b w:val="0"/>
          <w:bCs/>
          <w:color w:val="auto"/>
          <w:sz w:val="32"/>
          <w:szCs w:val="32"/>
          <w:highlight w:val="none"/>
        </w:rPr>
      </w:pPr>
      <w:bookmarkStart w:id="30" w:name="_Toc15377210"/>
      <w:r>
        <w:rPr>
          <w:rFonts w:hint="eastAsia" w:ascii="楷体" w:hAnsi="楷体" w:eastAsia="楷体" w:cs="楷体"/>
          <w:b w:val="0"/>
          <w:bCs/>
          <w:color w:val="auto"/>
          <w:sz w:val="32"/>
          <w:szCs w:val="32"/>
          <w:highlight w:val="none"/>
        </w:rPr>
        <w:t>（一）一般公共预算财政拨款支出决算总体情况</w:t>
      </w:r>
      <w:bookmarkEnd w:id="30"/>
    </w:p>
    <w:p w14:paraId="2E5DC0A4">
      <w:pPr>
        <w:spacing w:line="6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437.52</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411.51</w:t>
      </w:r>
      <w:r>
        <w:rPr>
          <w:rFonts w:hint="eastAsia" w:ascii="仿宋" w:hAnsi="仿宋" w:eastAsia="仿宋"/>
          <w:sz w:val="32"/>
          <w:szCs w:val="32"/>
        </w:rPr>
        <w:t>万元相比，一般公共预算财政拨款支出增加</w:t>
      </w:r>
      <w:r>
        <w:rPr>
          <w:rFonts w:hint="eastAsia" w:ascii="仿宋" w:hAnsi="仿宋" w:eastAsia="仿宋"/>
          <w:sz w:val="32"/>
          <w:szCs w:val="32"/>
          <w:lang w:val="en-US" w:eastAsia="zh-CN"/>
        </w:rPr>
        <w:t>26.01</w:t>
      </w:r>
      <w:r>
        <w:rPr>
          <w:rFonts w:hint="eastAsia" w:ascii="仿宋" w:hAnsi="仿宋" w:eastAsia="仿宋"/>
          <w:sz w:val="32"/>
          <w:szCs w:val="32"/>
        </w:rPr>
        <w:t>万元，增加</w:t>
      </w:r>
      <w:r>
        <w:rPr>
          <w:rFonts w:hint="eastAsia" w:ascii="仿宋" w:hAnsi="仿宋" w:eastAsia="仿宋"/>
          <w:sz w:val="32"/>
          <w:szCs w:val="32"/>
          <w:lang w:val="en-US" w:eastAsia="zh-CN"/>
        </w:rPr>
        <w:t>6.32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auto"/>
          <w:sz w:val="32"/>
          <w:szCs w:val="32"/>
          <w:highlight w:val="none"/>
        </w:rPr>
        <w:t>主要变动原因</w:t>
      </w:r>
      <w:r>
        <w:rPr>
          <w:rFonts w:hint="eastAsia" w:ascii="仿宋" w:hAnsi="仿宋" w:eastAsia="仿宋"/>
          <w:color w:val="000000" w:themeColor="text1"/>
          <w:sz w:val="32"/>
          <w:szCs w:val="32"/>
          <w:highlight w:val="none"/>
          <w14:textFill>
            <w14:solidFill>
              <w14:schemeClr w14:val="tx1"/>
            </w14:solidFill>
          </w14:textFill>
        </w:rPr>
        <w:t>是</w:t>
      </w:r>
      <w:r>
        <w:rPr>
          <w:rFonts w:hint="eastAsia" w:ascii="仿宋" w:hAnsi="仿宋" w:eastAsia="仿宋"/>
          <w:color w:val="000000" w:themeColor="text1"/>
          <w:sz w:val="32"/>
          <w:szCs w:val="32"/>
          <w:highlight w:val="none"/>
          <w:lang w:val="en-US" w:eastAsia="zh-CN"/>
          <w14:textFill>
            <w14:solidFill>
              <w14:schemeClr w14:val="tx1"/>
            </w14:solidFill>
          </w14:textFill>
        </w:rPr>
        <w:t>教职工工资收入年度正常增长。</w:t>
      </w:r>
    </w:p>
    <w:p w14:paraId="13DBA840">
      <w:pPr>
        <w:spacing w:line="600" w:lineRule="exact"/>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420370</wp:posOffset>
            </wp:positionH>
            <wp:positionV relativeFrom="paragraph">
              <wp:posOffset>31750</wp:posOffset>
            </wp:positionV>
            <wp:extent cx="5309235" cy="1728470"/>
            <wp:effectExtent l="5080" t="4445" r="19685" b="19685"/>
            <wp:wrapTight wrapText="bothSides">
              <wp:wrapPolygon>
                <wp:start x="-21" y="-56"/>
                <wp:lineTo x="-21" y="21370"/>
                <wp:lineTo x="21525" y="21370"/>
                <wp:lineTo x="21525" y="-56"/>
                <wp:lineTo x="-21" y="-5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olor w:val="auto"/>
          <w:sz w:val="32"/>
          <w:szCs w:val="32"/>
          <w:highlight w:val="none"/>
        </w:rPr>
        <w:t>（图5：一般公共预算财政拨款支出决算变动情况）（柱状图）</w:t>
      </w:r>
    </w:p>
    <w:p w14:paraId="17EA7BAD">
      <w:pPr>
        <w:spacing w:line="600" w:lineRule="exact"/>
        <w:ind w:firstLine="640" w:firstLineChars="200"/>
        <w:outlineLvl w:val="2"/>
        <w:rPr>
          <w:rFonts w:hint="eastAsia" w:ascii="楷体" w:hAnsi="楷体" w:eastAsia="楷体" w:cs="楷体"/>
          <w:b w:val="0"/>
          <w:bCs/>
          <w:color w:val="auto"/>
          <w:sz w:val="32"/>
          <w:szCs w:val="32"/>
          <w:highlight w:val="none"/>
        </w:rPr>
      </w:pPr>
      <w:bookmarkStart w:id="31" w:name="_Toc15377211"/>
    </w:p>
    <w:p w14:paraId="478F57C8">
      <w:pPr>
        <w:spacing w:line="600" w:lineRule="exact"/>
        <w:ind w:firstLine="640" w:firstLineChars="200"/>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（二）一般公共预算财政拨款支出决算结构情况</w:t>
      </w:r>
      <w:bookmarkEnd w:id="31"/>
    </w:p>
    <w:p w14:paraId="6034B6CA">
      <w:pPr>
        <w:spacing w:line="600" w:lineRule="exact"/>
        <w:ind w:firstLine="640"/>
        <w:outlineLvl w:val="2"/>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年一般公共预算财政拨款支出</w:t>
      </w:r>
      <w:r>
        <w:rPr>
          <w:rFonts w:hint="eastAsia" w:ascii="仿宋" w:hAnsi="仿宋" w:eastAsia="仿宋"/>
          <w:sz w:val="32"/>
          <w:szCs w:val="32"/>
          <w:lang w:val="en-US" w:eastAsia="zh-CN"/>
        </w:rPr>
        <w:t>437.52</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394.56</w:t>
      </w:r>
      <w:r>
        <w:rPr>
          <w:rFonts w:hint="eastAsia" w:ascii="仿宋" w:hAnsi="仿宋" w:eastAsia="仿宋"/>
          <w:sz w:val="32"/>
          <w:szCs w:val="32"/>
        </w:rPr>
        <w:t>万元，占</w:t>
      </w:r>
      <w:r>
        <w:rPr>
          <w:rFonts w:hint="eastAsia" w:ascii="仿宋" w:hAnsi="仿宋" w:eastAsia="仿宋"/>
          <w:sz w:val="32"/>
          <w:szCs w:val="32"/>
          <w:lang w:val="en-US" w:eastAsia="zh-CN"/>
        </w:rPr>
        <w:t>90.18</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30.93</w:t>
      </w:r>
      <w:r>
        <w:rPr>
          <w:rFonts w:hint="eastAsia" w:ascii="仿宋" w:hAnsi="仿宋" w:eastAsia="仿宋"/>
          <w:sz w:val="32"/>
          <w:szCs w:val="32"/>
        </w:rPr>
        <w:t>万元，占</w:t>
      </w:r>
      <w:r>
        <w:rPr>
          <w:rFonts w:hint="eastAsia" w:ascii="仿宋" w:hAnsi="仿宋" w:eastAsia="仿宋"/>
          <w:sz w:val="32"/>
          <w:szCs w:val="32"/>
          <w:lang w:val="en-US" w:eastAsia="zh-CN"/>
        </w:rPr>
        <w:t>7.07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lang w:val="en-US" w:eastAsia="zh-CN"/>
        </w:rPr>
        <w:t>12.03</w:t>
      </w:r>
      <w:r>
        <w:rPr>
          <w:rFonts w:hint="eastAsia" w:ascii="仿宋" w:hAnsi="仿宋" w:eastAsia="仿宋"/>
          <w:sz w:val="32"/>
          <w:szCs w:val="32"/>
        </w:rPr>
        <w:t>万元，占</w:t>
      </w:r>
      <w:r>
        <w:rPr>
          <w:rFonts w:hint="eastAsia" w:ascii="仿宋" w:hAnsi="仿宋" w:eastAsia="仿宋"/>
          <w:sz w:val="32"/>
          <w:szCs w:val="32"/>
          <w:lang w:val="en-US" w:eastAsia="zh-CN"/>
        </w:rPr>
        <w:t>2.75</w:t>
      </w:r>
      <w:r>
        <w:rPr>
          <w:rFonts w:ascii="仿宋" w:hAnsi="仿宋" w:eastAsia="仿宋"/>
          <w:sz w:val="32"/>
          <w:szCs w:val="32"/>
        </w:rPr>
        <w:t>%</w:t>
      </w:r>
      <w:r>
        <w:rPr>
          <w:rFonts w:hint="eastAsia" w:ascii="仿宋" w:hAnsi="仿宋" w:eastAsia="仿宋"/>
          <w:sz w:val="32"/>
          <w:szCs w:val="32"/>
        </w:rPr>
        <w:t>。</w:t>
      </w:r>
    </w:p>
    <w:p w14:paraId="16AC4FD1">
      <w:pPr>
        <w:spacing w:line="600" w:lineRule="exact"/>
        <w:ind w:firstLine="640"/>
        <w:rPr>
          <w:rFonts w:hint="eastAsia" w:ascii="仿宋" w:hAnsi="仿宋" w:eastAsia="仿宋"/>
          <w:color w:val="auto"/>
          <w:sz w:val="32"/>
          <w:szCs w:val="32"/>
          <w:highlight w:val="none"/>
        </w:rPr>
      </w:pPr>
    </w:p>
    <w:p w14:paraId="28B7BE31">
      <w:pPr>
        <w:spacing w:line="600" w:lineRule="exact"/>
        <w:rPr>
          <w:rFonts w:hint="eastAsia" w:ascii="仿宋" w:hAnsi="仿宋" w:eastAsia="仿宋"/>
          <w:b/>
          <w:color w:val="auto"/>
          <w:sz w:val="32"/>
          <w:szCs w:val="32"/>
          <w:highlight w:val="none"/>
        </w:rPr>
      </w:pPr>
    </w:p>
    <w:p w14:paraId="69783CCF">
      <w:pPr>
        <w:spacing w:line="600" w:lineRule="exact"/>
        <w:ind w:firstLine="640" w:firstLineChars="200"/>
        <w:rPr>
          <w:rFonts w:ascii="仿宋" w:hAnsi="仿宋" w:eastAsia="仿宋"/>
          <w:color w:val="auto"/>
          <w:sz w:val="32"/>
          <w:szCs w:val="32"/>
          <w:highlight w:val="none"/>
        </w:rPr>
      </w:pPr>
      <w:r>
        <w:rPr>
          <w:rFonts w:ascii="仿宋_GB2312" w:eastAsia="仿宋_GB2312"/>
          <w:sz w:val="32"/>
          <w:szCs w:val="32"/>
        </w:rPr>
        <w:drawing>
          <wp:anchor distT="0" distB="0" distL="114300" distR="114300" simplePos="0" relativeHeight="251664384" behindDoc="0" locked="0" layoutInCell="1" allowOverlap="1">
            <wp:simplePos x="0" y="0"/>
            <wp:positionH relativeFrom="column">
              <wp:posOffset>309245</wp:posOffset>
            </wp:positionH>
            <wp:positionV relativeFrom="paragraph">
              <wp:posOffset>132080</wp:posOffset>
            </wp:positionV>
            <wp:extent cx="5332730" cy="2404745"/>
            <wp:effectExtent l="4445" t="4445" r="15875" b="10160"/>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color w:val="auto"/>
          <w:sz w:val="32"/>
          <w:szCs w:val="32"/>
          <w:highlight w:val="none"/>
        </w:rPr>
        <w:t>（图6：一般公共预算财政拨款支出决算结构）（饼状图）</w:t>
      </w:r>
    </w:p>
    <w:p w14:paraId="5E8F29F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32" w:name="_Toc15377212"/>
    </w:p>
    <w:p w14:paraId="45CAAE4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（三）一般公共预算财政拨款支出决算具体情况</w:t>
      </w:r>
      <w:bookmarkEnd w:id="32"/>
    </w:p>
    <w:p w14:paraId="104A603D">
      <w:pPr>
        <w:snapToGrid w:val="0"/>
        <w:spacing w:line="550" w:lineRule="exact"/>
        <w:ind w:firstLine="643" w:firstLineChars="200"/>
        <w:outlineLvl w:val="2"/>
        <w:rPr>
          <w:rFonts w:ascii="仿宋" w:hAnsi="仿宋" w:eastAsia="仿宋"/>
          <w:sz w:val="32"/>
          <w:szCs w:val="32"/>
        </w:rPr>
      </w:pPr>
      <w:bookmarkStart w:id="33" w:name="_Toc15377213"/>
      <w:bookmarkStart w:id="34" w:name="_Toc15377444"/>
      <w:bookmarkStart w:id="35" w:name="_Toc15378460"/>
      <w:r>
        <w:rPr>
          <w:rFonts w:hint="eastAsia" w:ascii="仿宋" w:hAnsi="仿宋" w:eastAsia="仿宋"/>
          <w:b/>
          <w:sz w:val="32"/>
          <w:szCs w:val="32"/>
        </w:rPr>
        <w:t>202</w:t>
      </w:r>
      <w:r>
        <w:rPr>
          <w:rFonts w:hint="eastAsia" w:ascii="仿宋" w:hAnsi="仿宋" w:eastAsia="仿宋"/>
          <w:b/>
          <w:sz w:val="32"/>
          <w:szCs w:val="32"/>
          <w:lang w:val="en-US" w:eastAsia="zh-CN"/>
        </w:rPr>
        <w:t>3</w:t>
      </w:r>
      <w:r>
        <w:rPr>
          <w:rFonts w:hint="eastAsia" w:ascii="仿宋" w:hAnsi="仿宋" w:eastAsia="仿宋"/>
          <w:b/>
          <w:sz w:val="32"/>
          <w:szCs w:val="32"/>
        </w:rPr>
        <w:t>年一般公共预算支出决算数为</w:t>
      </w:r>
      <w:r>
        <w:rPr>
          <w:rFonts w:hint="eastAsia" w:ascii="仿宋" w:hAnsi="仿宋" w:eastAsia="仿宋"/>
          <w:b/>
          <w:sz w:val="32"/>
          <w:szCs w:val="32"/>
          <w:lang w:val="en-US" w:eastAsia="zh-CN"/>
        </w:rPr>
        <w:t>437.52</w:t>
      </w:r>
      <w:r>
        <w:rPr>
          <w:rFonts w:hint="eastAsia" w:ascii="仿宋" w:hAnsi="仿宋" w:eastAsia="仿宋"/>
          <w:b/>
          <w:sz w:val="32"/>
          <w:szCs w:val="32"/>
        </w:rPr>
        <w:t>万元</w:t>
      </w:r>
      <w:r>
        <w:rPr>
          <w:rFonts w:hint="eastAsia" w:ascii="仿宋" w:hAnsi="仿宋" w:eastAsia="仿宋"/>
          <w:sz w:val="32"/>
          <w:szCs w:val="32"/>
        </w:rPr>
        <w:t>，</w:t>
      </w:r>
      <w:r>
        <w:rPr>
          <w:rStyle w:val="19"/>
          <w:rFonts w:hint="eastAsia" w:ascii="仿宋" w:hAnsi="仿宋" w:eastAsia="仿宋"/>
          <w:bCs/>
          <w:sz w:val="32"/>
          <w:szCs w:val="32"/>
        </w:rPr>
        <w:t>完成预算100.00</w:t>
      </w:r>
      <w:r>
        <w:rPr>
          <w:rStyle w:val="19"/>
          <w:rFonts w:ascii="仿宋" w:hAnsi="仿宋" w:eastAsia="仿宋"/>
          <w:bCs/>
          <w:sz w:val="32"/>
          <w:szCs w:val="32"/>
        </w:rPr>
        <w:t>%</w:t>
      </w:r>
      <w:r>
        <w:rPr>
          <w:rStyle w:val="19"/>
          <w:rFonts w:hint="eastAsia" w:ascii="仿宋" w:hAnsi="仿宋" w:eastAsia="仿宋"/>
          <w:bCs/>
          <w:sz w:val="32"/>
          <w:szCs w:val="32"/>
        </w:rPr>
        <w:t>。其中：</w:t>
      </w:r>
    </w:p>
    <w:p w14:paraId="0A3AA6DC">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pPr>
      <w:r>
        <w:rPr>
          <w:rStyle w:val="19"/>
          <w:rFonts w:hint="eastAsia" w:ascii="仿宋" w:hAnsi="仿宋" w:eastAsia="仿宋" w:cstheme="minorBidi"/>
          <w:bCs/>
          <w:kern w:val="2"/>
          <w:sz w:val="32"/>
          <w:szCs w:val="32"/>
          <w:lang w:val="en-US" w:eastAsia="zh-CN"/>
        </w:rPr>
        <w:t>1</w:t>
      </w:r>
      <w:r>
        <w:rPr>
          <w:rStyle w:val="19"/>
          <w:rFonts w:ascii="仿宋" w:hAnsi="仿宋" w:eastAsia="仿宋" w:cstheme="minorBidi"/>
          <w:bCs/>
          <w:kern w:val="2"/>
          <w:sz w:val="32"/>
          <w:szCs w:val="32"/>
        </w:rPr>
        <w:t>.</w:t>
      </w:r>
      <w:r>
        <w:rPr>
          <w:rStyle w:val="19"/>
          <w:rFonts w:hint="eastAsia" w:ascii="仿宋" w:hAnsi="仿宋" w:eastAsia="仿宋" w:cstheme="minorBidi"/>
          <w:bCs/>
          <w:kern w:val="2"/>
          <w:sz w:val="32"/>
          <w:szCs w:val="32"/>
        </w:rPr>
        <w:t>教育支出（类）普通教育（款）学前教育（项）</w:t>
      </w:r>
      <w:r>
        <w:rPr>
          <w:rStyle w:val="19"/>
          <w:rFonts w:ascii="仿宋" w:hAnsi="仿宋" w:eastAsia="仿宋" w:cstheme="minorBidi"/>
          <w:bCs/>
          <w:kern w:val="2"/>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4.23</w:t>
      </w:r>
      <w:r>
        <w:rPr>
          <w:rStyle w:val="19"/>
          <w:rFonts w:hint="eastAsia" w:ascii="仿宋" w:hAnsi="仿宋" w:eastAsia="仿宋"/>
          <w:b w:val="0"/>
          <w:bCs/>
          <w:sz w:val="32"/>
          <w:szCs w:val="32"/>
        </w:rPr>
        <w:t>万元，完成预算100</w:t>
      </w:r>
      <w:r>
        <w:rPr>
          <w:rStyle w:val="19"/>
          <w:rFonts w:ascii="仿宋" w:hAnsi="仿宋" w:eastAsia="仿宋"/>
          <w:b w:val="0"/>
          <w:bCs/>
          <w:sz w:val="32"/>
          <w:szCs w:val="32"/>
        </w:rPr>
        <w:t>%</w:t>
      </w:r>
      <w:r>
        <w:rPr>
          <w:rStyle w:val="19"/>
          <w:rFonts w:hint="eastAsia" w:ascii="仿宋" w:hAnsi="仿宋" w:eastAsia="仿宋"/>
          <w:b w:val="0"/>
          <w:bCs/>
          <w:sz w:val="32"/>
          <w:szCs w:val="32"/>
        </w:rPr>
        <w:t>。</w:t>
      </w:r>
      <w:r>
        <w:rPr>
          <w:rStyle w:val="19"/>
          <w:rFonts w:hint="eastAsia" w:ascii="仿宋" w:hAnsi="仿宋" w:eastAsia="仿宋"/>
          <w:b w:val="0"/>
          <w:bCs/>
          <w:color w:val="auto"/>
          <w:sz w:val="32"/>
          <w:szCs w:val="32"/>
          <w:highlight w:val="none"/>
        </w:rPr>
        <w:t>决算数等于预算数的主要原因是</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9"/>
          <w:rFonts w:hint="eastAsia" w:ascii="仿宋" w:hAnsi="仿宋" w:eastAsia="仿宋"/>
          <w:b w:val="0"/>
          <w:bCs/>
          <w:color w:val="000000" w:themeColor="text1"/>
          <w:sz w:val="32"/>
          <w:szCs w:val="32"/>
          <w:highlight w:val="none"/>
          <w:lang w:val="en-US" w:eastAsia="zh-CN"/>
          <w14:textFill>
            <w14:solidFill>
              <w14:schemeClr w14:val="tx1"/>
            </w14:solidFill>
          </w14:textFill>
        </w:rPr>
        <w:t>预算执行中根据实际支出情况调整预算</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w:t>
      </w:r>
    </w:p>
    <w:p w14:paraId="7A24780B">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pPr>
      <w:r>
        <w:rPr>
          <w:rStyle w:val="19"/>
          <w:rFonts w:hint="eastAsia" w:ascii="仿宋" w:hAnsi="仿宋" w:eastAsia="仿宋"/>
          <w:bCs/>
          <w:sz w:val="32"/>
          <w:szCs w:val="32"/>
          <w:lang w:val="en-US" w:eastAsia="zh-CN"/>
        </w:rPr>
        <w:t>2</w:t>
      </w:r>
      <w:r>
        <w:rPr>
          <w:rStyle w:val="19"/>
          <w:rFonts w:ascii="仿宋" w:hAnsi="仿宋" w:eastAsia="仿宋"/>
          <w:bCs/>
          <w:sz w:val="32"/>
          <w:szCs w:val="32"/>
        </w:rPr>
        <w:t>.</w:t>
      </w:r>
      <w:r>
        <w:rPr>
          <w:rStyle w:val="19"/>
          <w:rFonts w:hint="eastAsia" w:ascii="仿宋" w:hAnsi="仿宋" w:eastAsia="仿宋" w:cstheme="minorBidi"/>
          <w:bCs/>
          <w:kern w:val="2"/>
          <w:sz w:val="32"/>
          <w:szCs w:val="32"/>
        </w:rPr>
        <w:t>教育支出（类）普通教育（款）小学教育（项）</w:t>
      </w:r>
      <w:r>
        <w:rPr>
          <w:rStyle w:val="19"/>
          <w:rFonts w:ascii="仿宋" w:hAnsi="仿宋" w:eastAsia="仿宋" w:cstheme="minorBidi"/>
          <w:bCs/>
          <w:kern w:val="2"/>
          <w:sz w:val="32"/>
          <w:szCs w:val="32"/>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370.02</w:t>
      </w:r>
      <w:r>
        <w:rPr>
          <w:rStyle w:val="19"/>
          <w:rFonts w:hint="eastAsia" w:ascii="仿宋" w:hAnsi="仿宋" w:eastAsia="仿宋"/>
          <w:b w:val="0"/>
          <w:bCs/>
          <w:sz w:val="32"/>
          <w:szCs w:val="32"/>
        </w:rPr>
        <w:t>万元，完成预算100.00</w:t>
      </w:r>
      <w:r>
        <w:rPr>
          <w:rStyle w:val="19"/>
          <w:rFonts w:ascii="仿宋" w:hAnsi="仿宋" w:eastAsia="仿宋"/>
          <w:b w:val="0"/>
          <w:bCs/>
          <w:sz w:val="32"/>
          <w:szCs w:val="32"/>
        </w:rPr>
        <w:t>%</w:t>
      </w:r>
      <w:r>
        <w:rPr>
          <w:rStyle w:val="19"/>
          <w:rFonts w:hint="eastAsia" w:ascii="仿宋" w:hAnsi="仿宋" w:eastAsia="仿宋"/>
          <w:b w:val="0"/>
          <w:bCs/>
          <w:color w:val="000000" w:themeColor="text1"/>
          <w:sz w:val="32"/>
          <w:szCs w:val="32"/>
          <w14:textFill>
            <w14:solidFill>
              <w14:schemeClr w14:val="tx1"/>
            </w14:solidFill>
          </w14:textFill>
        </w:rPr>
        <w:t>。</w:t>
      </w:r>
      <w:r>
        <w:rPr>
          <w:rStyle w:val="19"/>
          <w:rFonts w:hint="eastAsia" w:ascii="仿宋" w:hAnsi="仿宋" w:eastAsia="仿宋"/>
          <w:b w:val="0"/>
          <w:bCs/>
          <w:color w:val="auto"/>
          <w:sz w:val="32"/>
          <w:szCs w:val="32"/>
          <w:highlight w:val="none"/>
        </w:rPr>
        <w:t>决算数等于预算数的主要原因是</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9"/>
          <w:rFonts w:hint="eastAsia" w:ascii="仿宋" w:hAnsi="仿宋" w:eastAsia="仿宋"/>
          <w:b w:val="0"/>
          <w:bCs/>
          <w:color w:val="000000" w:themeColor="text1"/>
          <w:sz w:val="32"/>
          <w:szCs w:val="32"/>
          <w:highlight w:val="none"/>
          <w:lang w:val="en-US" w:eastAsia="zh-CN"/>
          <w14:textFill>
            <w14:solidFill>
              <w14:schemeClr w14:val="tx1"/>
            </w14:solidFill>
          </w14:textFill>
        </w:rPr>
        <w:t>预算执行中根据实际支出情况调整预算</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w:t>
      </w:r>
    </w:p>
    <w:p w14:paraId="44D4CCEC">
      <w:pPr>
        <w:adjustRightInd w:val="0"/>
        <w:ind w:firstLine="643" w:firstLineChars="200"/>
        <w:jc w:val="left"/>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pPr>
      <w:r>
        <w:rPr>
          <w:rStyle w:val="19"/>
          <w:rFonts w:hint="eastAsia" w:ascii="仿宋" w:hAnsi="仿宋" w:eastAsia="仿宋"/>
          <w:bCs/>
          <w:sz w:val="32"/>
          <w:szCs w:val="32"/>
          <w:lang w:val="en-US" w:eastAsia="zh-CN"/>
        </w:rPr>
        <w:t>3</w:t>
      </w:r>
      <w:r>
        <w:rPr>
          <w:rStyle w:val="19"/>
          <w:rFonts w:ascii="仿宋" w:hAnsi="仿宋" w:eastAsia="仿宋"/>
          <w:bCs/>
          <w:sz w:val="32"/>
          <w:szCs w:val="32"/>
        </w:rPr>
        <w:t>.</w:t>
      </w:r>
      <w:r>
        <w:rPr>
          <w:rStyle w:val="19"/>
          <w:rFonts w:hint="eastAsia" w:ascii="仿宋" w:hAnsi="仿宋" w:eastAsia="仿宋"/>
          <w:bCs/>
          <w:sz w:val="32"/>
          <w:szCs w:val="32"/>
        </w:rPr>
        <w:t>社会保障和就业（类）行政事业单位养老支出（款）机关事业单位基本养老保险缴费支出（项）</w:t>
      </w:r>
      <w:r>
        <w:rPr>
          <w:rStyle w:val="19"/>
          <w:rFonts w:ascii="仿宋" w:hAnsi="仿宋" w:eastAsia="仿宋"/>
          <w:bCs/>
          <w:sz w:val="32"/>
          <w:szCs w:val="32"/>
        </w:rPr>
        <w:t>:</w:t>
      </w:r>
      <w:r>
        <w:rPr>
          <w:rStyle w:val="19"/>
          <w:rFonts w:ascii="仿宋" w:hAnsi="仿宋" w:eastAsia="仿宋"/>
          <w:b w:val="0"/>
          <w:bCs/>
          <w:sz w:val="32"/>
          <w:szCs w:val="32"/>
        </w:rPr>
        <w:t xml:space="preserve"> </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29.44</w:t>
      </w:r>
      <w:r>
        <w:rPr>
          <w:rStyle w:val="19"/>
          <w:rFonts w:hint="eastAsia" w:ascii="仿宋" w:hAnsi="仿宋" w:eastAsia="仿宋"/>
          <w:b w:val="0"/>
          <w:bCs/>
          <w:sz w:val="32"/>
          <w:szCs w:val="32"/>
        </w:rPr>
        <w:t>万元，完成预算100.00</w:t>
      </w:r>
      <w:r>
        <w:rPr>
          <w:rStyle w:val="19"/>
          <w:rFonts w:ascii="仿宋" w:hAnsi="仿宋" w:eastAsia="仿宋"/>
          <w:b w:val="0"/>
          <w:bCs/>
          <w:sz w:val="32"/>
          <w:szCs w:val="32"/>
        </w:rPr>
        <w:t>%</w:t>
      </w:r>
      <w:r>
        <w:rPr>
          <w:rStyle w:val="19"/>
          <w:rFonts w:hint="eastAsia" w:ascii="仿宋" w:hAnsi="仿宋" w:eastAsia="仿宋"/>
          <w:b w:val="0"/>
          <w:bCs/>
          <w:color w:val="000000" w:themeColor="text1"/>
          <w:sz w:val="32"/>
          <w:szCs w:val="32"/>
          <w14:textFill>
            <w14:solidFill>
              <w14:schemeClr w14:val="tx1"/>
            </w14:solidFill>
          </w14:textFill>
        </w:rPr>
        <w:t>。</w:t>
      </w:r>
      <w:r>
        <w:rPr>
          <w:rStyle w:val="19"/>
          <w:rFonts w:hint="eastAsia" w:ascii="仿宋" w:hAnsi="仿宋" w:eastAsia="仿宋"/>
          <w:b w:val="0"/>
          <w:bCs/>
          <w:color w:val="auto"/>
          <w:sz w:val="32"/>
          <w:szCs w:val="32"/>
          <w:highlight w:val="none"/>
        </w:rPr>
        <w:t>决算数等于预算数的主要原因是</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9"/>
          <w:rFonts w:hint="eastAsia" w:ascii="仿宋" w:hAnsi="仿宋" w:eastAsia="仿宋"/>
          <w:b w:val="0"/>
          <w:bCs/>
          <w:color w:val="000000" w:themeColor="text1"/>
          <w:sz w:val="32"/>
          <w:szCs w:val="32"/>
          <w:highlight w:val="none"/>
          <w:lang w:val="en-US" w:eastAsia="zh-CN"/>
          <w14:textFill>
            <w14:solidFill>
              <w14:schemeClr w14:val="tx1"/>
            </w14:solidFill>
          </w14:textFill>
        </w:rPr>
        <w:t>预算执行中根据实际支出情况调整预算</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w:t>
      </w:r>
    </w:p>
    <w:p w14:paraId="1F1684E3">
      <w:pPr>
        <w:adjustRightInd w:val="0"/>
        <w:ind w:firstLine="643" w:firstLineChars="200"/>
        <w:jc w:val="left"/>
        <w:rPr>
          <w:rFonts w:ascii="仿宋" w:hAnsi="仿宋" w:eastAsia="仿宋" w:cs="仿宋"/>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 社会保障和就业支出（类）其它社会保障和就业支出（款）其它社会保障和就业支出（项）：</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1.49</w:t>
      </w:r>
      <w:r>
        <w:rPr>
          <w:rStyle w:val="19"/>
          <w:rFonts w:hint="eastAsia" w:ascii="仿宋" w:hAnsi="仿宋" w:eastAsia="仿宋"/>
          <w:b w:val="0"/>
          <w:bCs/>
          <w:sz w:val="32"/>
          <w:szCs w:val="32"/>
        </w:rPr>
        <w:t>万元，完成预算100.00</w:t>
      </w:r>
      <w:r>
        <w:rPr>
          <w:rStyle w:val="19"/>
          <w:rFonts w:ascii="仿宋" w:hAnsi="仿宋" w:eastAsia="仿宋"/>
          <w:b w:val="0"/>
          <w:bCs/>
          <w:sz w:val="32"/>
          <w:szCs w:val="32"/>
        </w:rPr>
        <w:t>%</w:t>
      </w:r>
      <w:r>
        <w:rPr>
          <w:rStyle w:val="19"/>
          <w:rFonts w:hint="eastAsia" w:ascii="仿宋" w:hAnsi="仿宋" w:eastAsia="仿宋"/>
          <w:b w:val="0"/>
          <w:bCs/>
          <w:color w:val="000000" w:themeColor="text1"/>
          <w:sz w:val="32"/>
          <w:szCs w:val="32"/>
          <w14:textFill>
            <w14:solidFill>
              <w14:schemeClr w14:val="tx1"/>
            </w14:solidFill>
          </w14:textFill>
        </w:rPr>
        <w:t>。</w:t>
      </w:r>
      <w:r>
        <w:rPr>
          <w:rStyle w:val="19"/>
          <w:rFonts w:hint="eastAsia" w:ascii="仿宋" w:hAnsi="仿宋" w:eastAsia="仿宋"/>
          <w:b w:val="0"/>
          <w:bCs/>
          <w:color w:val="auto"/>
          <w:sz w:val="32"/>
          <w:szCs w:val="32"/>
          <w:highlight w:val="none"/>
        </w:rPr>
        <w:t>决算数等于预算数的主要原因是</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9"/>
          <w:rFonts w:hint="eastAsia" w:ascii="仿宋" w:hAnsi="仿宋" w:eastAsia="仿宋"/>
          <w:b w:val="0"/>
          <w:bCs/>
          <w:color w:val="000000" w:themeColor="text1"/>
          <w:sz w:val="32"/>
          <w:szCs w:val="32"/>
          <w:highlight w:val="none"/>
          <w:lang w:val="en-US" w:eastAsia="zh-CN"/>
          <w14:textFill>
            <w14:solidFill>
              <w14:schemeClr w14:val="tx1"/>
            </w14:solidFill>
          </w14:textFill>
        </w:rPr>
        <w:t>预算执行中根据实际支出情况调整预算</w:t>
      </w:r>
      <w:r>
        <w:rPr>
          <w:rFonts w:hint="eastAsia" w:ascii="仿宋" w:hAnsi="仿宋" w:eastAsia="仿宋" w:cs="仿宋"/>
          <w:sz w:val="32"/>
          <w:szCs w:val="32"/>
        </w:rPr>
        <w:t>。</w:t>
      </w:r>
    </w:p>
    <w:p w14:paraId="4A771CF4">
      <w:pPr>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 xml:space="preserve">. </w:t>
      </w:r>
      <w:r>
        <w:rPr>
          <w:rFonts w:hint="eastAsia" w:ascii="仿宋" w:hAnsi="仿宋" w:eastAsia="仿宋" w:cs="仿宋"/>
          <w:b/>
          <w:bCs/>
          <w:sz w:val="32"/>
          <w:szCs w:val="32"/>
        </w:rPr>
        <w:t>卫生健康支出（类）行政事业单位医疗（款）事业单位医疗（项）：</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12.03</w:t>
      </w:r>
      <w:r>
        <w:rPr>
          <w:rStyle w:val="19"/>
          <w:rFonts w:hint="eastAsia" w:ascii="仿宋" w:hAnsi="仿宋" w:eastAsia="仿宋"/>
          <w:b w:val="0"/>
          <w:bCs/>
          <w:sz w:val="32"/>
          <w:szCs w:val="32"/>
        </w:rPr>
        <w:t>万元，完成预算100.00</w:t>
      </w:r>
      <w:r>
        <w:rPr>
          <w:rStyle w:val="19"/>
          <w:rFonts w:ascii="仿宋" w:hAnsi="仿宋" w:eastAsia="仿宋"/>
          <w:b w:val="0"/>
          <w:bCs/>
          <w:sz w:val="32"/>
          <w:szCs w:val="32"/>
        </w:rPr>
        <w:t>%</w:t>
      </w:r>
      <w:r>
        <w:rPr>
          <w:rStyle w:val="19"/>
          <w:rFonts w:hint="eastAsia" w:ascii="仿宋" w:hAnsi="仿宋" w:eastAsia="仿宋"/>
          <w:b w:val="0"/>
          <w:bCs/>
          <w:color w:val="000000" w:themeColor="text1"/>
          <w:sz w:val="32"/>
          <w:szCs w:val="32"/>
          <w14:textFill>
            <w14:solidFill>
              <w14:schemeClr w14:val="tx1"/>
            </w14:solidFill>
          </w14:textFill>
        </w:rPr>
        <w:t>。</w:t>
      </w:r>
      <w:r>
        <w:rPr>
          <w:rStyle w:val="19"/>
          <w:rFonts w:hint="eastAsia" w:ascii="仿宋" w:hAnsi="仿宋" w:eastAsia="仿宋"/>
          <w:b w:val="0"/>
          <w:bCs/>
          <w:color w:val="auto"/>
          <w:sz w:val="32"/>
          <w:szCs w:val="32"/>
          <w:highlight w:val="none"/>
        </w:rPr>
        <w:t>决算数等于预算数的主要原因是</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9"/>
          <w:rFonts w:hint="eastAsia" w:ascii="仿宋" w:hAnsi="仿宋" w:eastAsia="仿宋"/>
          <w:b w:val="0"/>
          <w:bCs/>
          <w:color w:val="000000" w:themeColor="text1"/>
          <w:sz w:val="32"/>
          <w:szCs w:val="32"/>
          <w:highlight w:val="none"/>
          <w:lang w:val="en-US" w:eastAsia="zh-CN"/>
          <w14:textFill>
            <w14:solidFill>
              <w14:schemeClr w14:val="tx1"/>
            </w14:solidFill>
          </w14:textFill>
        </w:rPr>
        <w:t>预算执行中根据实际支出情况调整预算</w:t>
      </w:r>
      <w:r>
        <w:rPr>
          <w:rFonts w:hint="eastAsia" w:ascii="仿宋" w:hAnsi="仿宋" w:eastAsia="仿宋" w:cs="仿宋"/>
          <w:sz w:val="32"/>
          <w:szCs w:val="32"/>
        </w:rPr>
        <w:t>。</w:t>
      </w:r>
    </w:p>
    <w:p w14:paraId="093A6494">
      <w:pPr>
        <w:adjustRightInd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w:t>
      </w:r>
      <w:r>
        <w:rPr>
          <w:rFonts w:hint="eastAsia" w:ascii="仿宋" w:hAnsi="仿宋" w:eastAsia="仿宋" w:cs="仿宋"/>
          <w:b/>
          <w:bCs/>
          <w:sz w:val="32"/>
          <w:szCs w:val="32"/>
        </w:rPr>
        <w:t>住房保障（类）住房改革支出（款）住房公积金（项）</w:t>
      </w:r>
      <w:r>
        <w:rPr>
          <w:rFonts w:hint="eastAsia" w:ascii="仿宋" w:hAnsi="仿宋" w:eastAsia="仿宋" w:cs="仿宋"/>
          <w:b/>
          <w:bCs/>
          <w:sz w:val="32"/>
          <w:szCs w:val="32"/>
          <w:lang w:eastAsia="zh-CN"/>
        </w:rPr>
        <w:t>：</w:t>
      </w:r>
      <w:r>
        <w:rPr>
          <w:rStyle w:val="19"/>
          <w:rFonts w:hint="eastAsia" w:ascii="仿宋" w:hAnsi="仿宋" w:eastAsia="仿宋"/>
          <w:b w:val="0"/>
          <w:bCs/>
          <w:sz w:val="32"/>
          <w:szCs w:val="32"/>
        </w:rPr>
        <w:t>支出决算为</w:t>
      </w:r>
      <w:r>
        <w:rPr>
          <w:rStyle w:val="19"/>
          <w:rFonts w:hint="eastAsia" w:ascii="仿宋" w:hAnsi="仿宋" w:eastAsia="仿宋"/>
          <w:b w:val="0"/>
          <w:bCs/>
          <w:sz w:val="32"/>
          <w:szCs w:val="32"/>
          <w:lang w:val="en-US" w:eastAsia="zh-CN"/>
        </w:rPr>
        <w:t>20.31</w:t>
      </w:r>
      <w:r>
        <w:rPr>
          <w:rStyle w:val="19"/>
          <w:rFonts w:hint="eastAsia" w:ascii="仿宋" w:hAnsi="仿宋" w:eastAsia="仿宋"/>
          <w:b w:val="0"/>
          <w:bCs/>
          <w:sz w:val="32"/>
          <w:szCs w:val="32"/>
        </w:rPr>
        <w:t>万元，完成预算100.00</w:t>
      </w:r>
      <w:r>
        <w:rPr>
          <w:rStyle w:val="19"/>
          <w:rFonts w:ascii="仿宋" w:hAnsi="仿宋" w:eastAsia="仿宋"/>
          <w:b w:val="0"/>
          <w:bCs/>
          <w:sz w:val="32"/>
          <w:szCs w:val="32"/>
        </w:rPr>
        <w:t>%</w:t>
      </w:r>
      <w:r>
        <w:rPr>
          <w:rStyle w:val="19"/>
          <w:rFonts w:hint="eastAsia" w:ascii="仿宋" w:hAnsi="仿宋" w:eastAsia="仿宋"/>
          <w:b w:val="0"/>
          <w:bCs/>
          <w:color w:val="000000" w:themeColor="text1"/>
          <w:sz w:val="32"/>
          <w:szCs w:val="32"/>
          <w14:textFill>
            <w14:solidFill>
              <w14:schemeClr w14:val="tx1"/>
            </w14:solidFill>
          </w14:textFill>
        </w:rPr>
        <w:t>。</w:t>
      </w:r>
      <w:r>
        <w:rPr>
          <w:rStyle w:val="19"/>
          <w:rFonts w:hint="eastAsia" w:ascii="仿宋" w:hAnsi="仿宋" w:eastAsia="仿宋"/>
          <w:b w:val="0"/>
          <w:bCs/>
          <w:color w:val="auto"/>
          <w:sz w:val="32"/>
          <w:szCs w:val="32"/>
          <w:highlight w:val="none"/>
        </w:rPr>
        <w:t>决算数等于预算数的主要原因是</w:t>
      </w:r>
      <w:r>
        <w:rPr>
          <w:rStyle w:val="19"/>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年初预算根据实际编列，</w:t>
      </w:r>
      <w:r>
        <w:rPr>
          <w:rStyle w:val="19"/>
          <w:rFonts w:hint="eastAsia" w:ascii="仿宋" w:hAnsi="仿宋" w:eastAsia="仿宋"/>
          <w:b w:val="0"/>
          <w:bCs/>
          <w:color w:val="000000" w:themeColor="text1"/>
          <w:sz w:val="32"/>
          <w:szCs w:val="32"/>
          <w:highlight w:val="none"/>
          <w:lang w:val="en-US" w:eastAsia="zh-CN"/>
          <w14:textFill>
            <w14:solidFill>
              <w14:schemeClr w14:val="tx1"/>
            </w14:solidFill>
          </w14:textFill>
        </w:rPr>
        <w:t>预算执行中根据实际支出情况调整预算</w:t>
      </w:r>
      <w:r>
        <w:rPr>
          <w:rFonts w:hint="eastAsia" w:ascii="仿宋" w:hAnsi="仿宋" w:eastAsia="仿宋" w:cs="仿宋"/>
          <w:sz w:val="32"/>
          <w:szCs w:val="32"/>
        </w:rPr>
        <w:t>。</w:t>
      </w:r>
    </w:p>
    <w:bookmarkEnd w:id="33"/>
    <w:bookmarkEnd w:id="34"/>
    <w:bookmarkEnd w:id="35"/>
    <w:p w14:paraId="588A8DA8">
      <w:pPr>
        <w:keepNext w:val="0"/>
        <w:keepLines w:val="0"/>
        <w:pageBreakBefore w:val="0"/>
        <w:widowControl w:val="0"/>
        <w:tabs>
          <w:tab w:val="right" w:pos="8306"/>
        </w:tabs>
        <w:kinsoku/>
        <w:wordWrap/>
        <w:overflowPunct/>
        <w:topLinePunct w:val="0"/>
        <w:autoSpaceDE/>
        <w:autoSpaceDN/>
        <w:bidi w:val="0"/>
        <w:adjustRightInd/>
        <w:snapToGrid w:val="0"/>
        <w:spacing w:line="560" w:lineRule="exact"/>
        <w:ind w:firstLine="640"/>
        <w:textAlignment w:val="auto"/>
        <w:outlineLvl w:val="1"/>
        <w:rPr>
          <w:rStyle w:val="31"/>
          <w:color w:val="auto"/>
          <w:sz w:val="32"/>
          <w:szCs w:val="32"/>
          <w:highlight w:val="none"/>
        </w:rPr>
      </w:pPr>
      <w:bookmarkStart w:id="36" w:name="_Toc15396608"/>
      <w:bookmarkStart w:id="37"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1"/>
          <w:rFonts w:hint="eastAsia" w:ascii="黑体" w:hAnsi="黑体" w:eastAsia="黑体"/>
          <w:b w:val="0"/>
          <w:color w:val="auto"/>
          <w:sz w:val="32"/>
          <w:szCs w:val="32"/>
          <w:highlight w:val="none"/>
        </w:rPr>
        <w:t>般公共预算财政拨款基本支出决算情况说明</w:t>
      </w:r>
      <w:bookmarkEnd w:id="36"/>
      <w:bookmarkEnd w:id="37"/>
      <w:r>
        <w:rPr>
          <w:rStyle w:val="31"/>
          <w:rFonts w:ascii="黑体" w:hAnsi="黑体" w:eastAsia="黑体"/>
          <w:b w:val="0"/>
          <w:color w:val="auto"/>
          <w:sz w:val="32"/>
          <w:szCs w:val="32"/>
          <w:highlight w:val="none"/>
        </w:rPr>
        <w:tab/>
      </w:r>
    </w:p>
    <w:p w14:paraId="0D2F7CA9">
      <w:pPr>
        <w:spacing w:line="600" w:lineRule="exact"/>
        <w:ind w:firstLine="645"/>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年一般公共预算财政拨款基本支出</w:t>
      </w:r>
      <w:r>
        <w:rPr>
          <w:rFonts w:hint="eastAsia" w:ascii="仿宋" w:hAnsi="仿宋" w:eastAsia="仿宋"/>
          <w:color w:val="000000" w:themeColor="text1"/>
          <w:sz w:val="32"/>
          <w:szCs w:val="32"/>
          <w:lang w:val="en-US" w:eastAsia="zh-CN"/>
          <w14:textFill>
            <w14:solidFill>
              <w14:schemeClr w14:val="tx1"/>
            </w14:solidFill>
          </w14:textFill>
        </w:rPr>
        <w:t>413.93</w:t>
      </w:r>
      <w:r>
        <w:rPr>
          <w:rFonts w:hint="eastAsia" w:ascii="仿宋" w:hAnsi="仿宋" w:eastAsia="仿宋"/>
          <w:color w:val="000000" w:themeColor="text1"/>
          <w:sz w:val="32"/>
          <w:szCs w:val="32"/>
          <w14:textFill>
            <w14:solidFill>
              <w14:schemeClr w14:val="tx1"/>
            </w14:solidFill>
          </w14:textFill>
        </w:rPr>
        <w:t>万元，其中：</w:t>
      </w:r>
    </w:p>
    <w:p w14:paraId="0EDD86C9">
      <w:pPr>
        <w:spacing w:line="60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人员经</w:t>
      </w:r>
      <w:r>
        <w:rPr>
          <w:rFonts w:hint="eastAsia" w:ascii="仿宋" w:hAnsi="仿宋" w:eastAsia="仿宋"/>
          <w:color w:val="000000" w:themeColor="text1"/>
          <w:sz w:val="32"/>
          <w:szCs w:val="32"/>
          <w14:textFill>
            <w14:solidFill>
              <w14:schemeClr w14:val="tx1"/>
            </w14:solidFill>
          </w14:textFill>
        </w:rPr>
        <w:t>费</w:t>
      </w:r>
      <w:r>
        <w:rPr>
          <w:rFonts w:hint="eastAsia" w:ascii="仿宋" w:hAnsi="仿宋" w:eastAsia="仿宋"/>
          <w:color w:val="000000" w:themeColor="text1"/>
          <w:sz w:val="32"/>
          <w:szCs w:val="32"/>
          <w:lang w:val="en-US" w:eastAsia="zh-CN"/>
          <w14:textFill>
            <w14:solidFill>
              <w14:schemeClr w14:val="tx1"/>
            </w14:solidFill>
          </w14:textFill>
        </w:rPr>
        <w:t>334.56</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sz w:val="32"/>
          <w:szCs w:val="32"/>
        </w:rPr>
        <w:t>主要包括：</w:t>
      </w:r>
      <w:r>
        <w:rPr>
          <w:rFonts w:hint="eastAsia" w:ascii="仿宋" w:hAnsi="仿宋" w:eastAsia="仿宋"/>
          <w:color w:val="000000" w:themeColor="text1"/>
          <w:sz w:val="32"/>
          <w:szCs w:val="32"/>
          <w14:textFill>
            <w14:solidFill>
              <w14:schemeClr w14:val="tx1"/>
            </w14:solidFill>
          </w14:textFill>
        </w:rPr>
        <w:t>基本工资、津贴补贴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auto"/>
          <w:sz w:val="32"/>
          <w:szCs w:val="32"/>
          <w:highlight w:val="none"/>
        </w:rPr>
        <w:t>奖金</w:t>
      </w:r>
      <w:r>
        <w:rPr>
          <w:rFonts w:hint="eastAsia" w:ascii="仿宋" w:hAnsi="仿宋" w:eastAsia="仿宋"/>
          <w:color w:val="auto"/>
          <w:sz w:val="32"/>
          <w:szCs w:val="32"/>
          <w:highlight w:val="none"/>
          <w:lang w:val="en-US" w:eastAsia="zh-CN"/>
        </w:rPr>
        <w:t>、</w:t>
      </w:r>
      <w:r>
        <w:rPr>
          <w:rFonts w:hint="eastAsia" w:ascii="仿宋" w:hAnsi="仿宋" w:eastAsia="仿宋"/>
          <w:color w:val="000000" w:themeColor="text1"/>
          <w:sz w:val="32"/>
          <w:szCs w:val="32"/>
          <w14:textFill>
            <w14:solidFill>
              <w14:schemeClr w14:val="tx1"/>
            </w14:solidFill>
          </w14:textFill>
        </w:rPr>
        <w:t>绩效工资、机关事业单位基本养老保险缴费、职工基本医疗保险缴费、其他社会保障缴费、住房公积金、</w:t>
      </w:r>
      <w:r>
        <w:rPr>
          <w:rFonts w:hint="eastAsia" w:ascii="仿宋" w:hAnsi="仿宋" w:eastAsia="仿宋"/>
          <w:color w:val="000000" w:themeColor="text1"/>
          <w:sz w:val="32"/>
          <w:szCs w:val="32"/>
          <w:lang w:val="en-US" w:eastAsia="zh-CN"/>
          <w14:textFill>
            <w14:solidFill>
              <w14:schemeClr w14:val="tx1"/>
            </w14:solidFill>
          </w14:textFill>
        </w:rPr>
        <w:t>助学金</w:t>
      </w:r>
      <w:r>
        <w:rPr>
          <w:rFonts w:hint="eastAsia" w:ascii="仿宋" w:hAnsi="仿宋" w:eastAsia="仿宋"/>
          <w:color w:val="000000" w:themeColor="text1"/>
          <w:sz w:val="32"/>
          <w:szCs w:val="32"/>
          <w14:textFill>
            <w14:solidFill>
              <w14:schemeClr w14:val="tx1"/>
            </w14:solidFill>
          </w14:textFill>
        </w:rPr>
        <w:t>、生活补助等。</w:t>
      </w:r>
    </w:p>
    <w:p w14:paraId="005A220B">
      <w:pPr>
        <w:spacing w:line="60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公用经费</w:t>
      </w:r>
      <w:r>
        <w:rPr>
          <w:rFonts w:hint="eastAsia" w:ascii="仿宋" w:hAnsi="仿宋" w:eastAsia="仿宋"/>
          <w:color w:val="000000" w:themeColor="text1"/>
          <w:sz w:val="32"/>
          <w:szCs w:val="32"/>
          <w:lang w:val="en-US" w:eastAsia="zh-CN"/>
          <w14:textFill>
            <w14:solidFill>
              <w14:schemeClr w14:val="tx1"/>
            </w14:solidFill>
          </w14:textFill>
        </w:rPr>
        <w:t>79.37</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sz w:val="32"/>
          <w:szCs w:val="32"/>
        </w:rPr>
        <w:t>主要包括：办公费</w:t>
      </w:r>
      <w:r>
        <w:rPr>
          <w:rFonts w:hint="eastAsia" w:ascii="仿宋" w:hAnsi="仿宋" w:eastAsia="仿宋"/>
          <w:color w:val="000000" w:themeColor="text1"/>
          <w:sz w:val="32"/>
          <w:szCs w:val="32"/>
          <w14:textFill>
            <w14:solidFill>
              <w14:schemeClr w14:val="tx1"/>
            </w14:solidFill>
          </w14:textFill>
        </w:rPr>
        <w:t>、印刷费、电费、邮电费、差旅费、维修（护）费、培训费</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劳务费、工会经费、福利费</w:t>
      </w:r>
      <w:r>
        <w:rPr>
          <w:rFonts w:hint="eastAsia" w:ascii="仿宋" w:hAnsi="仿宋" w:eastAsia="仿宋"/>
          <w:color w:val="000000" w:themeColor="text1"/>
          <w:sz w:val="32"/>
          <w:szCs w:val="32"/>
          <w:lang w:eastAsia="zh-CN"/>
          <w14:textFill>
            <w14:solidFill>
              <w14:schemeClr w14:val="tx1"/>
            </w14:solidFill>
          </w14:textFill>
        </w:rPr>
        <w:t>等</w:t>
      </w:r>
      <w:r>
        <w:rPr>
          <w:rFonts w:hint="eastAsia" w:ascii="仿宋" w:hAnsi="仿宋" w:eastAsia="仿宋"/>
          <w:color w:val="000000" w:themeColor="text1"/>
          <w:sz w:val="32"/>
          <w:szCs w:val="32"/>
          <w14:textFill>
            <w14:solidFill>
              <w14:schemeClr w14:val="tx1"/>
            </w14:solidFill>
          </w14:textFill>
        </w:rPr>
        <w:t>。</w:t>
      </w:r>
    </w:p>
    <w:p w14:paraId="4519BE8F">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outlineLvl w:val="1"/>
        <w:rPr>
          <w:rStyle w:val="31"/>
          <w:rFonts w:ascii="黑体" w:hAnsi="黑体" w:eastAsia="黑体"/>
          <w:b w:val="0"/>
          <w:color w:val="auto"/>
          <w:sz w:val="32"/>
          <w:szCs w:val="32"/>
          <w:highlight w:val="none"/>
        </w:rPr>
      </w:pPr>
      <w:bookmarkStart w:id="38" w:name="_Toc15396609"/>
      <w:bookmarkStart w:id="39" w:name="_Toc15377215"/>
      <w:r>
        <w:rPr>
          <w:rFonts w:hint="eastAsia" w:ascii="黑体" w:eastAsia="黑体"/>
          <w:color w:val="auto"/>
          <w:sz w:val="32"/>
          <w:szCs w:val="32"/>
          <w:highlight w:val="none"/>
        </w:rPr>
        <w:t>七、</w:t>
      </w:r>
      <w:r>
        <w:rPr>
          <w:rStyle w:val="31"/>
          <w:rFonts w:hint="eastAsia" w:ascii="黑体" w:hAnsi="黑体" w:eastAsia="黑体"/>
          <w:color w:val="auto"/>
          <w:sz w:val="32"/>
          <w:szCs w:val="32"/>
          <w:highlight w:val="none"/>
        </w:rPr>
        <w:t>“</w:t>
      </w:r>
      <w:r>
        <w:rPr>
          <w:rStyle w:val="31"/>
          <w:rFonts w:hint="eastAsia" w:ascii="黑体" w:hAnsi="黑体" w:eastAsia="黑体"/>
          <w:b w:val="0"/>
          <w:color w:val="auto"/>
          <w:sz w:val="32"/>
          <w:szCs w:val="32"/>
          <w:highlight w:val="none"/>
        </w:rPr>
        <w:t>三公”经费财政拨款支出决算情况说明</w:t>
      </w:r>
      <w:bookmarkEnd w:id="38"/>
      <w:bookmarkEnd w:id="39"/>
    </w:p>
    <w:p w14:paraId="385F08B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0" w:name="_Toc15377216"/>
      <w:r>
        <w:rPr>
          <w:rFonts w:hint="eastAsia" w:ascii="楷体" w:hAnsi="楷体" w:eastAsia="楷体" w:cs="楷体"/>
          <w:b w:val="0"/>
          <w:bCs/>
          <w:color w:val="auto"/>
          <w:sz w:val="32"/>
          <w:szCs w:val="32"/>
          <w:highlight w:val="none"/>
        </w:rPr>
        <w:t>（一）“三公”经费财政拨款支出决算总体情况说明</w:t>
      </w:r>
      <w:bookmarkEnd w:id="40"/>
    </w:p>
    <w:p w14:paraId="338A5854">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w:t>
      </w:r>
      <w:r>
        <w:rPr>
          <w:rFonts w:hint="eastAsia" w:ascii="仿宋" w:hAnsi="仿宋" w:eastAsia="仿宋"/>
          <w:color w:val="auto"/>
          <w:sz w:val="32"/>
          <w:szCs w:val="32"/>
          <w:highlight w:val="none"/>
          <w:lang w:val="en-US" w:eastAsia="zh-CN"/>
        </w:rPr>
        <w:t>0万元，</w:t>
      </w:r>
      <w:r>
        <w:rPr>
          <w:rFonts w:hint="eastAsia" w:ascii="仿宋" w:hAnsi="仿宋" w:eastAsia="仿宋"/>
          <w:color w:val="auto"/>
          <w:sz w:val="32"/>
          <w:szCs w:val="32"/>
          <w:highlight w:val="none"/>
          <w:lang w:eastAsia="zh-CN"/>
        </w:rPr>
        <w:t>较</w:t>
      </w:r>
      <w:r>
        <w:rPr>
          <w:rFonts w:hint="eastAsia" w:ascii="仿宋" w:hAnsi="仿宋" w:eastAsia="仿宋"/>
          <w:color w:val="auto"/>
          <w:sz w:val="32"/>
          <w:szCs w:val="32"/>
          <w:highlight w:val="none"/>
          <w:lang w:val="en-US" w:eastAsia="zh-CN"/>
        </w:rPr>
        <w:t>2022年</w:t>
      </w:r>
      <w:r>
        <w:rPr>
          <w:rFonts w:hint="eastAsia" w:ascii="仿宋" w:hAnsi="仿宋" w:eastAsia="仿宋"/>
          <w:color w:val="auto"/>
          <w:sz w:val="32"/>
          <w:szCs w:val="32"/>
          <w:highlight w:val="none"/>
          <w:lang w:eastAsia="zh-CN"/>
        </w:rPr>
        <w:t>持平</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主要原因是</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无</w:t>
      </w:r>
      <w:r>
        <w:rPr>
          <w:rFonts w:hint="eastAsia" w:ascii="仿宋" w:hAnsi="仿宋" w:eastAsia="仿宋"/>
          <w:color w:val="auto"/>
          <w:sz w:val="32"/>
          <w:szCs w:val="32"/>
          <w:highlight w:val="none"/>
        </w:rPr>
        <w:t>“三公”经费财政拨款支出</w:t>
      </w:r>
      <w:r>
        <w:rPr>
          <w:rFonts w:hint="eastAsia" w:ascii="仿宋" w:hAnsi="仿宋" w:eastAsia="仿宋"/>
          <w:color w:val="auto"/>
          <w:sz w:val="32"/>
          <w:szCs w:val="32"/>
          <w:highlight w:val="none"/>
          <w:lang w:eastAsia="zh-CN"/>
        </w:rPr>
        <w:t>。</w:t>
      </w:r>
    </w:p>
    <w:p w14:paraId="7B8D23D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1" w:name="_Toc15377217"/>
      <w:r>
        <w:rPr>
          <w:rFonts w:hint="eastAsia" w:ascii="楷体" w:hAnsi="楷体" w:eastAsia="楷体" w:cs="楷体"/>
          <w:b w:val="0"/>
          <w:bCs/>
          <w:color w:val="auto"/>
          <w:sz w:val="32"/>
          <w:szCs w:val="32"/>
          <w:highlight w:val="none"/>
        </w:rPr>
        <w:t>（二）“三公”经费财政拨款支出决算具体情况说明</w:t>
      </w:r>
      <w:bookmarkEnd w:id="41"/>
    </w:p>
    <w:p w14:paraId="4E7855B5">
      <w:pPr>
        <w:keepNext w:val="0"/>
        <w:keepLines w:val="0"/>
        <w:pageBreakBefore w:val="0"/>
        <w:widowControl w:val="0"/>
        <w:kinsoku/>
        <w:wordWrap/>
        <w:overflowPunct/>
        <w:topLinePunct w:val="0"/>
        <w:autoSpaceDE/>
        <w:autoSpaceDN/>
        <w:bidi w:val="0"/>
        <w:adjustRightInd/>
        <w:snapToGrid w:val="0"/>
        <w:spacing w:line="560" w:lineRule="exact"/>
        <w:ind w:firstLine="640"/>
        <w:textAlignment w:val="auto"/>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23</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元。具体情况如下：</w:t>
      </w:r>
      <w:r>
        <w:rPr>
          <w:rFonts w:hint="eastAsia" w:ascii="仿宋" w:hAnsi="仿宋" w:eastAsia="仿宋"/>
          <w:color w:val="auto"/>
          <w:sz w:val="32"/>
          <w:szCs w:val="32"/>
          <w:highlight w:val="none"/>
          <w:lang w:eastAsia="zh-CN"/>
        </w:rPr>
        <w:t>。</w:t>
      </w:r>
    </w:p>
    <w:p w14:paraId="0C1EB13C">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bookmarkStart w:id="42" w:name="_Toc15377218"/>
      <w:bookmarkStart w:id="43" w:name="_Toc15396610"/>
      <w:r>
        <w:rPr>
          <w:rFonts w:hint="eastAsia" w:ascii="仿宋_GB2312" w:eastAsia="仿宋_GB2312"/>
          <w:color w:val="auto"/>
          <w:sz w:val="32"/>
          <w:szCs w:val="32"/>
          <w:highlight w:val="none"/>
        </w:rPr>
        <w:t>1.因公出国（境）经费支出0万元，完成预算100%。全年安排因公出国（境）团组0次，出国（境）0人。主要原因是无因公出国（境）。</w:t>
      </w:r>
    </w:p>
    <w:p w14:paraId="0EFE3E47">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2.公务用车购置及运行维护费支出0万元,完成预算100%。主要原因是学校无公务用车。</w:t>
      </w:r>
    </w:p>
    <w:p w14:paraId="1322C3A4">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其中：公务用车购置支出0万元。截至2023年12月31日，单位共有公务用车0辆。</w:t>
      </w:r>
      <w:bookmarkStart w:id="83" w:name="_GoBack"/>
      <w:bookmarkEnd w:id="83"/>
    </w:p>
    <w:p w14:paraId="2A3F1E08">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公务用车运行维护费支出0万元。</w:t>
      </w:r>
    </w:p>
    <w:p w14:paraId="0FFD1355">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3.公务接待费支出0万元，完成预算100%。主要原因是公务接待费。其中：</w:t>
      </w:r>
    </w:p>
    <w:p w14:paraId="6F8C9F57">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国内公务接待支出0万元。</w:t>
      </w:r>
    </w:p>
    <w:p w14:paraId="01CB0749">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外事接待支出0万元。</w:t>
      </w:r>
    </w:p>
    <w:p w14:paraId="548E5988">
      <w:pPr>
        <w:keepNext w:val="0"/>
        <w:keepLines w:val="0"/>
        <w:pageBreakBefore w:val="0"/>
        <w:widowControl w:val="0"/>
        <w:kinsoku/>
        <w:wordWrap/>
        <w:overflowPunct/>
        <w:topLinePunct w:val="0"/>
        <w:bidi w:val="0"/>
        <w:snapToGrid/>
        <w:spacing w:line="560" w:lineRule="exact"/>
        <w:ind w:firstLine="640"/>
        <w:textAlignment w:val="auto"/>
        <w:outlineLvl w:val="1"/>
        <w:rPr>
          <w:rStyle w:val="31"/>
          <w:rFonts w:ascii="黑体" w:hAnsi="黑体" w:eastAsia="黑体"/>
          <w:color w:val="auto"/>
          <w:sz w:val="32"/>
          <w:szCs w:val="32"/>
          <w:highlight w:val="none"/>
        </w:rPr>
      </w:pPr>
      <w:r>
        <w:rPr>
          <w:rFonts w:hint="eastAsia" w:ascii="黑体" w:eastAsia="黑体"/>
          <w:color w:val="auto"/>
          <w:sz w:val="32"/>
          <w:szCs w:val="32"/>
          <w:highlight w:val="none"/>
        </w:rPr>
        <w:t>八、</w:t>
      </w:r>
      <w:r>
        <w:rPr>
          <w:rStyle w:val="31"/>
          <w:rFonts w:hint="eastAsia" w:ascii="黑体" w:hAnsi="黑体" w:eastAsia="黑体"/>
          <w:b w:val="0"/>
          <w:color w:val="auto"/>
          <w:sz w:val="32"/>
          <w:szCs w:val="32"/>
          <w:highlight w:val="none"/>
        </w:rPr>
        <w:t>政府性基金预算支出决算情况说明</w:t>
      </w:r>
      <w:bookmarkEnd w:id="42"/>
      <w:bookmarkEnd w:id="43"/>
    </w:p>
    <w:p w14:paraId="3EEB60E8">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2A003C0F">
      <w:pPr>
        <w:pStyle w:val="2"/>
      </w:pPr>
    </w:p>
    <w:p w14:paraId="35BB6D0B">
      <w:pPr>
        <w:keepNext w:val="0"/>
        <w:keepLines w:val="0"/>
        <w:pageBreakBefore w:val="0"/>
        <w:widowControl w:val="0"/>
        <w:numPr>
          <w:ilvl w:val="0"/>
          <w:numId w:val="3"/>
        </w:numPr>
        <w:kinsoku/>
        <w:wordWrap/>
        <w:overflowPunct/>
        <w:topLinePunct w:val="0"/>
        <w:bidi w:val="0"/>
        <w:snapToGrid/>
        <w:spacing w:line="560" w:lineRule="exact"/>
        <w:ind w:left="-10" w:leftChars="0" w:firstLine="640" w:firstLineChars="0"/>
        <w:textAlignment w:val="auto"/>
        <w:outlineLvl w:val="1"/>
        <w:rPr>
          <w:rStyle w:val="31"/>
          <w:rFonts w:ascii="黑体" w:hAnsi="黑体" w:eastAsia="黑体"/>
          <w:b w:val="0"/>
          <w:color w:val="auto"/>
          <w:sz w:val="32"/>
          <w:szCs w:val="32"/>
          <w:highlight w:val="none"/>
        </w:rPr>
      </w:pPr>
      <w:bookmarkStart w:id="44" w:name="_Toc15377219"/>
      <w:bookmarkStart w:id="45" w:name="_Toc15396611"/>
      <w:r>
        <w:rPr>
          <w:rStyle w:val="31"/>
          <w:rFonts w:hint="eastAsia" w:ascii="黑体" w:hAnsi="黑体" w:eastAsia="黑体"/>
          <w:b w:val="0"/>
          <w:color w:val="auto"/>
          <w:sz w:val="32"/>
          <w:szCs w:val="32"/>
          <w:highlight w:val="none"/>
        </w:rPr>
        <w:t>国有资本经营预算支出决算情况说明</w:t>
      </w:r>
      <w:bookmarkEnd w:id="44"/>
      <w:bookmarkEnd w:id="45"/>
    </w:p>
    <w:p w14:paraId="142F0EDB">
      <w:pPr>
        <w:keepNext w:val="0"/>
        <w:keepLines w:val="0"/>
        <w:pageBreakBefore w:val="0"/>
        <w:widowControl w:val="0"/>
        <w:kinsoku/>
        <w:wordWrap/>
        <w:overflowPunct/>
        <w:topLinePunct w:val="0"/>
        <w:bidi w:val="0"/>
        <w:snapToGrid/>
        <w:spacing w:line="560" w:lineRule="exact"/>
        <w:ind w:firstLine="640"/>
        <w:textAlignment w:val="auto"/>
        <w:rPr>
          <w:rFonts w:hint="eastAsia"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0.00</w:t>
      </w:r>
      <w:r>
        <w:rPr>
          <w:rFonts w:hint="eastAsia" w:ascii="仿宋_GB2312" w:eastAsia="仿宋_GB2312"/>
          <w:color w:val="auto"/>
          <w:sz w:val="32"/>
          <w:szCs w:val="32"/>
          <w:highlight w:val="none"/>
        </w:rPr>
        <w:t>万元。</w:t>
      </w:r>
    </w:p>
    <w:p w14:paraId="398B1217">
      <w:pPr>
        <w:pStyle w:val="2"/>
      </w:pPr>
    </w:p>
    <w:p w14:paraId="4B358695">
      <w:pPr>
        <w:keepNext w:val="0"/>
        <w:keepLines w:val="0"/>
        <w:pageBreakBefore w:val="0"/>
        <w:widowControl w:val="0"/>
        <w:numPr>
          <w:ilvl w:val="0"/>
          <w:numId w:val="3"/>
        </w:numPr>
        <w:kinsoku/>
        <w:wordWrap/>
        <w:overflowPunct/>
        <w:topLinePunct w:val="0"/>
        <w:bidi w:val="0"/>
        <w:snapToGrid/>
        <w:spacing w:line="560" w:lineRule="exact"/>
        <w:ind w:left="-10" w:leftChars="0" w:firstLine="640" w:firstLineChars="0"/>
        <w:textAlignment w:val="auto"/>
        <w:outlineLvl w:val="1"/>
        <w:rPr>
          <w:rStyle w:val="31"/>
          <w:rFonts w:hint="eastAsia" w:ascii="黑体" w:hAnsi="黑体" w:eastAsia="黑体"/>
          <w:b w:val="0"/>
          <w:color w:val="auto"/>
          <w:sz w:val="32"/>
          <w:szCs w:val="32"/>
          <w:highlight w:val="none"/>
        </w:rPr>
      </w:pPr>
      <w:bookmarkStart w:id="46" w:name="_Toc15396612"/>
      <w:bookmarkStart w:id="47" w:name="_Toc15377221"/>
      <w:r>
        <w:rPr>
          <w:rStyle w:val="31"/>
          <w:rFonts w:hint="eastAsia" w:ascii="黑体" w:hAnsi="黑体" w:eastAsia="黑体"/>
          <w:b w:val="0"/>
          <w:color w:val="auto"/>
          <w:sz w:val="32"/>
          <w:szCs w:val="32"/>
          <w:highlight w:val="none"/>
        </w:rPr>
        <w:t>其他重要事项的情况说明</w:t>
      </w:r>
      <w:bookmarkEnd w:id="46"/>
      <w:bookmarkEnd w:id="47"/>
    </w:p>
    <w:p w14:paraId="1F565C2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8" w:name="_Toc15377222"/>
      <w:r>
        <w:rPr>
          <w:rFonts w:hint="eastAsia" w:ascii="楷体" w:hAnsi="楷体" w:eastAsia="楷体" w:cs="楷体"/>
          <w:b w:val="0"/>
          <w:bCs/>
          <w:color w:val="auto"/>
          <w:sz w:val="32"/>
          <w:szCs w:val="32"/>
          <w:highlight w:val="none"/>
        </w:rPr>
        <w:t>（一）机关运行经费支出情况</w:t>
      </w:r>
      <w:bookmarkEnd w:id="48"/>
    </w:p>
    <w:p w14:paraId="527B2D0A">
      <w:pPr>
        <w:spacing w:line="600" w:lineRule="exact"/>
        <w:ind w:firstLine="640" w:firstLineChars="200"/>
        <w:rPr>
          <w:rFonts w:hint="eastAsia" w:ascii="黑体" w:eastAsia="仿宋_GB2312"/>
          <w:color w:val="auto"/>
          <w:sz w:val="32"/>
          <w:szCs w:val="32"/>
          <w:highlight w:val="none"/>
          <w:lang w:eastAsia="zh-CN"/>
        </w:rPr>
      </w:pPr>
      <w:r>
        <w:rPr>
          <w:rFonts w:hint="eastAsia" w:ascii="仿宋_GB2312" w:eastAsia="仿宋_GB2312"/>
          <w:color w:val="000000" w:themeColor="text1"/>
          <w:sz w:val="32"/>
          <w:szCs w:val="32"/>
          <w:highlight w:val="none"/>
          <w:lang w:val="en-US" w:eastAsia="zh-CN"/>
          <w14:textFill>
            <w14:solidFill>
              <w14:schemeClr w14:val="tx1"/>
            </w14:solidFill>
          </w14:textFill>
        </w:rPr>
        <w:t xml:space="preserve">  </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hint="eastAsia" w:ascii="仿宋_GB2312" w:eastAsia="仿宋_GB2312"/>
          <w:color w:val="000000"/>
          <w:sz w:val="32"/>
          <w:szCs w:val="32"/>
          <w:lang w:eastAsia="zh-CN"/>
        </w:rPr>
        <w:t>广元市利州区</w:t>
      </w:r>
      <w:r>
        <w:rPr>
          <w:rFonts w:hint="eastAsia" w:ascii="仿宋_GB2312" w:eastAsia="仿宋_GB2312"/>
          <w:color w:val="000000"/>
          <w:sz w:val="32"/>
          <w:szCs w:val="32"/>
          <w:lang w:val="en-US" w:eastAsia="zh-CN"/>
        </w:rPr>
        <w:t>宝珠小学</w:t>
      </w:r>
      <w:r>
        <w:rPr>
          <w:rFonts w:hint="eastAsia" w:ascii="仿宋_GB2312" w:eastAsia="仿宋_GB2312"/>
          <w:color w:val="auto"/>
          <w:sz w:val="32"/>
          <w:szCs w:val="32"/>
          <w:highlight w:val="none"/>
        </w:rPr>
        <w:t>机关运行经费支出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_GB2312" w:eastAsia="仿宋_GB2312"/>
          <w:color w:val="auto"/>
          <w:sz w:val="32"/>
          <w:szCs w:val="32"/>
          <w:highlight w:val="none"/>
          <w:lang w:eastAsia="zh-CN"/>
        </w:rPr>
        <w:t>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持平</w:t>
      </w:r>
      <w:r>
        <w:rPr>
          <w:rFonts w:hint="eastAsia" w:ascii="仿宋_GB2312" w:eastAsia="仿宋_GB2312"/>
          <w:color w:val="auto"/>
          <w:sz w:val="32"/>
          <w:szCs w:val="32"/>
          <w:highlight w:val="none"/>
        </w:rPr>
        <w:t>。</w:t>
      </w:r>
    </w:p>
    <w:p w14:paraId="165550D2">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49" w:name="_Toc15377223"/>
      <w:r>
        <w:rPr>
          <w:rFonts w:hint="eastAsia" w:ascii="楷体" w:hAnsi="楷体" w:eastAsia="楷体" w:cs="楷体"/>
          <w:b w:val="0"/>
          <w:bCs/>
          <w:color w:val="auto"/>
          <w:sz w:val="32"/>
          <w:szCs w:val="32"/>
          <w:highlight w:val="none"/>
        </w:rPr>
        <w:t>政府采购支出情况</w:t>
      </w:r>
      <w:bookmarkEnd w:id="49"/>
    </w:p>
    <w:p w14:paraId="66443693">
      <w:pPr>
        <w:spacing w:line="600" w:lineRule="exact"/>
        <w:ind w:firstLine="420" w:firstLineChars="200"/>
        <w:rPr>
          <w:rFonts w:hint="eastAsia" w:ascii="仿宋_GB2312" w:eastAsia="仿宋_GB2312"/>
          <w:sz w:val="32"/>
          <w:szCs w:val="32"/>
          <w:lang w:val="en-US" w:eastAsia="zh-CN"/>
        </w:rPr>
      </w:pPr>
      <w:r>
        <w:rPr>
          <w:rFonts w:hint="eastAsia"/>
          <w:lang w:val="en-US" w:eastAsia="zh-CN"/>
        </w:rPr>
        <w:t xml:space="preserve">     </w:t>
      </w:r>
      <w:r>
        <w:rPr>
          <w:rFonts w:ascii="仿宋_GB2312" w:eastAsia="仿宋_GB2312"/>
          <w:color w:val="000000"/>
          <w:sz w:val="32"/>
          <w:szCs w:val="32"/>
        </w:rPr>
        <w:t>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广元市利州区</w:t>
      </w:r>
      <w:r>
        <w:rPr>
          <w:rFonts w:hint="eastAsia" w:ascii="仿宋_GB2312" w:eastAsia="仿宋_GB2312"/>
          <w:color w:val="000000"/>
          <w:sz w:val="32"/>
          <w:szCs w:val="32"/>
          <w:lang w:val="en-US" w:eastAsia="zh-CN"/>
        </w:rPr>
        <w:t>宝珠小学</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0.00</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w:t>
      </w:r>
    </w:p>
    <w:p w14:paraId="5A7F86E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2"/>
        <w:rPr>
          <w:rFonts w:hint="eastAsia" w:ascii="楷体" w:hAnsi="楷体" w:eastAsia="楷体" w:cs="楷体"/>
          <w:b w:val="0"/>
          <w:bCs/>
          <w:color w:val="auto"/>
          <w:sz w:val="32"/>
          <w:szCs w:val="32"/>
          <w:highlight w:val="none"/>
        </w:rPr>
      </w:pPr>
      <w:bookmarkStart w:id="50" w:name="_Toc15377224"/>
      <w:r>
        <w:rPr>
          <w:rFonts w:hint="eastAsia" w:ascii="楷体" w:hAnsi="楷体" w:eastAsia="楷体" w:cs="楷体"/>
          <w:b w:val="0"/>
          <w:bCs/>
          <w:color w:val="auto"/>
          <w:sz w:val="32"/>
          <w:szCs w:val="32"/>
          <w:highlight w:val="none"/>
        </w:rPr>
        <w:t>（三）国有资产占有使用情况</w:t>
      </w:r>
      <w:bookmarkEnd w:id="50"/>
    </w:p>
    <w:p w14:paraId="6ACD7113">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23</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14:paraId="4268569B">
      <w:pPr>
        <w:autoSpaceDE w:val="0"/>
        <w:autoSpaceDN w:val="0"/>
        <w:adjustRightInd w:val="0"/>
        <w:spacing w:line="600" w:lineRule="exact"/>
        <w:ind w:firstLine="640" w:firstLineChars="200"/>
        <w:jc w:val="left"/>
        <w:outlineLvl w:val="2"/>
        <w:rPr>
          <w:rFonts w:hint="eastAsia" w:ascii="仿宋" w:hAnsi="仿宋" w:eastAsia="仿宋"/>
          <w:b/>
          <w:color w:val="auto"/>
          <w:sz w:val="32"/>
          <w:szCs w:val="32"/>
          <w:highlight w:val="none"/>
          <w:lang w:eastAsia="zh-CN"/>
        </w:rPr>
      </w:pPr>
      <w:r>
        <w:rPr>
          <w:rFonts w:hint="eastAsia" w:ascii="楷体" w:hAnsi="楷体" w:eastAsia="楷体" w:cs="楷体"/>
          <w:b w:val="0"/>
          <w:bCs/>
          <w:color w:val="auto"/>
          <w:sz w:val="32"/>
          <w:szCs w:val="32"/>
          <w:highlight w:val="none"/>
        </w:rPr>
        <w:t>（四）预算绩效管理情况</w:t>
      </w:r>
    </w:p>
    <w:p w14:paraId="0B009BF1">
      <w:pPr>
        <w:pStyle w:val="2"/>
        <w:ind w:firstLine="640" w:firstLineChars="200"/>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根据预算绩效管理要求，本单位在202</w:t>
      </w:r>
      <w:r>
        <w:rPr>
          <w:rFonts w:hint="eastAsia" w:cs="Times New Roman"/>
          <w:color w:val="auto"/>
          <w:kern w:val="2"/>
          <w:sz w:val="32"/>
          <w:szCs w:val="32"/>
          <w:highlight w:val="none"/>
          <w:lang w:val="en-US" w:eastAsia="zh-CN" w:bidi="ar-SA"/>
        </w:rPr>
        <w:t>3</w:t>
      </w:r>
      <w:r>
        <w:rPr>
          <w:rFonts w:hint="eastAsia" w:ascii="仿宋_GB2312" w:hAnsi="Times New Roman" w:eastAsia="仿宋_GB2312" w:cs="Times New Roman"/>
          <w:color w:val="auto"/>
          <w:kern w:val="2"/>
          <w:sz w:val="32"/>
          <w:szCs w:val="32"/>
          <w:highlight w:val="none"/>
          <w:lang w:val="en-US" w:eastAsia="zh-CN" w:bidi="ar-SA"/>
        </w:rPr>
        <w:t>年度预算编制阶段，组织对家庭经济困难寄宿学生生活补助项目等</w:t>
      </w:r>
      <w:r>
        <w:rPr>
          <w:rFonts w:hint="eastAsia" w:cs="Times New Roman"/>
          <w:color w:val="auto"/>
          <w:kern w:val="2"/>
          <w:sz w:val="32"/>
          <w:szCs w:val="32"/>
          <w:highlight w:val="none"/>
          <w:lang w:val="en-US" w:eastAsia="zh-CN" w:bidi="ar-SA"/>
        </w:rPr>
        <w:t>31</w:t>
      </w:r>
      <w:r>
        <w:rPr>
          <w:rFonts w:hint="eastAsia" w:ascii="仿宋_GB2312" w:hAnsi="Times New Roman" w:eastAsia="仿宋_GB2312" w:cs="Times New Roman"/>
          <w:color w:val="auto"/>
          <w:kern w:val="2"/>
          <w:sz w:val="32"/>
          <w:szCs w:val="32"/>
          <w:highlight w:val="none"/>
          <w:lang w:val="en-US" w:eastAsia="zh-CN" w:bidi="ar-SA"/>
        </w:rPr>
        <w:t>个项目开展了预算事前绩效评估，对</w:t>
      </w:r>
      <w:r>
        <w:rPr>
          <w:rFonts w:hint="eastAsia" w:cs="Times New Roman"/>
          <w:color w:val="auto"/>
          <w:kern w:val="2"/>
          <w:sz w:val="32"/>
          <w:szCs w:val="32"/>
          <w:highlight w:val="none"/>
          <w:lang w:val="en-US" w:eastAsia="zh-CN" w:bidi="ar-SA"/>
        </w:rPr>
        <w:t>31</w:t>
      </w:r>
      <w:r>
        <w:rPr>
          <w:rFonts w:hint="eastAsia" w:ascii="仿宋_GB2312" w:hAnsi="Times New Roman" w:eastAsia="仿宋_GB2312" w:cs="Times New Roman"/>
          <w:color w:val="auto"/>
          <w:kern w:val="2"/>
          <w:sz w:val="32"/>
          <w:szCs w:val="32"/>
          <w:highlight w:val="none"/>
          <w:lang w:val="en-US" w:eastAsia="zh-CN" w:bidi="ar-SA"/>
        </w:rPr>
        <w:t>个项目编制了绩效目标，预算执行过程中，选取</w:t>
      </w:r>
      <w:r>
        <w:rPr>
          <w:rFonts w:hint="eastAsia" w:cs="Times New Roman"/>
          <w:color w:val="auto"/>
          <w:kern w:val="2"/>
          <w:sz w:val="32"/>
          <w:szCs w:val="32"/>
          <w:highlight w:val="none"/>
          <w:lang w:val="en-US" w:eastAsia="zh-CN" w:bidi="ar-SA"/>
        </w:rPr>
        <w:t>31</w:t>
      </w:r>
      <w:r>
        <w:rPr>
          <w:rFonts w:hint="eastAsia" w:ascii="仿宋_GB2312" w:hAnsi="Times New Roman" w:eastAsia="仿宋_GB2312" w:cs="Times New Roman"/>
          <w:color w:val="auto"/>
          <w:kern w:val="2"/>
          <w:sz w:val="32"/>
          <w:szCs w:val="32"/>
          <w:highlight w:val="none"/>
          <w:lang w:val="en-US" w:eastAsia="zh-CN" w:bidi="ar-SA"/>
        </w:rPr>
        <w:t>个项目开展绩效监控，年终执行完毕后，对</w:t>
      </w:r>
      <w:r>
        <w:rPr>
          <w:rFonts w:hint="eastAsia" w:cs="Times New Roman"/>
          <w:color w:val="auto"/>
          <w:kern w:val="2"/>
          <w:sz w:val="32"/>
          <w:szCs w:val="32"/>
          <w:highlight w:val="none"/>
          <w:lang w:val="en-US" w:eastAsia="zh-CN" w:bidi="ar-SA"/>
        </w:rPr>
        <w:t>31</w:t>
      </w:r>
      <w:r>
        <w:rPr>
          <w:rFonts w:hint="eastAsia" w:ascii="仿宋_GB2312" w:hAnsi="Times New Roman" w:eastAsia="仿宋_GB2312" w:cs="Times New Roman"/>
          <w:color w:val="auto"/>
          <w:kern w:val="2"/>
          <w:sz w:val="32"/>
          <w:szCs w:val="32"/>
          <w:highlight w:val="none"/>
          <w:lang w:val="en-US" w:eastAsia="zh-CN" w:bidi="ar-SA"/>
        </w:rPr>
        <w:t>个项目开展了绩效自评，202</w:t>
      </w:r>
      <w:r>
        <w:rPr>
          <w:rFonts w:hint="eastAsia" w:cs="Times New Roman"/>
          <w:color w:val="auto"/>
          <w:kern w:val="2"/>
          <w:sz w:val="32"/>
          <w:szCs w:val="32"/>
          <w:highlight w:val="none"/>
          <w:lang w:val="en-US" w:eastAsia="zh-CN" w:bidi="ar-SA"/>
        </w:rPr>
        <w:t>3</w:t>
      </w:r>
      <w:r>
        <w:rPr>
          <w:rFonts w:hint="eastAsia" w:ascii="仿宋_GB2312" w:hAnsi="Times New Roman" w:eastAsia="仿宋_GB2312" w:cs="Times New Roman"/>
          <w:color w:val="auto"/>
          <w:kern w:val="2"/>
          <w:sz w:val="32"/>
          <w:szCs w:val="32"/>
          <w:highlight w:val="none"/>
          <w:lang w:val="en-US" w:eastAsia="zh-CN" w:bidi="ar-SA"/>
        </w:rPr>
        <w:t>年特定目标类部门预算项目绩效目标自评表见附件（第四部分）</w:t>
      </w:r>
      <w:r>
        <w:rPr>
          <w:rFonts w:hint="eastAsia" w:cs="Times New Roman"/>
          <w:color w:val="auto"/>
          <w:kern w:val="2"/>
          <w:sz w:val="32"/>
          <w:szCs w:val="32"/>
          <w:highlight w:val="none"/>
          <w:lang w:val="en-US" w:eastAsia="zh-CN" w:bidi="ar-SA"/>
        </w:rPr>
        <w:t>。</w:t>
      </w:r>
    </w:p>
    <w:p w14:paraId="3B4E2FCC">
      <w:pPr>
        <w:numPr>
          <w:ilvl w:val="0"/>
          <w:numId w:val="5"/>
        </w:numPr>
        <w:spacing w:line="600" w:lineRule="exact"/>
        <w:ind w:firstLine="660" w:firstLineChars="150"/>
        <w:jc w:val="center"/>
        <w:outlineLvl w:val="0"/>
        <w:rPr>
          <w:rStyle w:val="30"/>
          <w:rFonts w:ascii="黑体" w:hAnsi="黑体" w:eastAsia="黑体"/>
          <w:b w:val="0"/>
          <w:color w:val="auto"/>
          <w:highlight w:val="none"/>
        </w:rPr>
      </w:pPr>
      <w:bookmarkStart w:id="51" w:name="_Toc15396613"/>
      <w:bookmarkStart w:id="52" w:name="_Toc15377225"/>
      <w:bookmarkStart w:id="53" w:name="_Toc32389"/>
      <w:r>
        <w:rPr>
          <w:rFonts w:hint="eastAsia" w:ascii="黑体" w:hAnsi="黑体" w:eastAsia="黑体"/>
          <w:color w:val="auto"/>
          <w:sz w:val="44"/>
          <w:szCs w:val="44"/>
          <w:highlight w:val="none"/>
        </w:rPr>
        <w:t>名</w:t>
      </w:r>
      <w:r>
        <w:rPr>
          <w:rStyle w:val="30"/>
          <w:rFonts w:hint="eastAsia" w:ascii="黑体" w:hAnsi="黑体" w:eastAsia="黑体"/>
          <w:b w:val="0"/>
          <w:color w:val="auto"/>
          <w:highlight w:val="none"/>
        </w:rPr>
        <w:t>词解释</w:t>
      </w:r>
      <w:bookmarkEnd w:id="51"/>
      <w:bookmarkEnd w:id="52"/>
      <w:bookmarkEnd w:id="53"/>
    </w:p>
    <w:p w14:paraId="15E65541">
      <w:pPr>
        <w:keepNext w:val="0"/>
        <w:keepLines w:val="0"/>
        <w:pageBreakBefore w:val="0"/>
        <w:widowControl w:val="0"/>
        <w:kinsoku/>
        <w:wordWrap/>
        <w:overflowPunct/>
        <w:topLinePunct w:val="0"/>
        <w:bidi w:val="0"/>
        <w:snapToGrid w:val="0"/>
        <w:spacing w:line="560" w:lineRule="exact"/>
        <w:jc w:val="left"/>
        <w:textAlignment w:val="auto"/>
        <w:outlineLvl w:val="9"/>
        <w:rPr>
          <w:rFonts w:ascii="宋体"/>
          <w:b/>
          <w:color w:val="auto"/>
          <w:sz w:val="44"/>
          <w:szCs w:val="44"/>
          <w:highlight w:val="none"/>
        </w:rPr>
      </w:pPr>
    </w:p>
    <w:p w14:paraId="68F204BF">
      <w:pPr>
        <w:pStyle w:val="28"/>
        <w:spacing w:line="560" w:lineRule="exact"/>
        <w:ind w:firstLine="640" w:firstLineChars="200"/>
        <w:rPr>
          <w:rFonts w:ascii="仿宋_GB2312" w:eastAsia="仿宋_GB2312"/>
          <w:color w:val="auto"/>
          <w:sz w:val="32"/>
          <w:szCs w:val="32"/>
          <w:highlight w:val="none"/>
        </w:rPr>
      </w:pPr>
      <w:bookmarkStart w:id="54"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14:paraId="36B242E2">
      <w:pPr>
        <w:pStyle w:val="28"/>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事业收入：指事业单位开展专业业务活动及辅助活动取得的收入。如保教费、住宿费等。</w:t>
      </w:r>
    </w:p>
    <w:p w14:paraId="1B5D0FE5">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其他收入：指单位取得的除上述收入以外的各项收入。主要是</w:t>
      </w:r>
      <w:r>
        <w:rPr>
          <w:rFonts w:hint="eastAsia" w:ascii="仿宋_GB2312" w:eastAsia="仿宋_GB2312"/>
          <w:color w:val="auto"/>
          <w:sz w:val="32"/>
          <w:szCs w:val="32"/>
          <w:highlight w:val="none"/>
          <w:lang w:eastAsia="zh-CN"/>
        </w:rPr>
        <w:t>课后服务费、利息</w:t>
      </w:r>
      <w:r>
        <w:rPr>
          <w:rFonts w:hint="eastAsia" w:ascii="仿宋_GB2312" w:eastAsia="仿宋_GB2312"/>
          <w:color w:val="auto"/>
          <w:sz w:val="32"/>
          <w:szCs w:val="32"/>
          <w:highlight w:val="none"/>
        </w:rPr>
        <w:t>等。</w:t>
      </w:r>
      <w:r>
        <w:rPr>
          <w:rFonts w:ascii="仿宋_GB2312" w:eastAsia="仿宋_GB2312"/>
          <w:color w:val="auto"/>
          <w:sz w:val="32"/>
          <w:szCs w:val="32"/>
          <w:highlight w:val="none"/>
        </w:rPr>
        <w:t xml:space="preserve"> </w:t>
      </w:r>
    </w:p>
    <w:p w14:paraId="18AA5C4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 xml:space="preserve">.教育（类）普通教育（款）学前教育（项）: </w:t>
      </w:r>
      <w:r>
        <w:rPr>
          <w:rFonts w:hint="eastAsia" w:ascii="仿宋_GB2312" w:eastAsia="仿宋_GB2312"/>
          <w:color w:val="auto"/>
          <w:sz w:val="32"/>
          <w:szCs w:val="32"/>
          <w:highlight w:val="none"/>
          <w:lang w:eastAsia="zh-CN"/>
        </w:rPr>
        <w:t>主要是学前教育各项经费支出</w:t>
      </w:r>
      <w:r>
        <w:rPr>
          <w:rFonts w:hint="eastAsia" w:ascii="仿宋_GB2312" w:eastAsia="仿宋_GB2312"/>
          <w:color w:val="auto"/>
          <w:sz w:val="32"/>
          <w:szCs w:val="32"/>
          <w:highlight w:val="none"/>
        </w:rPr>
        <w:t>。</w:t>
      </w:r>
    </w:p>
    <w:p w14:paraId="5EDEDDA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.教育（类）普通教育（款）小学教育（项）:  主要是</w:t>
      </w:r>
      <w:r>
        <w:rPr>
          <w:rFonts w:hint="eastAsia" w:ascii="仿宋_GB2312" w:eastAsia="仿宋_GB2312"/>
          <w:color w:val="auto"/>
          <w:sz w:val="32"/>
          <w:szCs w:val="32"/>
          <w:highlight w:val="none"/>
          <w:lang w:eastAsia="zh-CN"/>
        </w:rPr>
        <w:t>小学</w:t>
      </w:r>
      <w:r>
        <w:rPr>
          <w:rFonts w:hint="eastAsia" w:ascii="仿宋_GB2312" w:eastAsia="仿宋_GB2312"/>
          <w:color w:val="auto"/>
          <w:sz w:val="32"/>
          <w:szCs w:val="32"/>
          <w:highlight w:val="none"/>
        </w:rPr>
        <w:t>教育各项经费支出。</w:t>
      </w:r>
    </w:p>
    <w:p w14:paraId="5BE137F1">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rPr>
        <w:t>.教育（类）普通教育（款）初中教育（项）:  主要是</w:t>
      </w:r>
      <w:r>
        <w:rPr>
          <w:rFonts w:hint="eastAsia" w:ascii="仿宋_GB2312" w:eastAsia="仿宋_GB2312"/>
          <w:color w:val="auto"/>
          <w:sz w:val="32"/>
          <w:szCs w:val="32"/>
          <w:highlight w:val="none"/>
          <w:lang w:eastAsia="zh-CN"/>
        </w:rPr>
        <w:t>初中</w:t>
      </w:r>
      <w:r>
        <w:rPr>
          <w:rFonts w:hint="eastAsia" w:ascii="仿宋_GB2312" w:eastAsia="仿宋_GB2312"/>
          <w:color w:val="auto"/>
          <w:sz w:val="32"/>
          <w:szCs w:val="32"/>
          <w:highlight w:val="none"/>
        </w:rPr>
        <w:t>教育各项经费支出。</w:t>
      </w:r>
    </w:p>
    <w:p w14:paraId="1433870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 xml:space="preserve">.教育（类）普通教育（款）其他教育支出（项）:  </w:t>
      </w:r>
      <w:r>
        <w:rPr>
          <w:rFonts w:hint="eastAsia" w:ascii="仿宋_GB2312" w:eastAsia="仿宋_GB2312"/>
          <w:color w:val="auto"/>
          <w:sz w:val="32"/>
          <w:szCs w:val="32"/>
          <w:highlight w:val="none"/>
          <w:lang w:eastAsia="zh-CN"/>
        </w:rPr>
        <w:t>主要是其他教育各项经费支出</w:t>
      </w:r>
      <w:r>
        <w:rPr>
          <w:rFonts w:hint="eastAsia" w:ascii="仿宋_GB2312" w:eastAsia="仿宋_GB2312"/>
          <w:color w:val="auto"/>
          <w:sz w:val="32"/>
          <w:szCs w:val="32"/>
          <w:highlight w:val="none"/>
        </w:rPr>
        <w:t>。</w:t>
      </w:r>
    </w:p>
    <w:p w14:paraId="7989D10A">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rPr>
        <w:t xml:space="preserve">.社会保障和就业（类）行政事业单位养老支出（款）事业单位离退休（项）:  </w:t>
      </w:r>
      <w:r>
        <w:rPr>
          <w:rFonts w:hint="eastAsia" w:ascii="仿宋_GB2312" w:eastAsia="仿宋_GB2312"/>
          <w:color w:val="auto"/>
          <w:sz w:val="32"/>
          <w:szCs w:val="32"/>
          <w:highlight w:val="none"/>
          <w:lang w:eastAsia="zh-CN"/>
        </w:rPr>
        <w:t>主要是退休中人一次性补助经费支出</w:t>
      </w:r>
      <w:r>
        <w:rPr>
          <w:rFonts w:hint="eastAsia" w:ascii="仿宋_GB2312" w:eastAsia="仿宋_GB2312"/>
          <w:color w:val="auto"/>
          <w:sz w:val="32"/>
          <w:szCs w:val="32"/>
          <w:highlight w:val="none"/>
        </w:rPr>
        <w:t>。</w:t>
      </w:r>
    </w:p>
    <w:p w14:paraId="34FD50D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 xml:space="preserve">.社会保障和就业（类）行政事业单位养老支出（款）机关事业单位基本养老保险缴费支出（项）:  </w:t>
      </w:r>
      <w:r>
        <w:rPr>
          <w:rFonts w:hint="eastAsia" w:ascii="仿宋_GB2312" w:eastAsia="仿宋_GB2312"/>
          <w:color w:val="auto"/>
          <w:sz w:val="32"/>
          <w:szCs w:val="32"/>
          <w:highlight w:val="none"/>
          <w:lang w:eastAsia="zh-CN"/>
        </w:rPr>
        <w:t>主要是养老保险经费支出</w:t>
      </w:r>
      <w:r>
        <w:rPr>
          <w:rFonts w:hint="eastAsia" w:ascii="仿宋_GB2312" w:eastAsia="仿宋_GB2312"/>
          <w:color w:val="auto"/>
          <w:sz w:val="32"/>
          <w:szCs w:val="32"/>
          <w:highlight w:val="none"/>
        </w:rPr>
        <w:t>。</w:t>
      </w:r>
    </w:p>
    <w:p w14:paraId="11588D6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rPr>
        <w:t xml:space="preserve">.社会保障和就业（类）行政事业单位养老支出（款）机关事业单位职业年金缴费支出（项）:  </w:t>
      </w:r>
      <w:r>
        <w:rPr>
          <w:rFonts w:hint="eastAsia" w:ascii="仿宋_GB2312" w:eastAsia="仿宋_GB2312"/>
          <w:color w:val="auto"/>
          <w:sz w:val="32"/>
          <w:szCs w:val="32"/>
          <w:highlight w:val="none"/>
          <w:lang w:eastAsia="zh-CN"/>
        </w:rPr>
        <w:t>主要是退休人员职业年金做实经费支出</w:t>
      </w:r>
      <w:r>
        <w:rPr>
          <w:rFonts w:hint="eastAsia" w:ascii="仿宋_GB2312" w:eastAsia="仿宋_GB2312"/>
          <w:color w:val="auto"/>
          <w:sz w:val="32"/>
          <w:szCs w:val="32"/>
          <w:highlight w:val="none"/>
        </w:rPr>
        <w:t>。</w:t>
      </w:r>
    </w:p>
    <w:p w14:paraId="23724B56">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11</w:t>
      </w:r>
      <w:r>
        <w:rPr>
          <w:rFonts w:hint="eastAsia" w:ascii="仿宋_GB2312" w:eastAsia="仿宋_GB2312"/>
          <w:color w:val="auto"/>
          <w:sz w:val="32"/>
          <w:szCs w:val="32"/>
          <w:highlight w:val="none"/>
        </w:rPr>
        <w:t xml:space="preserve">.社会保障和就业（类）抚恤（款）死亡抚恤（项）:  </w:t>
      </w:r>
      <w:r>
        <w:rPr>
          <w:rFonts w:hint="eastAsia" w:ascii="仿宋_GB2312" w:eastAsia="仿宋_GB2312"/>
          <w:color w:val="auto"/>
          <w:sz w:val="32"/>
          <w:szCs w:val="32"/>
          <w:highlight w:val="none"/>
          <w:lang w:eastAsia="zh-CN"/>
        </w:rPr>
        <w:t>主要是教师死亡抚恤经费支出</w:t>
      </w:r>
      <w:r>
        <w:rPr>
          <w:rFonts w:hint="eastAsia" w:ascii="仿宋_GB2312" w:eastAsia="仿宋_GB2312"/>
          <w:color w:val="auto"/>
          <w:sz w:val="32"/>
          <w:szCs w:val="32"/>
          <w:highlight w:val="none"/>
        </w:rPr>
        <w:t>。</w:t>
      </w:r>
    </w:p>
    <w:p w14:paraId="7F6E7614">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hint="eastAsia" w:ascii="仿宋_GB2312" w:eastAsia="仿宋_GB2312"/>
          <w:color w:val="auto"/>
          <w:sz w:val="32"/>
          <w:szCs w:val="32"/>
          <w:highlight w:val="none"/>
        </w:rPr>
        <w:t xml:space="preserve">.社会保障和就业（类）其他社会保障和就业支出（款）其他社会保障和就业支出（项）:  </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其他社会保障和就业支出。</w:t>
      </w:r>
    </w:p>
    <w:p w14:paraId="32AAA548">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.卫生健康（类）行政事业单位医疗（款）事业单位医疗（项）: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事业单位医疗</w:t>
      </w:r>
      <w:r>
        <w:rPr>
          <w:rFonts w:hint="eastAsia" w:ascii="仿宋_GB2312" w:eastAsia="仿宋_GB2312"/>
          <w:color w:val="auto"/>
          <w:sz w:val="32"/>
          <w:szCs w:val="32"/>
          <w:highlight w:val="none"/>
          <w:lang w:eastAsia="zh-CN"/>
        </w:rPr>
        <w:t>保险费</w:t>
      </w:r>
      <w:r>
        <w:rPr>
          <w:rFonts w:hint="eastAsia" w:ascii="仿宋_GB2312" w:eastAsia="仿宋_GB2312"/>
          <w:color w:val="auto"/>
          <w:sz w:val="32"/>
          <w:szCs w:val="32"/>
          <w:highlight w:val="none"/>
        </w:rPr>
        <w:t>支出。</w:t>
      </w:r>
    </w:p>
    <w:p w14:paraId="348446F0">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4</w:t>
      </w:r>
      <w:r>
        <w:rPr>
          <w:rFonts w:hint="eastAsia" w:ascii="仿宋_GB2312" w:eastAsia="仿宋_GB2312"/>
          <w:color w:val="auto"/>
          <w:sz w:val="32"/>
          <w:szCs w:val="32"/>
          <w:highlight w:val="none"/>
        </w:rPr>
        <w:t>.卫生健康（类）其他卫生健康支出（款）其他卫生健康支出（项）: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w:t>
      </w:r>
      <w:r>
        <w:rPr>
          <w:rFonts w:hint="eastAsia" w:ascii="仿宋_GB2312" w:eastAsia="仿宋_GB2312"/>
          <w:color w:val="auto"/>
          <w:sz w:val="32"/>
          <w:szCs w:val="32"/>
          <w:highlight w:val="none"/>
          <w:lang w:eastAsia="zh-CN"/>
        </w:rPr>
        <w:t>校医工资</w:t>
      </w:r>
      <w:r>
        <w:rPr>
          <w:rFonts w:hint="eastAsia" w:ascii="仿宋_GB2312" w:eastAsia="仿宋_GB2312"/>
          <w:color w:val="auto"/>
          <w:sz w:val="32"/>
          <w:szCs w:val="32"/>
          <w:highlight w:val="none"/>
        </w:rPr>
        <w:t>支出。</w:t>
      </w:r>
    </w:p>
    <w:p w14:paraId="5BD04C3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rPr>
        <w:t>.住房保障（类）住房改革支出（款）住房公积金（项）:</w:t>
      </w:r>
      <w:r>
        <w:rPr>
          <w:rFonts w:hint="eastAsia" w:ascii="仿宋_GB2312" w:eastAsia="仿宋_GB2312"/>
          <w:color w:val="auto"/>
          <w:sz w:val="32"/>
          <w:szCs w:val="32"/>
          <w:highlight w:val="none"/>
          <w:lang w:eastAsia="zh-CN"/>
        </w:rPr>
        <w:t>主要是</w:t>
      </w:r>
      <w:r>
        <w:rPr>
          <w:rFonts w:hint="eastAsia" w:ascii="仿宋_GB2312" w:eastAsia="仿宋_GB2312"/>
          <w:color w:val="auto"/>
          <w:sz w:val="32"/>
          <w:szCs w:val="32"/>
          <w:highlight w:val="none"/>
        </w:rPr>
        <w:t>事业单位</w:t>
      </w:r>
      <w:r>
        <w:rPr>
          <w:rFonts w:hint="eastAsia" w:ascii="仿宋_GB2312" w:eastAsia="仿宋_GB2312"/>
          <w:color w:val="auto"/>
          <w:sz w:val="32"/>
          <w:szCs w:val="32"/>
          <w:highlight w:val="none"/>
          <w:lang w:eastAsia="zh-CN"/>
        </w:rPr>
        <w:t>住房公积金费</w:t>
      </w:r>
      <w:r>
        <w:rPr>
          <w:rFonts w:hint="eastAsia" w:ascii="仿宋_GB2312" w:eastAsia="仿宋_GB2312"/>
          <w:color w:val="auto"/>
          <w:sz w:val="32"/>
          <w:szCs w:val="32"/>
          <w:highlight w:val="none"/>
        </w:rPr>
        <w:t>支出。</w:t>
      </w:r>
    </w:p>
    <w:p w14:paraId="0C2B2C22">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14:paraId="4DA1D419">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17</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14:paraId="22AF2895">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2582D3D">
      <w:pPr>
        <w:pStyle w:val="2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352058E">
      <w:pPr>
        <w:spacing w:line="600" w:lineRule="exact"/>
        <w:jc w:val="left"/>
        <w:outlineLvl w:val="0"/>
        <w:rPr>
          <w:rFonts w:hint="eastAsia" w:ascii="黑体" w:hAnsi="黑体" w:eastAsia="黑体"/>
          <w:color w:val="auto"/>
          <w:sz w:val="44"/>
          <w:szCs w:val="44"/>
          <w:highlight w:val="none"/>
        </w:rPr>
      </w:pPr>
      <w:r>
        <w:rPr>
          <w:rFonts w:hint="eastAsia" w:ascii="仿宋_GB2312" w:eastAsia="仿宋_GB2312"/>
          <w:color w:val="auto"/>
          <w:sz w:val="32"/>
          <w:szCs w:val="32"/>
          <w:highlight w:val="none"/>
          <w:lang w:val="en-US" w:eastAsia="zh-CN"/>
        </w:rPr>
        <w:t xml:space="preserve">    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政府采购支出情况</w:t>
      </w:r>
      <w:r>
        <w:rPr>
          <w:rFonts w:hint="eastAsia" w:ascii="仿宋_GB2312" w:eastAsia="仿宋_GB2312"/>
          <w:color w:val="auto"/>
          <w:sz w:val="32"/>
          <w:szCs w:val="32"/>
          <w:highlight w:val="none"/>
          <w:lang w:eastAsia="zh-CN"/>
        </w:rPr>
        <w:t>：指单位用一般公共预算资金通过政府采购网采购的支出</w:t>
      </w:r>
      <w:r>
        <w:rPr>
          <w:rFonts w:hint="eastAsia" w:ascii="仿宋_GB2312" w:eastAsia="仿宋_GB2312"/>
          <w:color w:val="auto"/>
          <w:sz w:val="32"/>
          <w:szCs w:val="32"/>
          <w:highlight w:val="none"/>
        </w:rPr>
        <w:t>。</w:t>
      </w:r>
    </w:p>
    <w:p w14:paraId="74711770">
      <w:pPr>
        <w:spacing w:line="600" w:lineRule="exact"/>
        <w:jc w:val="center"/>
        <w:outlineLvl w:val="0"/>
        <w:rPr>
          <w:rFonts w:hint="eastAsia" w:ascii="黑体" w:hAnsi="黑体" w:eastAsia="黑体"/>
          <w:color w:val="auto"/>
          <w:sz w:val="44"/>
          <w:szCs w:val="44"/>
          <w:highlight w:val="none"/>
        </w:rPr>
      </w:pPr>
    </w:p>
    <w:p w14:paraId="1F714F15">
      <w:pPr>
        <w:spacing w:line="600" w:lineRule="exact"/>
        <w:jc w:val="center"/>
        <w:outlineLvl w:val="0"/>
        <w:rPr>
          <w:rFonts w:hint="eastAsia" w:ascii="黑体" w:hAnsi="黑体" w:eastAsia="黑体"/>
          <w:color w:val="auto"/>
          <w:sz w:val="44"/>
          <w:szCs w:val="44"/>
          <w:highlight w:val="none"/>
        </w:rPr>
      </w:pPr>
    </w:p>
    <w:p w14:paraId="25144C39">
      <w:pPr>
        <w:spacing w:line="600" w:lineRule="exact"/>
        <w:ind w:firstLine="3080" w:firstLineChars="700"/>
        <w:jc w:val="both"/>
        <w:outlineLvl w:val="0"/>
        <w:rPr>
          <w:rFonts w:hint="eastAsia" w:ascii="黑体" w:hAnsi="黑体" w:eastAsia="黑体"/>
          <w:color w:val="auto"/>
          <w:sz w:val="44"/>
          <w:szCs w:val="44"/>
          <w:highlight w:val="none"/>
        </w:rPr>
      </w:pPr>
    </w:p>
    <w:p w14:paraId="694BD092">
      <w:pPr>
        <w:spacing w:line="600" w:lineRule="exact"/>
        <w:ind w:firstLine="3080" w:firstLineChars="700"/>
        <w:jc w:val="both"/>
        <w:outlineLvl w:val="0"/>
        <w:rPr>
          <w:rFonts w:hint="eastAsia" w:ascii="黑体" w:hAnsi="黑体" w:eastAsia="黑体"/>
          <w:color w:val="auto"/>
          <w:sz w:val="44"/>
          <w:szCs w:val="44"/>
          <w:highlight w:val="none"/>
        </w:rPr>
      </w:pPr>
    </w:p>
    <w:p w14:paraId="1136B167">
      <w:pPr>
        <w:spacing w:line="600" w:lineRule="exact"/>
        <w:ind w:firstLine="3080" w:firstLineChars="700"/>
        <w:jc w:val="both"/>
        <w:outlineLvl w:val="0"/>
        <w:rPr>
          <w:rFonts w:hint="eastAsia" w:ascii="黑体" w:hAnsi="黑体" w:eastAsia="黑体"/>
          <w:color w:val="auto"/>
          <w:sz w:val="44"/>
          <w:szCs w:val="44"/>
          <w:highlight w:val="none"/>
        </w:rPr>
      </w:pPr>
    </w:p>
    <w:p w14:paraId="7633330E">
      <w:pPr>
        <w:spacing w:line="600" w:lineRule="exact"/>
        <w:ind w:firstLine="3080" w:firstLineChars="700"/>
        <w:jc w:val="both"/>
        <w:outlineLvl w:val="0"/>
        <w:rPr>
          <w:rFonts w:hint="eastAsia" w:ascii="黑体" w:hAnsi="黑体" w:eastAsia="黑体"/>
          <w:color w:val="auto"/>
          <w:sz w:val="44"/>
          <w:szCs w:val="44"/>
          <w:highlight w:val="none"/>
        </w:rPr>
      </w:pPr>
    </w:p>
    <w:p w14:paraId="45A784AC">
      <w:pPr>
        <w:spacing w:line="600" w:lineRule="exact"/>
        <w:ind w:firstLine="3080" w:firstLineChars="700"/>
        <w:jc w:val="both"/>
        <w:outlineLvl w:val="0"/>
        <w:rPr>
          <w:rFonts w:hint="eastAsia" w:ascii="黑体" w:hAnsi="黑体" w:eastAsia="黑体"/>
          <w:color w:val="auto"/>
          <w:sz w:val="44"/>
          <w:szCs w:val="44"/>
          <w:highlight w:val="none"/>
        </w:rPr>
      </w:pPr>
    </w:p>
    <w:p w14:paraId="396A51FB">
      <w:pPr>
        <w:spacing w:line="600" w:lineRule="exact"/>
        <w:ind w:firstLine="3080" w:firstLineChars="700"/>
        <w:jc w:val="both"/>
        <w:outlineLvl w:val="0"/>
        <w:rPr>
          <w:rFonts w:hint="eastAsia" w:ascii="黑体" w:hAnsi="黑体" w:eastAsia="黑体"/>
          <w:color w:val="auto"/>
          <w:sz w:val="44"/>
          <w:szCs w:val="44"/>
          <w:highlight w:val="none"/>
        </w:rPr>
      </w:pPr>
    </w:p>
    <w:p w14:paraId="04308222">
      <w:pPr>
        <w:spacing w:line="600" w:lineRule="exact"/>
        <w:ind w:firstLine="3080" w:firstLineChars="700"/>
        <w:jc w:val="both"/>
        <w:outlineLvl w:val="0"/>
        <w:rPr>
          <w:rFonts w:hint="eastAsia" w:ascii="黑体" w:hAnsi="黑体" w:eastAsia="黑体"/>
          <w:color w:val="auto"/>
          <w:sz w:val="44"/>
          <w:szCs w:val="44"/>
          <w:highlight w:val="none"/>
        </w:rPr>
      </w:pPr>
    </w:p>
    <w:p w14:paraId="323395FE">
      <w:pPr>
        <w:spacing w:line="600" w:lineRule="exact"/>
        <w:ind w:firstLine="3080" w:firstLineChars="700"/>
        <w:jc w:val="both"/>
        <w:outlineLvl w:val="0"/>
        <w:rPr>
          <w:rFonts w:hint="eastAsia" w:ascii="黑体" w:hAnsi="黑体" w:eastAsia="黑体"/>
          <w:color w:val="auto"/>
          <w:sz w:val="44"/>
          <w:szCs w:val="44"/>
          <w:highlight w:val="none"/>
        </w:rPr>
      </w:pPr>
    </w:p>
    <w:p w14:paraId="5689FBDA">
      <w:pPr>
        <w:spacing w:line="600" w:lineRule="exact"/>
        <w:ind w:firstLine="3080" w:firstLineChars="700"/>
        <w:jc w:val="both"/>
        <w:outlineLvl w:val="0"/>
        <w:rPr>
          <w:rFonts w:hint="eastAsia" w:ascii="黑体" w:hAnsi="黑体" w:eastAsia="黑体"/>
          <w:color w:val="auto"/>
          <w:sz w:val="44"/>
          <w:szCs w:val="44"/>
          <w:highlight w:val="none"/>
        </w:rPr>
      </w:pPr>
    </w:p>
    <w:p w14:paraId="1BD20F14">
      <w:pPr>
        <w:spacing w:line="600" w:lineRule="exact"/>
        <w:ind w:firstLine="3080" w:firstLineChars="700"/>
        <w:jc w:val="both"/>
        <w:outlineLvl w:val="0"/>
        <w:rPr>
          <w:rFonts w:hint="eastAsia" w:ascii="黑体" w:hAnsi="黑体" w:eastAsia="黑体"/>
          <w:color w:val="auto"/>
          <w:sz w:val="44"/>
          <w:szCs w:val="44"/>
          <w:highlight w:val="none"/>
        </w:rPr>
      </w:pPr>
    </w:p>
    <w:p w14:paraId="66A15DEC">
      <w:pPr>
        <w:spacing w:line="600" w:lineRule="exact"/>
        <w:ind w:firstLine="3080" w:firstLineChars="700"/>
        <w:jc w:val="both"/>
        <w:outlineLvl w:val="0"/>
        <w:rPr>
          <w:rFonts w:hint="eastAsia" w:ascii="黑体" w:hAnsi="黑体" w:eastAsia="黑体"/>
          <w:color w:val="auto"/>
          <w:sz w:val="44"/>
          <w:szCs w:val="44"/>
          <w:highlight w:val="none"/>
        </w:rPr>
      </w:pPr>
    </w:p>
    <w:p w14:paraId="3C083CC1">
      <w:pPr>
        <w:spacing w:line="600" w:lineRule="exact"/>
        <w:ind w:firstLine="3080" w:firstLineChars="700"/>
        <w:jc w:val="both"/>
        <w:outlineLvl w:val="0"/>
        <w:rPr>
          <w:rStyle w:val="30"/>
          <w:rFonts w:ascii="黑体" w:hAnsi="黑体" w:eastAsia="黑体"/>
          <w:b w:val="0"/>
          <w:color w:val="auto"/>
          <w:highlight w:val="none"/>
        </w:rPr>
      </w:pPr>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四部分 附件</w:t>
      </w:r>
    </w:p>
    <w:p w14:paraId="58AECBD5">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p>
    <w:p w14:paraId="3489A4EC">
      <w:pPr>
        <w:spacing w:line="600" w:lineRule="exact"/>
        <w:jc w:val="center"/>
        <w:outlineLvl w:val="0"/>
        <w:rPr>
          <w:rFonts w:hint="eastAsia" w:ascii="黑体" w:hAnsi="黑体" w:eastAsia="黑体"/>
          <w:color w:val="FF0000"/>
          <w:sz w:val="44"/>
          <w:szCs w:val="44"/>
          <w:highlight w:val="none"/>
        </w:rPr>
      </w:pPr>
      <w:r>
        <w:rPr>
          <w:rFonts w:hint="eastAsia" w:hAnsi="Times New Roman" w:cs="Times New Roman"/>
          <w:sz w:val="32"/>
          <w:szCs w:val="32"/>
          <w:highlight w:val="none"/>
          <w:lang w:val="en-US" w:eastAsia="zh-CN"/>
        </w:rPr>
        <w:t>部门预算项目支出绩效自评表（202</w:t>
      </w:r>
      <w:r>
        <w:rPr>
          <w:rFonts w:hint="eastAsia" w:cs="Times New Roman"/>
          <w:sz w:val="32"/>
          <w:szCs w:val="32"/>
          <w:highlight w:val="none"/>
          <w:lang w:val="en-US" w:eastAsia="zh-CN"/>
        </w:rPr>
        <w:t>3</w:t>
      </w:r>
      <w:r>
        <w:rPr>
          <w:rFonts w:hint="eastAsia" w:hAnsi="Times New Roman" w:cs="Times New Roman"/>
          <w:sz w:val="32"/>
          <w:szCs w:val="32"/>
          <w:highlight w:val="none"/>
          <w:lang w:val="en-US" w:eastAsia="zh-CN"/>
        </w:rPr>
        <w:t>年度）</w:t>
      </w:r>
    </w:p>
    <w:p w14:paraId="4B7F9591">
      <w:pPr>
        <w:pStyle w:val="7"/>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hAnsi="Times New Roman" w:cs="Times New Roman"/>
          <w:sz w:val="32"/>
          <w:szCs w:val="32"/>
          <w:highlight w:val="none"/>
          <w:lang w:val="en-US" w:eastAsia="zh-CN"/>
        </w:rPr>
      </w:pPr>
    </w:p>
    <w:p w14:paraId="6FA24809">
      <w:pPr>
        <w:numPr>
          <w:ilvl w:val="0"/>
          <w:numId w:val="0"/>
        </w:numPr>
        <w:spacing w:line="600" w:lineRule="exact"/>
        <w:ind w:leftChars="0"/>
        <w:jc w:val="both"/>
        <w:outlineLvl w:val="0"/>
        <w:rPr>
          <w:rStyle w:val="30"/>
          <w:rFonts w:hint="eastAsia" w:ascii="黑体" w:hAnsi="黑体" w:eastAsia="黑体"/>
          <w:b w:val="0"/>
          <w:color w:val="auto"/>
          <w:highlight w:val="none"/>
        </w:rPr>
      </w:pPr>
    </w:p>
    <w:p w14:paraId="1C6231D1">
      <w:pPr>
        <w:numPr>
          <w:ilvl w:val="0"/>
          <w:numId w:val="0"/>
        </w:numPr>
        <w:spacing w:line="600" w:lineRule="exact"/>
        <w:ind w:leftChars="0"/>
        <w:jc w:val="both"/>
        <w:outlineLvl w:val="0"/>
        <w:rPr>
          <w:rStyle w:val="30"/>
          <w:rFonts w:hint="eastAsia" w:ascii="黑体" w:hAnsi="黑体" w:eastAsia="黑体"/>
          <w:b w:val="0"/>
          <w:color w:val="auto"/>
          <w:highlight w:val="none"/>
        </w:rPr>
      </w:pPr>
    </w:p>
    <w:p w14:paraId="70C27A27">
      <w:pPr>
        <w:ind w:firstLine="5742" w:firstLineChars="1300"/>
        <w:rPr>
          <w:rFonts w:ascii="仿宋" w:hAnsi="仿宋" w:eastAsia="仿宋"/>
          <w:sz w:val="32"/>
          <w:szCs w:val="32"/>
        </w:rPr>
      </w:pPr>
      <w:r>
        <w:rPr>
          <w:rFonts w:ascii="宋体"/>
          <w:b/>
          <w:color w:val="auto"/>
          <w:sz w:val="44"/>
          <w:szCs w:val="44"/>
          <w:highlight w:val="none"/>
        </w:rPr>
        <w:br w:type="page"/>
      </w:r>
      <w:bookmarkStart w:id="55" w:name="_Toc25694"/>
      <w:bookmarkStart w:id="56" w:name="_Toc15396618"/>
      <w:r>
        <mc:AlternateContent>
          <mc:Choice Requires="wps">
            <w:drawing>
              <wp:anchor distT="0" distB="0" distL="114300" distR="114300" simplePos="0" relativeHeight="251667456" behindDoc="0" locked="0" layoutInCell="1" allowOverlap="1">
                <wp:simplePos x="0" y="0"/>
                <wp:positionH relativeFrom="column">
                  <wp:posOffset>-149860</wp:posOffset>
                </wp:positionH>
                <wp:positionV relativeFrom="paragraph">
                  <wp:posOffset>8542655</wp:posOffset>
                </wp:positionV>
                <wp:extent cx="846455" cy="360045"/>
                <wp:effectExtent l="0" t="0" r="6350" b="6985"/>
                <wp:wrapNone/>
                <wp:docPr id="16" name="矩形 12"/>
                <wp:cNvGraphicFramePr/>
                <a:graphic xmlns:a="http://schemas.openxmlformats.org/drawingml/2006/main">
                  <a:graphicData uri="http://schemas.microsoft.com/office/word/2010/wordprocessingShape">
                    <wps:wsp>
                      <wps:cNvSpPr/>
                      <wps:spPr>
                        <a:xfrm>
                          <a:off x="0" y="0"/>
                          <a:ext cx="846455" cy="360045"/>
                        </a:xfrm>
                        <a:prstGeom prst="rect">
                          <a:avLst/>
                        </a:prstGeom>
                        <a:solidFill>
                          <a:srgbClr val="FFFFFF"/>
                        </a:solidFill>
                        <a:ln w="12700">
                          <a:noFill/>
                        </a:ln>
                      </wps:spPr>
                      <wps:txbx>
                        <w:txbxContent>
                          <w:p w14:paraId="45ADC0D3">
                            <w:pPr>
                              <w:jc w:val="center"/>
                            </w:pPr>
                          </w:p>
                        </w:txbxContent>
                      </wps:txbx>
                      <wps:bodyPr anchor="ctr" anchorCtr="0" upright="1"/>
                    </wps:wsp>
                  </a:graphicData>
                </a:graphic>
              </wp:anchor>
            </w:drawing>
          </mc:Choice>
          <mc:Fallback>
            <w:pict>
              <v:rect id="矩形 12" o:spid="_x0000_s1026" o:spt="1" style="position:absolute;left:0pt;margin-left:-11.8pt;margin-top:672.65pt;height:28.35pt;width:66.65pt;z-index:251667456;v-text-anchor:middle;mso-width-relative:page;mso-height-relative:page;" fillcolor="#FFFFFF" filled="t" stroked="f" coordsize="21600,21600" o:gfxdata="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RxXwe3AAAAA0BAAAPAAAAAAAAAAEAIAAAACIA&#10;AABkcnMvZG93bnJldi54bWxQSwECFAAUAAAACACHTuJAf42HWswBAACQAwAADgAAAAAAAAABACAA&#10;AAArAQAAZHJzL2Uyb0RvYy54bWxQSwUGAAAAAAYABgBZAQAAaQUAAAAA&#10;">
                <v:fill on="t" focussize="0,0"/>
                <v:stroke on="f" weight="1pt"/>
                <v:imagedata o:title=""/>
                <o:lock v:ext="edit" aspectratio="f"/>
                <v:textbox>
                  <w:txbxContent>
                    <w:p w14:paraId="45ADC0D3">
                      <w:pPr>
                        <w:jc w:val="center"/>
                      </w:pPr>
                    </w:p>
                  </w:txbxContent>
                </v:textbox>
              </v:rect>
            </w:pict>
          </mc:Fallback>
        </mc:AlternateContent>
      </w:r>
    </w:p>
    <w:p w14:paraId="2BF21C15">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30"/>
          <w:rFonts w:hint="eastAsia" w:ascii="黑体" w:hAnsi="黑体" w:eastAsia="黑体"/>
          <w:b w:val="0"/>
          <w:color w:val="auto"/>
          <w:highlight w:val="none"/>
        </w:rPr>
        <w:t>五部分 附表</w:t>
      </w:r>
      <w:bookmarkEnd w:id="54"/>
      <w:bookmarkEnd w:id="55"/>
      <w:bookmarkEnd w:id="56"/>
      <w:bookmarkStart w:id="57" w:name="_Toc15396619"/>
    </w:p>
    <w:p w14:paraId="3B26F29B">
      <w:pPr>
        <w:pStyle w:val="5"/>
        <w:pageBreakBefore w:val="0"/>
        <w:widowControl w:val="0"/>
        <w:kinsoku/>
        <w:wordWrap/>
        <w:overflowPunct/>
        <w:topLinePunct w:val="0"/>
        <w:autoSpaceDE/>
        <w:autoSpaceDN/>
        <w:bidi w:val="0"/>
        <w:adjustRightInd/>
        <w:snapToGrid w:val="0"/>
        <w:spacing w:before="0" w:after="0" w:line="560" w:lineRule="exact"/>
        <w:textAlignment w:val="auto"/>
        <w:outlineLvl w:val="9"/>
        <w:rPr>
          <w:rFonts w:hint="eastAsia" w:ascii="仿宋" w:hAnsi="仿宋" w:eastAsia="仿宋"/>
          <w:b w:val="0"/>
          <w:color w:val="auto"/>
          <w:highlight w:val="none"/>
        </w:rPr>
      </w:pPr>
    </w:p>
    <w:p w14:paraId="25B346D4">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58" w:name="_Toc5019"/>
      <w:r>
        <w:rPr>
          <w:rFonts w:hint="eastAsia" w:ascii="仿宋" w:hAnsi="仿宋" w:eastAsia="仿宋"/>
          <w:b w:val="0"/>
          <w:color w:val="auto"/>
          <w:highlight w:val="none"/>
        </w:rPr>
        <w:t>一、收</w:t>
      </w:r>
      <w:r>
        <w:rPr>
          <w:rStyle w:val="31"/>
          <w:rFonts w:hint="eastAsia" w:ascii="仿宋" w:hAnsi="仿宋" w:eastAsia="仿宋"/>
          <w:b w:val="0"/>
          <w:bCs w:val="0"/>
          <w:color w:val="auto"/>
          <w:highlight w:val="none"/>
        </w:rPr>
        <w:t>入支出决算总表</w:t>
      </w:r>
      <w:bookmarkEnd w:id="57"/>
      <w:bookmarkEnd w:id="58"/>
    </w:p>
    <w:p w14:paraId="0A9F16C1">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59" w:name="_Toc19794"/>
      <w:bookmarkStart w:id="60" w:name="_Toc15396620"/>
      <w:r>
        <w:rPr>
          <w:rFonts w:hint="eastAsia" w:ascii="仿宋" w:hAnsi="仿宋" w:eastAsia="仿宋"/>
          <w:b w:val="0"/>
          <w:color w:val="auto"/>
          <w:highlight w:val="none"/>
        </w:rPr>
        <w:t>二、收</w:t>
      </w:r>
      <w:r>
        <w:rPr>
          <w:rStyle w:val="31"/>
          <w:rFonts w:hint="eastAsia" w:ascii="仿宋" w:hAnsi="仿宋" w:eastAsia="仿宋"/>
          <w:b w:val="0"/>
          <w:bCs w:val="0"/>
          <w:color w:val="auto"/>
          <w:highlight w:val="none"/>
        </w:rPr>
        <w:t>入决算表</w:t>
      </w:r>
      <w:bookmarkEnd w:id="59"/>
      <w:bookmarkEnd w:id="60"/>
    </w:p>
    <w:p w14:paraId="1DA8E0EA">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61" w:name="_Toc1814"/>
      <w:bookmarkStart w:id="62" w:name="_Toc15396621"/>
      <w:r>
        <w:rPr>
          <w:rStyle w:val="31"/>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31"/>
          <w:rFonts w:hint="eastAsia" w:ascii="仿宋" w:hAnsi="仿宋" w:eastAsia="仿宋"/>
          <w:b w:val="0"/>
          <w:bCs w:val="0"/>
          <w:color w:val="auto"/>
          <w:highlight w:val="none"/>
        </w:rPr>
        <w:t>出决算表</w:t>
      </w:r>
      <w:bookmarkEnd w:id="61"/>
      <w:bookmarkEnd w:id="62"/>
    </w:p>
    <w:p w14:paraId="5EA998DF">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b w:val="0"/>
          <w:color w:val="auto"/>
          <w:highlight w:val="none"/>
        </w:rPr>
      </w:pPr>
      <w:bookmarkStart w:id="63" w:name="_Toc11652"/>
      <w:bookmarkStart w:id="64" w:name="_Toc15396622"/>
      <w:r>
        <w:rPr>
          <w:rStyle w:val="31"/>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政拨款收入支出决算总表</w:t>
      </w:r>
      <w:bookmarkEnd w:id="63"/>
      <w:bookmarkEnd w:id="64"/>
    </w:p>
    <w:p w14:paraId="300408F2">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31"/>
          <w:rFonts w:ascii="仿宋" w:hAnsi="仿宋" w:eastAsia="仿宋"/>
          <w:b w:val="0"/>
          <w:bCs w:val="0"/>
          <w:color w:val="auto"/>
          <w:highlight w:val="none"/>
        </w:rPr>
      </w:pPr>
      <w:bookmarkStart w:id="65" w:name="_Toc26044"/>
      <w:bookmarkStart w:id="66" w:name="_Toc15396623"/>
      <w:r>
        <w:rPr>
          <w:rStyle w:val="31"/>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31"/>
          <w:rFonts w:hint="eastAsia" w:ascii="仿宋" w:hAnsi="仿宋" w:eastAsia="仿宋"/>
          <w:b w:val="0"/>
          <w:bCs w:val="0"/>
          <w:color w:val="auto"/>
          <w:highlight w:val="none"/>
        </w:rPr>
        <w:t>政拨款支出决算明细表</w:t>
      </w:r>
      <w:bookmarkEnd w:id="65"/>
      <w:bookmarkEnd w:id="66"/>
      <w:bookmarkStart w:id="67" w:name="_Toc15396624"/>
    </w:p>
    <w:p w14:paraId="55CA0811">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68" w:name="_Toc1662"/>
      <w:r>
        <w:rPr>
          <w:rStyle w:val="31"/>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般公共预算财政拨款支出决算表</w:t>
      </w:r>
      <w:bookmarkEnd w:id="67"/>
      <w:bookmarkEnd w:id="68"/>
    </w:p>
    <w:p w14:paraId="766860A3">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69" w:name="_Toc15396625"/>
      <w:bookmarkStart w:id="70" w:name="_Toc9260"/>
      <w:r>
        <w:rPr>
          <w:rStyle w:val="31"/>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般公共预算财政拨款支出决算明细表</w:t>
      </w:r>
      <w:bookmarkEnd w:id="69"/>
      <w:bookmarkEnd w:id="70"/>
    </w:p>
    <w:p w14:paraId="004D23E7">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1" w:name="_Toc30388"/>
      <w:bookmarkStart w:id="72" w:name="_Toc15396626"/>
      <w:r>
        <w:rPr>
          <w:rStyle w:val="31"/>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般公共预算财政拨款基本支出决算表</w:t>
      </w:r>
      <w:bookmarkEnd w:id="71"/>
      <w:bookmarkEnd w:id="72"/>
    </w:p>
    <w:p w14:paraId="3774F06B">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3" w:name="_Toc14865"/>
      <w:bookmarkStart w:id="74" w:name="_Toc15396627"/>
      <w:r>
        <w:rPr>
          <w:rStyle w:val="31"/>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般公共预算财政拨款项目支出决算表</w:t>
      </w:r>
      <w:bookmarkEnd w:id="73"/>
      <w:bookmarkEnd w:id="74"/>
    </w:p>
    <w:p w14:paraId="0C0AE473">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5" w:name="_Toc17930"/>
      <w:bookmarkStart w:id="76" w:name="_Toc15396628"/>
      <w:r>
        <w:rPr>
          <w:rStyle w:val="31"/>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31"/>
          <w:rFonts w:hint="eastAsia" w:ascii="仿宋" w:hAnsi="仿宋" w:eastAsia="仿宋"/>
          <w:b w:val="0"/>
          <w:bCs w:val="0"/>
          <w:color w:val="auto"/>
          <w:highlight w:val="none"/>
        </w:rPr>
        <w:t>般公共预算财政拨款“三公”经费支出决算表</w:t>
      </w:r>
      <w:bookmarkEnd w:id="75"/>
      <w:bookmarkEnd w:id="76"/>
    </w:p>
    <w:p w14:paraId="0F3199C1">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7" w:name="_Toc19228"/>
      <w:bookmarkStart w:id="78" w:name="_Toc15396629"/>
      <w:r>
        <w:rPr>
          <w:rStyle w:val="31"/>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31"/>
          <w:rFonts w:hint="eastAsia" w:ascii="仿宋" w:hAnsi="仿宋" w:eastAsia="仿宋"/>
          <w:b w:val="0"/>
          <w:bCs w:val="0"/>
          <w:color w:val="auto"/>
          <w:highlight w:val="none"/>
        </w:rPr>
        <w:t>府性基金预算财政拨款收入支出决算表</w:t>
      </w:r>
      <w:bookmarkEnd w:id="77"/>
      <w:bookmarkEnd w:id="78"/>
    </w:p>
    <w:p w14:paraId="5FD39685">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Fonts w:ascii="仿宋" w:hAnsi="仿宋" w:eastAsia="仿宋"/>
          <w:color w:val="auto"/>
          <w:highlight w:val="none"/>
        </w:rPr>
      </w:pPr>
      <w:bookmarkStart w:id="79" w:name="_Toc15396630"/>
      <w:bookmarkStart w:id="80" w:name="_Toc32608"/>
      <w:r>
        <w:rPr>
          <w:rStyle w:val="31"/>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31"/>
          <w:rFonts w:hint="eastAsia" w:ascii="仿宋" w:hAnsi="仿宋" w:eastAsia="仿宋"/>
          <w:b w:val="0"/>
          <w:bCs w:val="0"/>
          <w:color w:val="auto"/>
          <w:highlight w:val="none"/>
        </w:rPr>
        <w:t>府性基金预算财政拨款“三公”经费支出决算表</w:t>
      </w:r>
      <w:bookmarkEnd w:id="79"/>
      <w:bookmarkEnd w:id="80"/>
    </w:p>
    <w:p w14:paraId="5EE31358">
      <w:pPr>
        <w:pStyle w:val="5"/>
        <w:pageBreakBefore w:val="0"/>
        <w:widowControl w:val="0"/>
        <w:kinsoku/>
        <w:wordWrap/>
        <w:overflowPunct/>
        <w:topLinePunct w:val="0"/>
        <w:autoSpaceDE/>
        <w:autoSpaceDN/>
        <w:bidi w:val="0"/>
        <w:adjustRightInd/>
        <w:snapToGrid w:val="0"/>
        <w:spacing w:before="0" w:after="0" w:line="620" w:lineRule="exact"/>
        <w:ind w:firstLine="640" w:firstLineChars="200"/>
        <w:textAlignment w:val="auto"/>
        <w:outlineLvl w:val="1"/>
        <w:rPr>
          <w:rStyle w:val="31"/>
          <w:rFonts w:hint="eastAsia" w:ascii="仿宋" w:hAnsi="仿宋" w:eastAsia="仿宋"/>
          <w:b w:val="0"/>
          <w:bCs w:val="0"/>
          <w:color w:val="auto"/>
          <w:highlight w:val="none"/>
        </w:rPr>
      </w:pPr>
      <w:bookmarkStart w:id="81" w:name="_Toc7384"/>
      <w:bookmarkStart w:id="82" w:name="_Toc15396631"/>
      <w:r>
        <w:rPr>
          <w:rStyle w:val="31"/>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31"/>
          <w:rFonts w:hint="eastAsia" w:ascii="仿宋" w:hAnsi="仿宋" w:eastAsia="仿宋"/>
          <w:b w:val="0"/>
          <w:bCs w:val="0"/>
          <w:color w:val="auto"/>
          <w:highlight w:val="none"/>
        </w:rPr>
        <w:t>有资本经营预算</w:t>
      </w:r>
      <w:r>
        <w:rPr>
          <w:rStyle w:val="31"/>
          <w:rFonts w:hint="eastAsia" w:ascii="仿宋" w:hAnsi="仿宋" w:eastAsia="仿宋"/>
          <w:b w:val="0"/>
          <w:bCs w:val="0"/>
          <w:color w:val="auto"/>
          <w:highlight w:val="none"/>
          <w:lang w:eastAsia="zh-CN"/>
        </w:rPr>
        <w:t>财政拨款收入</w:t>
      </w:r>
      <w:r>
        <w:rPr>
          <w:rStyle w:val="31"/>
          <w:rFonts w:hint="eastAsia" w:ascii="仿宋" w:hAnsi="仿宋" w:eastAsia="仿宋"/>
          <w:b w:val="0"/>
          <w:bCs w:val="0"/>
          <w:color w:val="auto"/>
          <w:highlight w:val="none"/>
        </w:rPr>
        <w:t>支出决算表</w:t>
      </w:r>
      <w:bookmarkEnd w:id="81"/>
      <w:bookmarkEnd w:id="82"/>
    </w:p>
    <w:p w14:paraId="51374EB1">
      <w:pPr>
        <w:rPr>
          <w:rFonts w:hint="eastAsia"/>
        </w:rPr>
      </w:pPr>
    </w:p>
    <w:p w14:paraId="4561CC9E">
      <w:pPr>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lang w:val="en-US" w:eastAsia="zh-CN"/>
        </w:rPr>
      </w:pPr>
      <w:r>
        <w:rPr>
          <w:rStyle w:val="31"/>
          <w:rFonts w:hint="eastAsia" w:ascii="仿宋" w:hAnsi="仿宋" w:eastAsia="仿宋"/>
          <w:b w:val="0"/>
          <w:bCs w:val="0"/>
          <w:color w:val="auto"/>
          <w:highlight w:val="none"/>
          <w:lang w:eastAsia="zh-CN"/>
        </w:rPr>
        <w:t>十四、国有资本经营预算财政拨款支出决</w:t>
      </w:r>
      <w:r>
        <w:rPr>
          <w:rStyle w:val="31"/>
          <w:rFonts w:hint="eastAsia" w:ascii="仿宋" w:hAnsi="仿宋" w:eastAsia="仿宋"/>
          <w:b w:val="0"/>
          <w:bCs w:val="0"/>
          <w:color w:val="auto"/>
          <w:highlight w:val="none"/>
        </w:rPr>
        <w:t>算表</w:t>
      </w:r>
    </w:p>
    <w:sectPr>
      <w:footerReference r:id="rId5" w:type="first"/>
      <w:headerReference r:id="rId3" w:type="default"/>
      <w:footerReference r:id="rId4" w:type="default"/>
      <w:pgSz w:w="11906" w:h="16838"/>
      <w:pgMar w:top="1701" w:right="1474" w:bottom="1701" w:left="1587" w:header="851" w:footer="1304"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2000000000000000000"/>
    <w:charset w:val="86"/>
    <w:family w:val="script"/>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9681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AC017">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F9AC017">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3E1B7">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C85794">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EC85794">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2ACC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10"/>
      </w:pPr>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429"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abstractNum w:abstractNumId="4">
    <w:nsid w:val="6C83EA7F"/>
    <w:multiLevelType w:val="singleLevel"/>
    <w:tmpl w:val="6C83EA7F"/>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WUxYWJhOGM0ZTY3YzY1ZTZkMWM1MTliNmQ5ZDM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5C3F"/>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16C3"/>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05D5C"/>
    <w:rsid w:val="0127274C"/>
    <w:rsid w:val="014D3F6A"/>
    <w:rsid w:val="01B841E6"/>
    <w:rsid w:val="01C61522"/>
    <w:rsid w:val="01CC7C92"/>
    <w:rsid w:val="01CE61FB"/>
    <w:rsid w:val="01DE1773"/>
    <w:rsid w:val="01FB2325"/>
    <w:rsid w:val="02695643"/>
    <w:rsid w:val="02737565"/>
    <w:rsid w:val="02873BB9"/>
    <w:rsid w:val="02992709"/>
    <w:rsid w:val="029C7664"/>
    <w:rsid w:val="02B349AE"/>
    <w:rsid w:val="02D068A2"/>
    <w:rsid w:val="02EC346F"/>
    <w:rsid w:val="03A02A00"/>
    <w:rsid w:val="03A10351"/>
    <w:rsid w:val="03B91543"/>
    <w:rsid w:val="03B94C79"/>
    <w:rsid w:val="03BE7026"/>
    <w:rsid w:val="0414147C"/>
    <w:rsid w:val="041448A6"/>
    <w:rsid w:val="043A7D8C"/>
    <w:rsid w:val="04450D22"/>
    <w:rsid w:val="04A16744"/>
    <w:rsid w:val="04E92909"/>
    <w:rsid w:val="053822B7"/>
    <w:rsid w:val="054B711F"/>
    <w:rsid w:val="056C1C4E"/>
    <w:rsid w:val="05C173E2"/>
    <w:rsid w:val="06271B92"/>
    <w:rsid w:val="066E0107"/>
    <w:rsid w:val="0676557C"/>
    <w:rsid w:val="06877C8F"/>
    <w:rsid w:val="06E2628E"/>
    <w:rsid w:val="073E558F"/>
    <w:rsid w:val="07594177"/>
    <w:rsid w:val="07731DFE"/>
    <w:rsid w:val="078E5B96"/>
    <w:rsid w:val="07996F6E"/>
    <w:rsid w:val="07B14002"/>
    <w:rsid w:val="07C02047"/>
    <w:rsid w:val="08512C9F"/>
    <w:rsid w:val="08567772"/>
    <w:rsid w:val="087442CB"/>
    <w:rsid w:val="08802D81"/>
    <w:rsid w:val="089F7EAE"/>
    <w:rsid w:val="08C47D6B"/>
    <w:rsid w:val="08CE42EF"/>
    <w:rsid w:val="09267C87"/>
    <w:rsid w:val="09645055"/>
    <w:rsid w:val="09D750A5"/>
    <w:rsid w:val="0A2032A3"/>
    <w:rsid w:val="0A553073"/>
    <w:rsid w:val="0A5627EE"/>
    <w:rsid w:val="0A950AD4"/>
    <w:rsid w:val="0B400096"/>
    <w:rsid w:val="0B5A6710"/>
    <w:rsid w:val="0B76502B"/>
    <w:rsid w:val="0B860EF9"/>
    <w:rsid w:val="0B8D2240"/>
    <w:rsid w:val="0BA07CA0"/>
    <w:rsid w:val="0BCA5242"/>
    <w:rsid w:val="0BCB0FBA"/>
    <w:rsid w:val="0BD10805"/>
    <w:rsid w:val="0C0A1AE2"/>
    <w:rsid w:val="0C305D4D"/>
    <w:rsid w:val="0C48085D"/>
    <w:rsid w:val="0C992E66"/>
    <w:rsid w:val="0C9C64B3"/>
    <w:rsid w:val="0CAA0BCF"/>
    <w:rsid w:val="0D162709"/>
    <w:rsid w:val="0D445B34"/>
    <w:rsid w:val="0D5D26D2"/>
    <w:rsid w:val="0D6F130D"/>
    <w:rsid w:val="0D815DD4"/>
    <w:rsid w:val="0DDE3227"/>
    <w:rsid w:val="0E286250"/>
    <w:rsid w:val="0E476FDA"/>
    <w:rsid w:val="0E5D3032"/>
    <w:rsid w:val="0E753204"/>
    <w:rsid w:val="0F087E2F"/>
    <w:rsid w:val="0F1210E4"/>
    <w:rsid w:val="0F152C78"/>
    <w:rsid w:val="0F225395"/>
    <w:rsid w:val="0F7D6A6F"/>
    <w:rsid w:val="0F985657"/>
    <w:rsid w:val="100825E5"/>
    <w:rsid w:val="101860EC"/>
    <w:rsid w:val="10507BA5"/>
    <w:rsid w:val="10C055FF"/>
    <w:rsid w:val="10EC7A09"/>
    <w:rsid w:val="10F845FF"/>
    <w:rsid w:val="117777DA"/>
    <w:rsid w:val="118107EC"/>
    <w:rsid w:val="11AD363C"/>
    <w:rsid w:val="12003FCC"/>
    <w:rsid w:val="126B3663"/>
    <w:rsid w:val="1299771C"/>
    <w:rsid w:val="12DE2674"/>
    <w:rsid w:val="13462454"/>
    <w:rsid w:val="13547AE7"/>
    <w:rsid w:val="13974D45"/>
    <w:rsid w:val="13B1623C"/>
    <w:rsid w:val="13D50BC4"/>
    <w:rsid w:val="13F07810"/>
    <w:rsid w:val="14504752"/>
    <w:rsid w:val="14593607"/>
    <w:rsid w:val="14B67A0F"/>
    <w:rsid w:val="14F11A91"/>
    <w:rsid w:val="152D239E"/>
    <w:rsid w:val="15B23E81"/>
    <w:rsid w:val="15DD2FB0"/>
    <w:rsid w:val="166B11EC"/>
    <w:rsid w:val="16726B8A"/>
    <w:rsid w:val="16BB723D"/>
    <w:rsid w:val="16D91F8B"/>
    <w:rsid w:val="16FE00D3"/>
    <w:rsid w:val="1711641B"/>
    <w:rsid w:val="171E4694"/>
    <w:rsid w:val="17244B85"/>
    <w:rsid w:val="172872C1"/>
    <w:rsid w:val="174573BC"/>
    <w:rsid w:val="177D1ABE"/>
    <w:rsid w:val="17B40AB3"/>
    <w:rsid w:val="17B62B1E"/>
    <w:rsid w:val="18001FEB"/>
    <w:rsid w:val="18500CCF"/>
    <w:rsid w:val="18AF1DBC"/>
    <w:rsid w:val="196D545F"/>
    <w:rsid w:val="198729C4"/>
    <w:rsid w:val="198825D5"/>
    <w:rsid w:val="198D78AF"/>
    <w:rsid w:val="1A310558"/>
    <w:rsid w:val="1A424B3D"/>
    <w:rsid w:val="1A797D7E"/>
    <w:rsid w:val="1AF04599"/>
    <w:rsid w:val="1AFF658A"/>
    <w:rsid w:val="1B0D24AC"/>
    <w:rsid w:val="1B3426D8"/>
    <w:rsid w:val="1B495A57"/>
    <w:rsid w:val="1B4D7C4C"/>
    <w:rsid w:val="1B662AAD"/>
    <w:rsid w:val="1BB70FCA"/>
    <w:rsid w:val="1BC31CAE"/>
    <w:rsid w:val="1BE35EAC"/>
    <w:rsid w:val="1BE37C5A"/>
    <w:rsid w:val="1BE8440E"/>
    <w:rsid w:val="1BEC5A5B"/>
    <w:rsid w:val="1C0753B3"/>
    <w:rsid w:val="1C3C3AD1"/>
    <w:rsid w:val="1C6D2469"/>
    <w:rsid w:val="1C783EFF"/>
    <w:rsid w:val="1C7F5BD5"/>
    <w:rsid w:val="1CB15B1E"/>
    <w:rsid w:val="1CB735C0"/>
    <w:rsid w:val="1CC41839"/>
    <w:rsid w:val="1CE53D0D"/>
    <w:rsid w:val="1D155CEE"/>
    <w:rsid w:val="1D2E4532"/>
    <w:rsid w:val="1E8079E2"/>
    <w:rsid w:val="1ECB6CB0"/>
    <w:rsid w:val="1FF22B62"/>
    <w:rsid w:val="203D202F"/>
    <w:rsid w:val="20B41BC5"/>
    <w:rsid w:val="20C62425"/>
    <w:rsid w:val="21075E26"/>
    <w:rsid w:val="215F2BBF"/>
    <w:rsid w:val="21CD1190"/>
    <w:rsid w:val="21D96D92"/>
    <w:rsid w:val="21DE514B"/>
    <w:rsid w:val="2208666C"/>
    <w:rsid w:val="221C2118"/>
    <w:rsid w:val="22285154"/>
    <w:rsid w:val="223342CE"/>
    <w:rsid w:val="225C42C2"/>
    <w:rsid w:val="22603DB2"/>
    <w:rsid w:val="22620497"/>
    <w:rsid w:val="22941CAE"/>
    <w:rsid w:val="229C26D0"/>
    <w:rsid w:val="22C96B90"/>
    <w:rsid w:val="234F59A0"/>
    <w:rsid w:val="23860B96"/>
    <w:rsid w:val="23D902C0"/>
    <w:rsid w:val="23ED3D6C"/>
    <w:rsid w:val="240371BF"/>
    <w:rsid w:val="24217571"/>
    <w:rsid w:val="242E2808"/>
    <w:rsid w:val="246D6C5B"/>
    <w:rsid w:val="249D12EE"/>
    <w:rsid w:val="24A11032"/>
    <w:rsid w:val="24E26528"/>
    <w:rsid w:val="25520CCD"/>
    <w:rsid w:val="263E3CE7"/>
    <w:rsid w:val="264C3087"/>
    <w:rsid w:val="26BB5754"/>
    <w:rsid w:val="26E060BA"/>
    <w:rsid w:val="270F7B55"/>
    <w:rsid w:val="272C0BB1"/>
    <w:rsid w:val="272D1B2C"/>
    <w:rsid w:val="27572DBB"/>
    <w:rsid w:val="27614E56"/>
    <w:rsid w:val="276F5C71"/>
    <w:rsid w:val="27C22E19"/>
    <w:rsid w:val="27DD50AC"/>
    <w:rsid w:val="28594C54"/>
    <w:rsid w:val="286640ED"/>
    <w:rsid w:val="28902F18"/>
    <w:rsid w:val="289E3477"/>
    <w:rsid w:val="28DD039D"/>
    <w:rsid w:val="28E160E6"/>
    <w:rsid w:val="28F87987"/>
    <w:rsid w:val="29130D62"/>
    <w:rsid w:val="29406703"/>
    <w:rsid w:val="295A7D6B"/>
    <w:rsid w:val="295D234A"/>
    <w:rsid w:val="29A529F3"/>
    <w:rsid w:val="29AC5F55"/>
    <w:rsid w:val="29C0669A"/>
    <w:rsid w:val="29D5748C"/>
    <w:rsid w:val="29DB5991"/>
    <w:rsid w:val="29FD04D3"/>
    <w:rsid w:val="2A0E0598"/>
    <w:rsid w:val="2A4F5310"/>
    <w:rsid w:val="2A6428AE"/>
    <w:rsid w:val="2AE35581"/>
    <w:rsid w:val="2AEC056E"/>
    <w:rsid w:val="2AF552B4"/>
    <w:rsid w:val="2BE70FF2"/>
    <w:rsid w:val="2BF51A0F"/>
    <w:rsid w:val="2BF84935"/>
    <w:rsid w:val="2C8A61B5"/>
    <w:rsid w:val="2CB35AB3"/>
    <w:rsid w:val="2D026950"/>
    <w:rsid w:val="2D5E2C34"/>
    <w:rsid w:val="2D8C5126"/>
    <w:rsid w:val="2D940467"/>
    <w:rsid w:val="2DB15AF7"/>
    <w:rsid w:val="2DD76FD9"/>
    <w:rsid w:val="2DF04E50"/>
    <w:rsid w:val="2E0077EE"/>
    <w:rsid w:val="2E6C1D31"/>
    <w:rsid w:val="2E7023A8"/>
    <w:rsid w:val="2EC851B9"/>
    <w:rsid w:val="2ECD27D0"/>
    <w:rsid w:val="2F0B779C"/>
    <w:rsid w:val="2F6F7D2B"/>
    <w:rsid w:val="2FAA1469"/>
    <w:rsid w:val="2FD858D0"/>
    <w:rsid w:val="30201025"/>
    <w:rsid w:val="30A457B2"/>
    <w:rsid w:val="30DC40F1"/>
    <w:rsid w:val="311E13C4"/>
    <w:rsid w:val="318C4454"/>
    <w:rsid w:val="319F7F4E"/>
    <w:rsid w:val="31BB1005"/>
    <w:rsid w:val="31C84ADC"/>
    <w:rsid w:val="321714F4"/>
    <w:rsid w:val="32755A59"/>
    <w:rsid w:val="327C1D9B"/>
    <w:rsid w:val="328C3175"/>
    <w:rsid w:val="32B07252"/>
    <w:rsid w:val="32D35E20"/>
    <w:rsid w:val="33834516"/>
    <w:rsid w:val="33AC31B5"/>
    <w:rsid w:val="33DF1459"/>
    <w:rsid w:val="33EB1517"/>
    <w:rsid w:val="340547BA"/>
    <w:rsid w:val="34243E48"/>
    <w:rsid w:val="3434509F"/>
    <w:rsid w:val="344C23E9"/>
    <w:rsid w:val="3475584B"/>
    <w:rsid w:val="348057C6"/>
    <w:rsid w:val="35301D0A"/>
    <w:rsid w:val="35DE69A5"/>
    <w:rsid w:val="36716136"/>
    <w:rsid w:val="36AA5135"/>
    <w:rsid w:val="374675C3"/>
    <w:rsid w:val="37E16F03"/>
    <w:rsid w:val="380E4447"/>
    <w:rsid w:val="381E22EE"/>
    <w:rsid w:val="381F5317"/>
    <w:rsid w:val="384855BD"/>
    <w:rsid w:val="385A1EB6"/>
    <w:rsid w:val="389F21D3"/>
    <w:rsid w:val="39037E27"/>
    <w:rsid w:val="390908A8"/>
    <w:rsid w:val="392B6631"/>
    <w:rsid w:val="392E6561"/>
    <w:rsid w:val="3A850402"/>
    <w:rsid w:val="3A956BF7"/>
    <w:rsid w:val="3AC90E4C"/>
    <w:rsid w:val="3AE55345"/>
    <w:rsid w:val="3B23087F"/>
    <w:rsid w:val="3B392F9B"/>
    <w:rsid w:val="3C5B565E"/>
    <w:rsid w:val="3C881096"/>
    <w:rsid w:val="3CA97EC6"/>
    <w:rsid w:val="3CBF04D3"/>
    <w:rsid w:val="3CD15B81"/>
    <w:rsid w:val="3D420661"/>
    <w:rsid w:val="3D7B5ED0"/>
    <w:rsid w:val="3D7E4240"/>
    <w:rsid w:val="3D884816"/>
    <w:rsid w:val="3D8B48E2"/>
    <w:rsid w:val="3D98207C"/>
    <w:rsid w:val="3DC52B1B"/>
    <w:rsid w:val="3DDD2303"/>
    <w:rsid w:val="3E197DF8"/>
    <w:rsid w:val="3E1C107E"/>
    <w:rsid w:val="3E837424"/>
    <w:rsid w:val="3F0F7414"/>
    <w:rsid w:val="3FB9739D"/>
    <w:rsid w:val="40251D40"/>
    <w:rsid w:val="40297588"/>
    <w:rsid w:val="40F91765"/>
    <w:rsid w:val="41110C42"/>
    <w:rsid w:val="41A01FC6"/>
    <w:rsid w:val="41DB0ACE"/>
    <w:rsid w:val="422402E7"/>
    <w:rsid w:val="42666500"/>
    <w:rsid w:val="4308764E"/>
    <w:rsid w:val="433B01F8"/>
    <w:rsid w:val="43471F6A"/>
    <w:rsid w:val="43542999"/>
    <w:rsid w:val="439112E6"/>
    <w:rsid w:val="43AE1B86"/>
    <w:rsid w:val="43C401ED"/>
    <w:rsid w:val="448E07FB"/>
    <w:rsid w:val="44D66F02"/>
    <w:rsid w:val="44DC2FA3"/>
    <w:rsid w:val="44E268DA"/>
    <w:rsid w:val="45C11563"/>
    <w:rsid w:val="45C67B21"/>
    <w:rsid w:val="45E16709"/>
    <w:rsid w:val="45EF3AFB"/>
    <w:rsid w:val="470A754C"/>
    <w:rsid w:val="475A49C5"/>
    <w:rsid w:val="4767050A"/>
    <w:rsid w:val="478F1EA0"/>
    <w:rsid w:val="479E6FA7"/>
    <w:rsid w:val="47A24893"/>
    <w:rsid w:val="47E535DB"/>
    <w:rsid w:val="47E744AA"/>
    <w:rsid w:val="47F955E1"/>
    <w:rsid w:val="48236FF1"/>
    <w:rsid w:val="48305F12"/>
    <w:rsid w:val="484A356B"/>
    <w:rsid w:val="485F65D5"/>
    <w:rsid w:val="48600BBC"/>
    <w:rsid w:val="48DA71B2"/>
    <w:rsid w:val="493C6254"/>
    <w:rsid w:val="49845BAB"/>
    <w:rsid w:val="49882A9E"/>
    <w:rsid w:val="498A1C68"/>
    <w:rsid w:val="49930C38"/>
    <w:rsid w:val="4A53156A"/>
    <w:rsid w:val="4A627F82"/>
    <w:rsid w:val="4A6D4A0F"/>
    <w:rsid w:val="4AF62C56"/>
    <w:rsid w:val="4B2439D6"/>
    <w:rsid w:val="4B4F25DA"/>
    <w:rsid w:val="4B512DBE"/>
    <w:rsid w:val="4B69167A"/>
    <w:rsid w:val="4B993E51"/>
    <w:rsid w:val="4BDA4326"/>
    <w:rsid w:val="4BE068DB"/>
    <w:rsid w:val="4BE430A6"/>
    <w:rsid w:val="4C187005"/>
    <w:rsid w:val="4C2537F3"/>
    <w:rsid w:val="4C3C5B7B"/>
    <w:rsid w:val="4C4023DB"/>
    <w:rsid w:val="4C6C0C46"/>
    <w:rsid w:val="4C84481B"/>
    <w:rsid w:val="4C880BA8"/>
    <w:rsid w:val="4C886F4B"/>
    <w:rsid w:val="4D322BAA"/>
    <w:rsid w:val="4D577224"/>
    <w:rsid w:val="4D9C7AE5"/>
    <w:rsid w:val="4DAC20D0"/>
    <w:rsid w:val="4DD64B36"/>
    <w:rsid w:val="4DEB6377"/>
    <w:rsid w:val="4E0336C0"/>
    <w:rsid w:val="4EAB630A"/>
    <w:rsid w:val="4ECE2238"/>
    <w:rsid w:val="4EF13E61"/>
    <w:rsid w:val="4F193292"/>
    <w:rsid w:val="500B0F52"/>
    <w:rsid w:val="50285660"/>
    <w:rsid w:val="50722DD5"/>
    <w:rsid w:val="50D37CC2"/>
    <w:rsid w:val="514847F9"/>
    <w:rsid w:val="51644DBE"/>
    <w:rsid w:val="51932FAD"/>
    <w:rsid w:val="51CE66DB"/>
    <w:rsid w:val="525210BA"/>
    <w:rsid w:val="52A82A88"/>
    <w:rsid w:val="52E77FC6"/>
    <w:rsid w:val="52F201A7"/>
    <w:rsid w:val="53065F86"/>
    <w:rsid w:val="533D37AB"/>
    <w:rsid w:val="53B8319F"/>
    <w:rsid w:val="54146358"/>
    <w:rsid w:val="54456900"/>
    <w:rsid w:val="551408A9"/>
    <w:rsid w:val="5588094F"/>
    <w:rsid w:val="55E22755"/>
    <w:rsid w:val="56505911"/>
    <w:rsid w:val="565B374D"/>
    <w:rsid w:val="56703243"/>
    <w:rsid w:val="56777341"/>
    <w:rsid w:val="567C5707"/>
    <w:rsid w:val="56A86DBC"/>
    <w:rsid w:val="57461EAB"/>
    <w:rsid w:val="574E0E1A"/>
    <w:rsid w:val="575575BD"/>
    <w:rsid w:val="57996E43"/>
    <w:rsid w:val="579F749B"/>
    <w:rsid w:val="581322AD"/>
    <w:rsid w:val="583B67FB"/>
    <w:rsid w:val="584B2834"/>
    <w:rsid w:val="585531E3"/>
    <w:rsid w:val="58555460"/>
    <w:rsid w:val="58906498"/>
    <w:rsid w:val="58957568"/>
    <w:rsid w:val="58C63EC3"/>
    <w:rsid w:val="58D2352D"/>
    <w:rsid w:val="58DC5148"/>
    <w:rsid w:val="594A7670"/>
    <w:rsid w:val="59AA1BBD"/>
    <w:rsid w:val="59B83C19"/>
    <w:rsid w:val="5A291356"/>
    <w:rsid w:val="5A2D08DD"/>
    <w:rsid w:val="5A700784"/>
    <w:rsid w:val="5A9B7B35"/>
    <w:rsid w:val="5A9C7A09"/>
    <w:rsid w:val="5AF80325"/>
    <w:rsid w:val="5AF92295"/>
    <w:rsid w:val="5B301566"/>
    <w:rsid w:val="5B317840"/>
    <w:rsid w:val="5B5D41FD"/>
    <w:rsid w:val="5BCE7A03"/>
    <w:rsid w:val="5C8400C2"/>
    <w:rsid w:val="5CD71FC4"/>
    <w:rsid w:val="5D755C5D"/>
    <w:rsid w:val="5DA53A6A"/>
    <w:rsid w:val="5DB96187"/>
    <w:rsid w:val="5DCB3A72"/>
    <w:rsid w:val="5DDA7C6F"/>
    <w:rsid w:val="5E28595B"/>
    <w:rsid w:val="5E6068E2"/>
    <w:rsid w:val="5EC90529"/>
    <w:rsid w:val="5EFE443C"/>
    <w:rsid w:val="5F111E37"/>
    <w:rsid w:val="5F117C07"/>
    <w:rsid w:val="5F74228F"/>
    <w:rsid w:val="5F86009A"/>
    <w:rsid w:val="5FBD47EC"/>
    <w:rsid w:val="6030466F"/>
    <w:rsid w:val="6031230F"/>
    <w:rsid w:val="605C79BC"/>
    <w:rsid w:val="60844B35"/>
    <w:rsid w:val="60C34F31"/>
    <w:rsid w:val="60E2194E"/>
    <w:rsid w:val="6106379C"/>
    <w:rsid w:val="61096DE8"/>
    <w:rsid w:val="613227E3"/>
    <w:rsid w:val="61730705"/>
    <w:rsid w:val="6189657C"/>
    <w:rsid w:val="618A66A4"/>
    <w:rsid w:val="61907509"/>
    <w:rsid w:val="619454E5"/>
    <w:rsid w:val="61BA6334"/>
    <w:rsid w:val="61BE4076"/>
    <w:rsid w:val="61CC6C27"/>
    <w:rsid w:val="621506DE"/>
    <w:rsid w:val="623C748A"/>
    <w:rsid w:val="629F0EE6"/>
    <w:rsid w:val="62C53A30"/>
    <w:rsid w:val="62DB296A"/>
    <w:rsid w:val="630E6AA9"/>
    <w:rsid w:val="63176E57"/>
    <w:rsid w:val="63522FBE"/>
    <w:rsid w:val="636429FB"/>
    <w:rsid w:val="63765739"/>
    <w:rsid w:val="638F0532"/>
    <w:rsid w:val="63EA73A4"/>
    <w:rsid w:val="6477050C"/>
    <w:rsid w:val="64CE09BD"/>
    <w:rsid w:val="64E3560A"/>
    <w:rsid w:val="64E44CDB"/>
    <w:rsid w:val="6526661E"/>
    <w:rsid w:val="65420B1A"/>
    <w:rsid w:val="65444C94"/>
    <w:rsid w:val="656A1E1F"/>
    <w:rsid w:val="66430FEE"/>
    <w:rsid w:val="6646463A"/>
    <w:rsid w:val="66B4655D"/>
    <w:rsid w:val="67000C8D"/>
    <w:rsid w:val="670D5784"/>
    <w:rsid w:val="671541AA"/>
    <w:rsid w:val="67455ACF"/>
    <w:rsid w:val="674E359E"/>
    <w:rsid w:val="67894271"/>
    <w:rsid w:val="68663E99"/>
    <w:rsid w:val="68AB2779"/>
    <w:rsid w:val="68AB69D7"/>
    <w:rsid w:val="68FD36D6"/>
    <w:rsid w:val="690069D6"/>
    <w:rsid w:val="6923233A"/>
    <w:rsid w:val="69320EA6"/>
    <w:rsid w:val="693676DA"/>
    <w:rsid w:val="69735746"/>
    <w:rsid w:val="69892AD1"/>
    <w:rsid w:val="698E1A22"/>
    <w:rsid w:val="69931944"/>
    <w:rsid w:val="699658D9"/>
    <w:rsid w:val="6AA10091"/>
    <w:rsid w:val="6AE306AA"/>
    <w:rsid w:val="6B272C8C"/>
    <w:rsid w:val="6B2D7B77"/>
    <w:rsid w:val="6B2F0FDF"/>
    <w:rsid w:val="6B5C07C8"/>
    <w:rsid w:val="6B6C069F"/>
    <w:rsid w:val="6BDB75D3"/>
    <w:rsid w:val="6C2C3EA4"/>
    <w:rsid w:val="6C4A05C8"/>
    <w:rsid w:val="6CA65E33"/>
    <w:rsid w:val="6CEA3862"/>
    <w:rsid w:val="6D2C27DC"/>
    <w:rsid w:val="6D526B82"/>
    <w:rsid w:val="6D7E290C"/>
    <w:rsid w:val="6D9640F9"/>
    <w:rsid w:val="6DA46C3B"/>
    <w:rsid w:val="6DA902A3"/>
    <w:rsid w:val="6DF321B1"/>
    <w:rsid w:val="6E77478C"/>
    <w:rsid w:val="6E7D04EE"/>
    <w:rsid w:val="6E7E3605"/>
    <w:rsid w:val="6E9E14B7"/>
    <w:rsid w:val="6EE10381"/>
    <w:rsid w:val="6F23376B"/>
    <w:rsid w:val="6F627049"/>
    <w:rsid w:val="6F94795E"/>
    <w:rsid w:val="6FF5CC65"/>
    <w:rsid w:val="70115CB9"/>
    <w:rsid w:val="70A307BA"/>
    <w:rsid w:val="70BF74C3"/>
    <w:rsid w:val="70D70CB1"/>
    <w:rsid w:val="71105F71"/>
    <w:rsid w:val="71145A61"/>
    <w:rsid w:val="7128128D"/>
    <w:rsid w:val="712E4862"/>
    <w:rsid w:val="715C0E4B"/>
    <w:rsid w:val="716C76A8"/>
    <w:rsid w:val="717910B4"/>
    <w:rsid w:val="719806E0"/>
    <w:rsid w:val="72015611"/>
    <w:rsid w:val="7225229F"/>
    <w:rsid w:val="72734820"/>
    <w:rsid w:val="72734D90"/>
    <w:rsid w:val="729D1E87"/>
    <w:rsid w:val="72F73214"/>
    <w:rsid w:val="73416116"/>
    <w:rsid w:val="737E18B7"/>
    <w:rsid w:val="73AA08C9"/>
    <w:rsid w:val="73AD73D5"/>
    <w:rsid w:val="73B6EB34"/>
    <w:rsid w:val="73C87912"/>
    <w:rsid w:val="73CD1C73"/>
    <w:rsid w:val="740677A4"/>
    <w:rsid w:val="74A76BEC"/>
    <w:rsid w:val="75055A94"/>
    <w:rsid w:val="750E0A19"/>
    <w:rsid w:val="751A3CC1"/>
    <w:rsid w:val="75265D63"/>
    <w:rsid w:val="755A1EB0"/>
    <w:rsid w:val="75E17EDC"/>
    <w:rsid w:val="76016846"/>
    <w:rsid w:val="76212B1C"/>
    <w:rsid w:val="76903FBE"/>
    <w:rsid w:val="76C70E7F"/>
    <w:rsid w:val="76E063E5"/>
    <w:rsid w:val="77113772"/>
    <w:rsid w:val="77753773"/>
    <w:rsid w:val="7789082B"/>
    <w:rsid w:val="78267843"/>
    <w:rsid w:val="784964F1"/>
    <w:rsid w:val="784B0FCF"/>
    <w:rsid w:val="78886D34"/>
    <w:rsid w:val="78A376CA"/>
    <w:rsid w:val="78D83818"/>
    <w:rsid w:val="79033C91"/>
    <w:rsid w:val="794744F9"/>
    <w:rsid w:val="795F1331"/>
    <w:rsid w:val="797A48CF"/>
    <w:rsid w:val="79B3393D"/>
    <w:rsid w:val="79EE5BA4"/>
    <w:rsid w:val="7A7949C1"/>
    <w:rsid w:val="7A853931"/>
    <w:rsid w:val="7A894339"/>
    <w:rsid w:val="7AF4605B"/>
    <w:rsid w:val="7B8419D9"/>
    <w:rsid w:val="7B9635A4"/>
    <w:rsid w:val="7BDA413E"/>
    <w:rsid w:val="7BE353F9"/>
    <w:rsid w:val="7C431BF7"/>
    <w:rsid w:val="7C431F62"/>
    <w:rsid w:val="7CC61BD9"/>
    <w:rsid w:val="7CE0713F"/>
    <w:rsid w:val="7D31799A"/>
    <w:rsid w:val="7D772E18"/>
    <w:rsid w:val="7D831878"/>
    <w:rsid w:val="7D8349B7"/>
    <w:rsid w:val="7D9F2E48"/>
    <w:rsid w:val="7DC358EB"/>
    <w:rsid w:val="7DD2505C"/>
    <w:rsid w:val="7E070AE2"/>
    <w:rsid w:val="7E3E0194"/>
    <w:rsid w:val="7E543940"/>
    <w:rsid w:val="7E68397F"/>
    <w:rsid w:val="7EB529C6"/>
    <w:rsid w:val="7EBF47E2"/>
    <w:rsid w:val="7EEF11D3"/>
    <w:rsid w:val="7F0618E6"/>
    <w:rsid w:val="7F2D7CEE"/>
    <w:rsid w:val="7F6406A7"/>
    <w:rsid w:val="7FA30C79"/>
    <w:rsid w:val="7FAA5EAA"/>
    <w:rsid w:val="7FC96657"/>
    <w:rsid w:val="7FF52F01"/>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2"/>
    <w:basedOn w:val="1"/>
    <w:unhideWhenUsed/>
    <w:qFormat/>
    <w:uiPriority w:val="0"/>
    <w:pPr>
      <w:spacing w:before="120" w:after="120"/>
      <w:ind w:firstLine="640"/>
      <w:jc w:val="center"/>
    </w:pPr>
    <w:rPr>
      <w:rFonts w:ascii="宋体" w:hAnsi="宋体" w:eastAsia="方正仿宋简体"/>
      <w:szCs w:val="20"/>
    </w:rPr>
  </w:style>
  <w:style w:type="paragraph" w:styleId="1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rPr>
  </w:style>
  <w:style w:type="character" w:styleId="20">
    <w:name w:val="page number"/>
    <w:basedOn w:val="18"/>
    <w:qFormat/>
    <w:uiPriority w:val="0"/>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customStyle="1" w:styleId="22">
    <w:name w:val="Header Char"/>
    <w:basedOn w:val="18"/>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8"/>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8"/>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8"/>
    <w:link w:val="3"/>
    <w:qFormat/>
    <w:uiPriority w:val="9"/>
    <w:rPr>
      <w:rFonts w:ascii="Times New Roman" w:hAnsi="Times New Roman"/>
      <w:b/>
      <w:bCs/>
      <w:kern w:val="44"/>
      <w:sz w:val="44"/>
      <w:szCs w:val="44"/>
    </w:rPr>
  </w:style>
  <w:style w:type="character" w:customStyle="1" w:styleId="31">
    <w:name w:val="标题 2 Char"/>
    <w:basedOn w:val="18"/>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8"/>
    <w:link w:val="9"/>
    <w:semiHidden/>
    <w:qFormat/>
    <w:uiPriority w:val="99"/>
    <w:rPr>
      <w:rFonts w:ascii="Times New Roman" w:hAnsi="Times New Roman"/>
      <w:kern w:val="2"/>
      <w:sz w:val="18"/>
      <w:szCs w:val="18"/>
    </w:rPr>
  </w:style>
  <w:style w:type="character" w:customStyle="1" w:styleId="34">
    <w:name w:val="标题 3 Char"/>
    <w:basedOn w:val="18"/>
    <w:link w:val="5"/>
    <w:qFormat/>
    <w:uiPriority w:val="9"/>
    <w:rPr>
      <w:rFonts w:ascii="Times New Roman" w:hAnsi="Times New Roman"/>
      <w:b/>
      <w:bCs/>
      <w:kern w:val="2"/>
      <w:sz w:val="32"/>
      <w:szCs w:val="32"/>
    </w:rPr>
  </w:style>
  <w:style w:type="paragraph" w:customStyle="1" w:styleId="35">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eastAsia="Times New Roman"/>
      <w:color w:val="000000"/>
      <w:kern w:val="0"/>
      <w:sz w:val="28"/>
      <w:szCs w:val="21"/>
    </w:rPr>
  </w:style>
  <w:style w:type="character" w:customStyle="1" w:styleId="37">
    <w:name w:val="标题 1 字符"/>
    <w:basedOn w:val="18"/>
    <w:link w:val="3"/>
    <w:qFormat/>
    <w:uiPriority w:val="9"/>
    <w:rPr>
      <w:rFonts w:ascii="Times New Roman" w:hAnsi="Times New Roman"/>
      <w:b/>
      <w:bCs/>
      <w:kern w:val="44"/>
      <w:sz w:val="44"/>
      <w:szCs w:val="44"/>
    </w:rPr>
  </w:style>
  <w:style w:type="character" w:customStyle="1" w:styleId="38">
    <w:name w:val="标题 2 字符"/>
    <w:basedOn w:val="18"/>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0124069478908"/>
          <c:y val="0.0381313131313131"/>
          <c:w val="0.802166349721574"/>
          <c:h val="0.847475195631507"/>
        </c:manualLayout>
      </c:layout>
      <c:barChart>
        <c:barDir val="col"/>
        <c:grouping val="clustered"/>
        <c:varyColors val="0"/>
        <c:ser>
          <c:idx val="2"/>
          <c:order val="2"/>
          <c:tx>
            <c:strRef>
              <c:f>Sheet1!$B$1</c:f>
              <c:strCache>
                <c:ptCount val="1"/>
                <c:pt idx="0">
                  <c:v>收、支决算总计（万元）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411.51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00533498759305211"/>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411.51</c:v>
                </c:pt>
                <c:pt idx="1">
                  <c:v>446.56</c:v>
                </c:pt>
              </c:numCache>
            </c:numRef>
          </c:val>
        </c:ser>
        <c:dLbls>
          <c:showLegendKey val="0"/>
          <c:showVal val="0"/>
          <c:showCatName val="0"/>
          <c:showSerName val="0"/>
          <c:showPercent val="0"/>
          <c:showBubbleSize val="0"/>
        </c:dLbls>
        <c:gapWidth val="150"/>
        <c:axId val="157984256"/>
        <c:axId val="157985792"/>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15798425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85792"/>
        <c:crosses val="autoZero"/>
        <c:auto val="1"/>
        <c:lblAlgn val="ctr"/>
        <c:lblOffset val="100"/>
        <c:noMultiLvlLbl val="0"/>
      </c:catAx>
      <c:valAx>
        <c:axId val="1579857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7984256"/>
        <c:crosses val="autoZero"/>
        <c:crossBetween val="between"/>
      </c:valAx>
      <c:spPr>
        <a:solidFill>
          <a:schemeClr val="bg1"/>
        </a:solidFill>
      </c:spPr>
    </c:plotArea>
    <c:legend>
      <c:legendPos val="r"/>
      <c:layout>
        <c:manualLayout>
          <c:xMode val="edge"/>
          <c:yMode val="edge"/>
          <c:x val="0.561414392059553"/>
          <c:y val="0.06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manualLayout>
                  <c:x val="-0.0441459184332534"/>
                  <c:y val="-0.13312693498452"/>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一般公共预算财政拨款收入</a:t>
                    </a:r>
                    <a:r>
                      <a:rPr lang="en-US" altLang="zh-CN"/>
                      <a:t>, 437.52,97.98%</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dLbl>
              <c:idx val="2"/>
              <c:delete val="1"/>
            </c:dLbl>
            <c:dLbl>
              <c:idx val="3"/>
              <c:delete val="1"/>
            </c:dLbl>
            <c:dLbl>
              <c:idx val="4"/>
              <c:delete val="1"/>
            </c:dLbl>
            <c:dLbl>
              <c:idx val="5"/>
              <c:delete val="1"/>
            </c:dLbl>
            <c:dLbl>
              <c:idx val="6"/>
              <c:layout>
                <c:manualLayout>
                  <c:x val="-0.150802964308168"/>
                  <c:y val="0.00560577639771095"/>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zh-CN" altLang="en-US"/>
                      <a:t>其它收入</a:t>
                    </a:r>
                    <a:r>
                      <a:rPr lang="en-US" altLang="zh-CN"/>
                      <a:t>,9.04, 2.02%</a:t>
                    </a:r>
                    <a:endParaRPr lang="en-US" altLang="zh-CN"/>
                  </a:p>
                </c:rich>
              </c:tx>
              <c:dLblPos val="bestFit"/>
              <c:showLegendKey val="0"/>
              <c:showVal val="1"/>
              <c:showCatName val="1"/>
              <c:showSerName val="0"/>
              <c:showPercent val="1"/>
              <c:showBubbleSize val="0"/>
              <c:extLst>
                <c:ext xmlns:c15="http://schemas.microsoft.com/office/drawing/2012/chart" uri="{CE6537A1-D6FC-4f65-9D91-7224C49458BB}">
                  <c15:layout>
                    <c:manualLayout>
                      <c:w val="0.269323380688659"/>
                      <c:h val="0.11186790505676"/>
                    </c:manualLayout>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国有资本经营预算财政拨款收入</c:v>
                </c:pt>
                <c:pt idx="3">
                  <c:v>事业收入</c:v>
                </c:pt>
                <c:pt idx="4">
                  <c:v>经营收入</c:v>
                </c:pt>
                <c:pt idx="5">
                  <c:v>附属单位上缴收入</c:v>
                </c:pt>
                <c:pt idx="6">
                  <c:v>其它收入</c:v>
                </c:pt>
              </c:strCache>
            </c:strRef>
          </c:cat>
          <c:val>
            <c:numRef>
              <c:f>Sheet1!$B$2:$B$8</c:f>
              <c:numCache>
                <c:formatCode>General</c:formatCode>
                <c:ptCount val="7"/>
                <c:pt idx="0">
                  <c:v>428.48</c:v>
                </c:pt>
                <c:pt idx="1">
                  <c:v>0</c:v>
                </c:pt>
                <c:pt idx="2">
                  <c:v>0</c:v>
                </c:pt>
                <c:pt idx="3">
                  <c:v>0</c:v>
                </c:pt>
                <c:pt idx="4">
                  <c:v>0</c:v>
                </c:pt>
                <c:pt idx="5">
                  <c:v>0</c:v>
                </c:pt>
                <c:pt idx="6">
                  <c:v>9.04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spPr>
              <a:solidFill>
                <a:schemeClr val="accent2">
                  <a:lumMod val="60000"/>
                  <a:lumOff val="40000"/>
                </a:schemeClr>
              </a:solidFill>
            </c:spPr>
          </c:dPt>
          <c:dPt>
            <c:idx val="1"/>
            <c:bubble3D val="0"/>
            <c:spPr>
              <a:solidFill>
                <a:schemeClr val="accent3">
                  <a:lumMod val="40000"/>
                  <a:lumOff val="60000"/>
                </a:schemeClr>
              </a:solidFill>
            </c:spPr>
          </c:dPt>
          <c:dPt>
            <c:idx val="2"/>
            <c:bubble3D val="0"/>
          </c:dPt>
          <c:dPt>
            <c:idx val="3"/>
            <c:bubble3D val="0"/>
          </c:dPt>
          <c:dPt>
            <c:idx val="4"/>
            <c:bubble3D val="0"/>
          </c:dPt>
          <c:dLbls>
            <c:dLbl>
              <c:idx val="0"/>
              <c:layout>
                <c:manualLayout>
                  <c:x val="-0.133950720063878"/>
                  <c:y val="-0.20755195702212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基本支出, </a:t>
                    </a:r>
                    <a:r>
                      <a:rPr lang="en-US" altLang="zh-CN"/>
                      <a:t>413.97</a:t>
                    </a:r>
                    <a:r>
                      <a:t>万元, </a:t>
                    </a:r>
                    <a:r>
                      <a:rPr lang="en-US" altLang="zh-CN"/>
                      <a:t>92.70</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624475608724967"/>
                  <c:y val="0.07068515920455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项目支出,</a:t>
                    </a:r>
                    <a:r>
                      <a:rPr lang="en-US" altLang="zh-CN"/>
                      <a:t>32.59</a:t>
                    </a:r>
                    <a:r>
                      <a:t>万元, </a:t>
                    </a:r>
                    <a:r>
                      <a:rPr lang="en-US" altLang="zh-CN"/>
                      <a:t>7.30</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413.97</c:v>
                </c:pt>
                <c:pt idx="1">
                  <c:v>32.59</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egendEntry>
        <c:idx val="2"/>
        <c:delete val="1"/>
      </c:legendEntry>
      <c:legendEntry>
        <c:idx val="3"/>
        <c:delete val="1"/>
      </c:legendEntry>
      <c:legendEntry>
        <c:idx val="4"/>
        <c:delete val="1"/>
      </c:legendEntry>
      <c:layout>
        <c:manualLayout>
          <c:xMode val="edge"/>
          <c:yMode val="edge"/>
          <c:x val="0.708267498988244"/>
          <c:y val="0.26838147579497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财政拨款收、支决算总计（万元）</c:v>
                </c:pt>
              </c:strCache>
            </c:strRef>
          </c:tx>
          <c:spPr>
            <a:solidFill>
              <a:schemeClr val="accent2">
                <a:lumMod val="40000"/>
                <a:lumOff val="60000"/>
              </a:schemeClr>
            </a:solidFill>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411.52</c:v>
                </c:pt>
                <c:pt idx="1">
                  <c:v>437.52</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579595742136108"/>
          <c:y val="0.0576781778104335"/>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2"/>
          <c:order val="2"/>
          <c:tx>
            <c:strRef>
              <c:f>Sheet1!$B$1</c:f>
              <c:strCache>
                <c:ptCount val="1"/>
                <c:pt idx="0">
                  <c:v>一般公共预算财政拨款支出（万元）</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411.51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Sheet1!$A$2:$A$3</c:f>
              <c:strCache>
                <c:ptCount val="2"/>
                <c:pt idx="0">
                  <c:v>2022年</c:v>
                </c:pt>
                <c:pt idx="1">
                  <c:v>2023年</c:v>
                </c:pt>
              </c:strCache>
            </c:strRef>
          </c:cat>
          <c:val>
            <c:numRef>
              <c:f>Sheet1!$B$2:$B$3</c:f>
              <c:numCache>
                <c:formatCode>General</c:formatCode>
                <c:ptCount val="2"/>
                <c:pt idx="0">
                  <c:v>411.51</c:v>
                </c:pt>
                <c:pt idx="1">
                  <c:v>437.52</c:v>
                </c:pt>
              </c:numCache>
            </c:numRef>
          </c:val>
        </c:ser>
        <c:dLbls>
          <c:showLegendKey val="0"/>
          <c:showVal val="0"/>
          <c:showCatName val="0"/>
          <c:showSerName val="0"/>
          <c:showPercent val="0"/>
          <c:showBubbleSize val="0"/>
        </c:dLbls>
        <c:gapWidth val="150"/>
        <c:axId val="415577472"/>
        <c:axId val="415577080"/>
        <c:extLst>
          <c:ext xmlns:c15="http://schemas.microsoft.com/office/drawing/2012/chart" uri="{02D57815-91ED-43cb-92C2-25804820EDAC}">
            <c15:filteredBarSeries>
              <c15:ser>
                <c:idx val="0"/>
                <c:order val="0"/>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1"/>
                <c:order val="1"/>
                <c:tx>
                  <c:strRef>
                    <c:extLst>
                      <c:ext uri="{02D57815-91ED-43cb-92C2-25804820EDAC}">
                        <c15:formulaRef>
                          <c15:sqref>Sheet1!#REF!</c15:sqref>
                        </c15:formulaRef>
                      </c:ext>
                    </c:extLst>
                    <c:strCache>
                      <c:ptCount val="1"/>
                      <c:pt idx="0">
                        <c:v/>
                      </c:pt>
                    </c:strCache>
                  </c:strRef>
                </c:tx>
                <c:invertIfNegative val="0"/>
                <c:dLbls>
                  <c:delete val="1"/>
                </c:dLbls>
                <c:cat>
                  <c:strRef>
                    <c:extLst>
                      <c:ext uri="{02D57815-91ED-43cb-92C2-25804820EDAC}">
                        <c15:fullRef>
                          <c15:sqref/>
                        </c15:fullRef>
                        <c15:formulaRef>
                          <c15:sqref>Sheet1!$A$2:$A$3</c15:sqref>
                        </c15:formulaRef>
                      </c:ext>
                    </c:extLst>
                    <c:strCache>
                      <c:ptCount val="2"/>
                      <c:pt idx="0">
                        <c:v>2022年</c:v>
                      </c:pt>
                      <c:pt idx="1">
                        <c:v>2023年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41557747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080"/>
        <c:crosses val="autoZero"/>
        <c:auto val="1"/>
        <c:lblAlgn val="ctr"/>
        <c:lblOffset val="100"/>
        <c:noMultiLvlLbl val="0"/>
      </c:catAx>
      <c:valAx>
        <c:axId val="415577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15577472"/>
        <c:crosses val="autoZero"/>
        <c:crossBetween val="between"/>
      </c:valAx>
    </c:plotArea>
    <c:legend>
      <c:legendPos val="r"/>
      <c:layout>
        <c:manualLayout>
          <c:xMode val="edge"/>
          <c:yMode val="edge"/>
          <c:x val="0.894629828967827"/>
          <c:y val="0.0165319617927994"/>
          <c:w val="0.0978351871785672"/>
          <c:h val="0.90411462160176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2345796618242"/>
          <c:y val="0.111122260364405"/>
          <c:w val="0.350721600381043"/>
          <c:h val="0.777755479271191"/>
        </c:manualLayout>
      </c:layout>
      <c:pieChart>
        <c:varyColors val="1"/>
        <c:ser>
          <c:idx val="0"/>
          <c:order val="0"/>
          <c:tx>
            <c:strRef>
              <c:f>Sheet1!$B$1</c:f>
              <c:strCache>
                <c:ptCount val="1"/>
                <c:pt idx="0">
                  <c:v>支出数（万元）</c:v>
                </c:pt>
              </c:strCache>
            </c:strRef>
          </c:tx>
          <c:explosion val="0"/>
          <c:dPt>
            <c:idx val="0"/>
            <c:bubble3D val="0"/>
            <c:explosion val="36"/>
            <c:spPr>
              <a:effectLst>
                <a:outerShdw blurRad="50800" dist="50800" dir="5400000" sx="1000" sy="1000" algn="ctr" rotWithShape="0">
                  <a:srgbClr val="000000">
                    <a:alpha val="43000"/>
                  </a:srgbClr>
                </a:outerShdw>
              </a:effectLst>
            </c:spPr>
          </c:dPt>
          <c:dPt>
            <c:idx val="1"/>
            <c:bubble3D val="0"/>
          </c:dPt>
          <c:dPt>
            <c:idx val="2"/>
            <c:bubble3D val="0"/>
          </c:dPt>
          <c:dPt>
            <c:idx val="3"/>
            <c:bubble3D val="0"/>
          </c:dPt>
          <c:dLbls>
            <c:dLbl>
              <c:idx val="0"/>
              <c:layout>
                <c:manualLayout>
                  <c:x val="-0.00248979262304332"/>
                  <c:y val="-0.14678925183922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教育支出, </a:t>
                    </a:r>
                    <a:r>
                      <a:rPr lang="en-US" altLang="zh-CN"/>
                      <a:t>394.56</a:t>
                    </a:r>
                    <a:r>
                      <a:t>, </a:t>
                    </a:r>
                    <a:r>
                      <a:rPr lang="en-US" altLang="zh-CN"/>
                      <a:t>90.18</a:t>
                    </a:r>
                    <a:r>
                      <a:t>%</a:t>
                    </a:r>
                  </a:p>
                </c:rich>
              </c:tx>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128602048106692"/>
                  <c:y val="0.2339582783205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社会保障和就业支出, </a:t>
                    </a:r>
                    <a:r>
                      <a:rPr lang="en-US" altLang="zh-CN"/>
                      <a:t>30.93</a:t>
                    </a:r>
                    <a:r>
                      <a:t>万元,</a:t>
                    </a:r>
                    <a:r>
                      <a:rPr lang="en-US" altLang="zh-CN"/>
                      <a:t>7.07</a:t>
                    </a:r>
                    <a:r>
                      <a:t>%</a:t>
                    </a:r>
                  </a:p>
                </c:rich>
              </c:tx>
              <c:dLblPos val="bestFit"/>
              <c:showLegendKey val="0"/>
              <c:showVal val="1"/>
              <c:showCatName val="1"/>
              <c:showSerName val="0"/>
              <c:showPercent val="1"/>
              <c:showBubbleSize val="0"/>
              <c:extLst>
                <c:ext xmlns:c15="http://schemas.microsoft.com/office/drawing/2012/chart" uri="{CE6537A1-D6FC-4f65-9D91-7224C49458BB}">
                  <c15:layout>
                    <c:manualLayout>
                      <c:w val="0.27339842819719"/>
                      <c:h val="0.169263269078426"/>
                    </c:manualLayout>
                  </c15:layout>
                </c:ext>
              </c:extLst>
            </c:dLbl>
            <c:dLbl>
              <c:idx val="2"/>
              <c:layout>
                <c:manualLayout>
                  <c:x val="-0.0531876588055673"/>
                  <c:y val="0.012939001848428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卫生健康支出, </a:t>
                    </a:r>
                    <a:r>
                      <a:rPr lang="en-US" altLang="zh-CN"/>
                      <a:t>12.03</a:t>
                    </a:r>
                    <a:r>
                      <a:t>万元</a:t>
                    </a:r>
                    <a:r>
                      <a:rPr lang="en-US" altLang="zh-CN"/>
                      <a:t>,2.75</a:t>
                    </a:r>
                    <a:r>
                      <a:t>%</a:t>
                    </a:r>
                  </a:p>
                </c:rich>
              </c:tx>
              <c:dLblPos val="bestFit"/>
              <c:showLegendKey val="0"/>
              <c:showVal val="1"/>
              <c:showCatName val="1"/>
              <c:showSerName val="0"/>
              <c:showPercent val="0"/>
              <c:showBubbleSize val="0"/>
              <c:extLst>
                <c:ext xmlns:c15="http://schemas.microsoft.com/office/drawing/2012/chart" uri="{CE6537A1-D6FC-4f65-9D91-7224C49458BB}">
                  <c15:layout>
                    <c:manualLayout>
                      <c:w val="0.106096689688021"/>
                      <c:h val="0.39239503564827"/>
                    </c:manualLayout>
                  </c15:layout>
                </c:ext>
              </c:extLst>
            </c:dLbl>
            <c:dLbl>
              <c:idx val="3"/>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教育支出</c:v>
                </c:pt>
                <c:pt idx="1">
                  <c:v>社会保障和就业支出</c:v>
                </c:pt>
                <c:pt idx="2">
                  <c:v>卫生健康支出</c:v>
                </c:pt>
                <c:pt idx="3">
                  <c:v>农林水支出</c:v>
                </c:pt>
              </c:strCache>
            </c:strRef>
          </c:cat>
          <c:val>
            <c:numRef>
              <c:f>Sheet1!$B$2:$B$5</c:f>
              <c:numCache>
                <c:formatCode>General</c:formatCode>
                <c:ptCount val="4"/>
                <c:pt idx="0">
                  <c:v>394.56</c:v>
                </c:pt>
                <c:pt idx="1">
                  <c:v>30.93</c:v>
                </c:pt>
                <c:pt idx="2">
                  <c:v>12.03</c:v>
                </c:pt>
                <c:pt idx="3">
                  <c:v>0</c:v>
                </c:pt>
              </c:numCache>
            </c:numRef>
          </c:val>
        </c:ser>
        <c:dLbls>
          <c:showLegendKey val="0"/>
          <c:showVal val="0"/>
          <c:showCatName val="0"/>
          <c:showSerName val="0"/>
          <c:showPercent val="0"/>
          <c:showBubbleSize val="0"/>
          <c:showLeaderLines val="1"/>
        </c:dLbls>
        <c:firstSliceAng val="271"/>
      </c:pieChart>
    </c:plotArea>
    <c:legend>
      <c:legendPos val="r"/>
      <c:legendEntry>
        <c:idx val="3"/>
        <c:delete val="1"/>
      </c:legendEntry>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4151</Words>
  <Characters>4614</Characters>
  <Lines>61</Lines>
  <Paragraphs>17</Paragraphs>
  <TotalTime>0</TotalTime>
  <ScaleCrop>false</ScaleCrop>
  <LinksUpToDate>false</LinksUpToDate>
  <CharactersWithSpaces>4670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企业用户_271171727</cp:lastModifiedBy>
  <cp:lastPrinted>2022-09-27T12:55:00Z</cp:lastPrinted>
  <dcterms:modified xsi:type="dcterms:W3CDTF">2024-10-12T17:24:58Z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EA21E95B5B5A4AE7B2C75F0BC62129F6_13</vt:lpwstr>
  </property>
</Properties>
</file>