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AF76F">
      <w:pPr>
        <w:spacing w:line="600" w:lineRule="exact"/>
        <w:jc w:val="left"/>
        <w:outlineLvl w:val="0"/>
        <w:rPr>
          <w:rFonts w:ascii="方正小标宋简体" w:hAnsi="宋体" w:eastAsia="方正小标宋简体"/>
          <w:color w:val="auto"/>
          <w:sz w:val="21"/>
          <w:szCs w:val="21"/>
          <w:highlight w:val="none"/>
        </w:rPr>
      </w:pPr>
      <w:bookmarkStart w:id="0" w:name="_Toc15306267"/>
    </w:p>
    <w:p w14:paraId="26A769C8">
      <w:pPr>
        <w:spacing w:line="600" w:lineRule="exact"/>
        <w:jc w:val="center"/>
        <w:outlineLvl w:val="0"/>
        <w:rPr>
          <w:rFonts w:ascii="方正小标宋简体" w:hAnsi="宋体" w:eastAsia="方正小标宋简体"/>
          <w:color w:val="auto"/>
          <w:sz w:val="72"/>
          <w:szCs w:val="72"/>
          <w:highlight w:val="none"/>
        </w:rPr>
      </w:pPr>
    </w:p>
    <w:p w14:paraId="68A0F3FF">
      <w:pPr>
        <w:spacing w:line="600" w:lineRule="exact"/>
        <w:jc w:val="center"/>
        <w:outlineLvl w:val="0"/>
        <w:rPr>
          <w:rFonts w:ascii="方正小标宋简体" w:hAnsi="宋体" w:eastAsia="方正小标宋简体"/>
          <w:color w:val="auto"/>
          <w:sz w:val="72"/>
          <w:szCs w:val="72"/>
          <w:highlight w:val="none"/>
        </w:rPr>
      </w:pPr>
    </w:p>
    <w:p w14:paraId="6736B6F8">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8441"/>
      <w:bookmarkStart w:id="3" w:name="_Toc15377425"/>
      <w:bookmarkStart w:id="4" w:name="_Toc15396597"/>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14:paraId="2CA19A58">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96476"/>
      <w:bookmarkStart w:id="8" w:name="_Toc15377194"/>
      <w:bookmarkStart w:id="9" w:name="_Toc15377426"/>
      <w:bookmarkStart w:id="10" w:name="_Toc15378442"/>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w:t>
      </w:r>
      <w:r>
        <w:rPr>
          <w:rFonts w:hint="eastAsia" w:ascii="方正小标宋简体" w:hAnsi="宋体" w:eastAsia="方正小标宋简体"/>
          <w:sz w:val="72"/>
          <w:szCs w:val="72"/>
        </w:rPr>
        <w:t>利州区</w:t>
      </w:r>
      <w:r>
        <w:rPr>
          <w:rFonts w:hint="eastAsia" w:ascii="方正小标宋简体" w:hAnsi="宋体" w:eastAsia="方正小标宋简体"/>
          <w:sz w:val="72"/>
          <w:szCs w:val="72"/>
          <w:lang w:eastAsia="zh-CN"/>
        </w:rPr>
        <w:t>江北</w:t>
      </w:r>
      <w:r>
        <w:rPr>
          <w:rFonts w:hint="eastAsia" w:ascii="方正小标宋简体" w:hAnsi="宋体" w:eastAsia="方正小标宋简体"/>
          <w:sz w:val="72"/>
          <w:szCs w:val="72"/>
        </w:rPr>
        <w:t>小学</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5A9D6808">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7E46D637">
      <w:pPr>
        <w:widowControl/>
        <w:jc w:val="center"/>
        <w:rPr>
          <w:rFonts w:ascii="黑体" w:hAnsi="黑体" w:eastAsia="黑体" w:cstheme="minorBidi"/>
          <w:color w:val="auto"/>
          <w:sz w:val="28"/>
          <w:szCs w:val="28"/>
          <w:highlight w:val="none"/>
        </w:rPr>
      </w:pPr>
    </w:p>
    <w:p w14:paraId="074BDAFB">
      <w:pPr>
        <w:pStyle w:val="12"/>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lang w:val="en-US" w:eastAsia="zh-CN"/>
        </w:rPr>
        <w:t>10</w:t>
      </w:r>
      <w:r>
        <w:rPr>
          <w:rFonts w:hint="eastAsia"/>
        </w:rPr>
        <w:t>月</w:t>
      </w:r>
      <w:r>
        <w:rPr>
          <w:rFonts w:hint="eastAsia"/>
          <w:lang w:val="en-US" w:eastAsia="zh-CN"/>
        </w:rPr>
        <w:t>14</w:t>
      </w:r>
      <w:r>
        <w:rPr>
          <w:rFonts w:hint="eastAsia"/>
        </w:rPr>
        <w:t>日</w:t>
      </w:r>
    </w:p>
    <w:p w14:paraId="4995B276">
      <w:pPr>
        <w:rPr>
          <w:color w:val="auto"/>
          <w:highlight w:val="none"/>
        </w:rPr>
      </w:pPr>
    </w:p>
    <w:p w14:paraId="2B649D3F">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14:paraId="343C3B22">
      <w:pPr>
        <w:pStyle w:val="14"/>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14:paraId="442CB168">
      <w:pPr>
        <w:pStyle w:val="14"/>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14:paraId="387E6192">
      <w:pPr>
        <w:pStyle w:val="12"/>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p>
    <w:p w14:paraId="5456F1E8">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14:paraId="5E00C6EC">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14:paraId="2D67FA28">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14:paraId="3AC7D061">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14:paraId="26BDC869">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14:paraId="12961E56">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14:paraId="5C7DCB9F">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14:paraId="429BE0F8">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14:paraId="45316A7D">
      <w:pPr>
        <w:pStyle w:val="14"/>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14:paraId="18862883">
      <w:pPr>
        <w:pStyle w:val="14"/>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14:paraId="134118FA">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14:paraId="38BFD943">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14:paraId="5A647A4F">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14:paraId="5C952928">
      <w:pPr>
        <w:pStyle w:val="14"/>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2D872925">
      <w:pPr>
        <w:pStyle w:val="14"/>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33ED06F6">
      <w:pPr>
        <w:pStyle w:val="14"/>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52A78645">
      <w:pPr>
        <w:pStyle w:val="14"/>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6E8FBDFA">
      <w:pPr>
        <w:pStyle w:val="14"/>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105B22BC">
      <w:pPr>
        <w:pStyle w:val="14"/>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266C2139">
      <w:pPr>
        <w:pStyle w:val="14"/>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704275D2">
      <w:pPr>
        <w:pStyle w:val="14"/>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630ADC23">
      <w:pPr>
        <w:pStyle w:val="14"/>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36189223">
      <w:pPr>
        <w:pStyle w:val="14"/>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73CC9316">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6961660B">
      <w:pPr>
        <w:pStyle w:val="14"/>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3C67F33C">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1693C4A8">
      <w:pPr>
        <w:pStyle w:val="3"/>
        <w:jc w:val="center"/>
        <w:rPr>
          <w:rFonts w:hint="eastAsia" w:ascii="黑体" w:hAnsi="黑体" w:eastAsia="黑体"/>
          <w:b w:val="0"/>
          <w:color w:val="auto"/>
          <w:highlight w:val="none"/>
        </w:rPr>
        <w:sectPr>
          <w:headerReference r:id="rId3" w:type="default"/>
          <w:pgSz w:w="11906" w:h="16838"/>
          <w:pgMar w:top="1440" w:right="1800" w:bottom="1440" w:left="1800" w:header="851" w:footer="992" w:gutter="0"/>
          <w:pgNumType w:start="1"/>
          <w:cols w:space="425" w:num="1"/>
          <w:titlePg/>
          <w:docGrid w:type="lines" w:linePitch="312" w:charSpace="0"/>
        </w:sectPr>
      </w:pPr>
      <w:bookmarkStart w:id="12" w:name="_Toc15377196"/>
      <w:bookmarkStart w:id="13" w:name="_Toc15396599"/>
    </w:p>
    <w:p w14:paraId="71F9C333">
      <w:pPr>
        <w:pStyle w:val="3"/>
        <w:jc w:val="center"/>
        <w:rPr>
          <w:rStyle w:val="2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12"/>
      <w:bookmarkEnd w:id="13"/>
    </w:p>
    <w:p w14:paraId="1D5B76F6">
      <w:pPr>
        <w:widowControl/>
        <w:jc w:val="left"/>
        <w:rPr>
          <w:rFonts w:ascii="黑体" w:eastAsia="黑体"/>
          <w:color w:val="auto"/>
          <w:sz w:val="32"/>
          <w:szCs w:val="32"/>
          <w:highlight w:val="none"/>
        </w:rPr>
      </w:pPr>
    </w:p>
    <w:p w14:paraId="4059A831">
      <w:pPr>
        <w:pStyle w:val="4"/>
        <w:numPr>
          <w:ilvl w:val="0"/>
          <w:numId w:val="1"/>
        </w:numPr>
        <w:rPr>
          <w:rStyle w:val="28"/>
          <w:rFonts w:hint="eastAsia" w:ascii="黑体" w:hAnsi="黑体" w:eastAsia="黑体"/>
          <w:b w:val="0"/>
          <w:bCs w:val="0"/>
          <w:color w:val="auto"/>
          <w:highlight w:val="none"/>
          <w:lang w:eastAsia="zh-CN"/>
        </w:rPr>
      </w:pPr>
      <w:bookmarkStart w:id="14" w:name="_Toc15377197"/>
      <w:bookmarkStart w:id="15" w:name="_Toc15396600"/>
      <w:r>
        <w:rPr>
          <w:rStyle w:val="28"/>
          <w:rFonts w:hint="eastAsia" w:ascii="黑体" w:hAnsi="黑体" w:eastAsia="黑体"/>
          <w:b w:val="0"/>
          <w:bCs w:val="0"/>
          <w:color w:val="auto"/>
          <w:highlight w:val="none"/>
          <w:lang w:eastAsia="zh-CN"/>
        </w:rPr>
        <w:t>主要职责</w:t>
      </w:r>
    </w:p>
    <w:p w14:paraId="2C9F4303">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1．贯彻执行党和国家关于教育改革和发展的各项方针、政策，拟订</w:t>
      </w:r>
      <w:r>
        <w:rPr>
          <w:rFonts w:hint="eastAsia" w:ascii="仿宋" w:hAnsi="仿宋" w:eastAsia="仿宋" w:cs="仿宋"/>
          <w:sz w:val="28"/>
          <w:szCs w:val="28"/>
          <w:lang w:val="en-US" w:eastAsia="zh-CN"/>
        </w:rPr>
        <w:t>学</w:t>
      </w:r>
      <w:r>
        <w:rPr>
          <w:rFonts w:hint="eastAsia" w:ascii="仿宋" w:hAnsi="仿宋" w:eastAsia="仿宋" w:cs="仿宋"/>
          <w:sz w:val="28"/>
          <w:szCs w:val="28"/>
        </w:rPr>
        <w:t>校教育事业发展规划。</w:t>
      </w:r>
    </w:p>
    <w:p w14:paraId="7544685B">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14:paraId="032BF1A2">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3．负责推进义务教育均衡发展和促进教育公平，负责义务教育的宏观指导与协调；指导学校全面实施素质教育；督促检查学校办学标准、教学基本要求、教学基本条件的落实情况。</w:t>
      </w:r>
    </w:p>
    <w:p w14:paraId="2C6D6E7B">
      <w:pPr>
        <w:ind w:firstLine="560" w:firstLineChars="200"/>
        <w:rPr>
          <w:rFonts w:hint="eastAsia"/>
          <w:lang w:eastAsia="zh-CN"/>
        </w:rPr>
      </w:pPr>
      <w:r>
        <w:rPr>
          <w:rFonts w:hint="eastAsia" w:ascii="仿宋" w:hAnsi="仿宋" w:eastAsia="仿宋" w:cs="仿宋"/>
          <w:sz w:val="28"/>
          <w:szCs w:val="28"/>
        </w:rPr>
        <w:t>4.促进基础教育发展，</w:t>
      </w:r>
      <w:r>
        <w:rPr>
          <w:rFonts w:hint="eastAsia" w:ascii="仿宋" w:hAnsi="仿宋" w:eastAsia="仿宋" w:cs="仿宋"/>
          <w:sz w:val="28"/>
          <w:szCs w:val="28"/>
          <w:lang w:val="en-US" w:eastAsia="zh-CN"/>
        </w:rPr>
        <w:t>实现学生德、智、体、美、劳全面发展</w:t>
      </w:r>
      <w:r>
        <w:rPr>
          <w:rFonts w:hint="eastAsia" w:ascii="仿宋" w:hAnsi="仿宋" w:eastAsia="仿宋" w:cs="仿宋"/>
          <w:sz w:val="28"/>
          <w:szCs w:val="28"/>
        </w:rPr>
        <w:t>。</w:t>
      </w:r>
    </w:p>
    <w:p w14:paraId="5C40399C">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14:paraId="547ED35D">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广元市利州区</w:t>
      </w:r>
      <w:r>
        <w:rPr>
          <w:rFonts w:hint="eastAsia" w:ascii="仿宋" w:hAnsi="仿宋" w:eastAsia="仿宋" w:cs="仿宋"/>
          <w:sz w:val="28"/>
          <w:szCs w:val="28"/>
          <w:lang w:eastAsia="zh-CN"/>
        </w:rPr>
        <w:t>江北</w:t>
      </w:r>
      <w:r>
        <w:rPr>
          <w:rFonts w:hint="eastAsia" w:ascii="仿宋" w:hAnsi="仿宋" w:eastAsia="仿宋" w:cs="仿宋"/>
          <w:sz w:val="28"/>
          <w:szCs w:val="28"/>
        </w:rPr>
        <w:t>小学现有编制</w:t>
      </w:r>
      <w:r>
        <w:rPr>
          <w:rFonts w:hint="eastAsia" w:ascii="仿宋" w:hAnsi="仿宋" w:eastAsia="仿宋" w:cs="仿宋"/>
          <w:sz w:val="28"/>
          <w:szCs w:val="28"/>
          <w:lang w:val="en-US" w:eastAsia="zh-CN"/>
        </w:rPr>
        <w:t>15</w:t>
      </w:r>
      <w:r>
        <w:rPr>
          <w:rFonts w:hint="eastAsia" w:ascii="仿宋" w:hAnsi="仿宋" w:eastAsia="仿宋" w:cs="仿宋"/>
          <w:sz w:val="28"/>
          <w:szCs w:val="28"/>
        </w:rPr>
        <w:t>人，实有在编人数</w:t>
      </w:r>
      <w:r>
        <w:rPr>
          <w:rFonts w:hint="eastAsia" w:ascii="仿宋" w:hAnsi="仿宋" w:eastAsia="仿宋" w:cs="仿宋"/>
          <w:sz w:val="28"/>
          <w:szCs w:val="28"/>
          <w:lang w:val="en-US" w:eastAsia="zh-CN"/>
        </w:rPr>
        <w:t>16</w:t>
      </w:r>
      <w:r>
        <w:rPr>
          <w:rFonts w:hint="eastAsia" w:ascii="仿宋" w:hAnsi="仿宋" w:eastAsia="仿宋" w:cs="仿宋"/>
          <w:sz w:val="28"/>
          <w:szCs w:val="28"/>
        </w:rPr>
        <w:t>人，退休教师</w:t>
      </w:r>
      <w:r>
        <w:rPr>
          <w:rFonts w:hint="eastAsia" w:ascii="仿宋" w:hAnsi="仿宋" w:eastAsia="仿宋" w:cs="仿宋"/>
          <w:sz w:val="28"/>
          <w:szCs w:val="28"/>
          <w:lang w:val="en-US" w:eastAsia="zh-CN"/>
        </w:rPr>
        <w:t>8</w:t>
      </w:r>
      <w:r>
        <w:rPr>
          <w:rFonts w:hint="eastAsia" w:ascii="仿宋" w:hAnsi="仿宋" w:eastAsia="仿宋" w:cs="仿宋"/>
          <w:sz w:val="28"/>
          <w:szCs w:val="28"/>
        </w:rPr>
        <w:t>人，临聘人员</w:t>
      </w:r>
      <w:r>
        <w:rPr>
          <w:rFonts w:hint="eastAsia" w:ascii="仿宋" w:hAnsi="仿宋" w:eastAsia="仿宋" w:cs="仿宋"/>
          <w:sz w:val="28"/>
          <w:szCs w:val="28"/>
          <w:lang w:val="en-US" w:eastAsia="zh-CN"/>
        </w:rPr>
        <w:t>2</w:t>
      </w:r>
      <w:r>
        <w:rPr>
          <w:rFonts w:hint="eastAsia" w:ascii="仿宋" w:hAnsi="仿宋" w:eastAsia="仿宋" w:cs="仿宋"/>
          <w:sz w:val="28"/>
          <w:szCs w:val="28"/>
        </w:rPr>
        <w:t>人，下设各处室 8 个，分别是行政办公室、教导处、德育处、总务处、安办、教科室、技装室。</w:t>
      </w:r>
    </w:p>
    <w:p w14:paraId="2D16867B">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0F0AA7EA">
      <w:pPr>
        <w:pStyle w:val="3"/>
        <w:ind w:right="440"/>
        <w:jc w:val="center"/>
        <w:rPr>
          <w:rStyle w:val="27"/>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7"/>
          <w:rFonts w:hint="eastAsia" w:ascii="黑体" w:hAnsi="黑体" w:eastAsia="黑体"/>
          <w:b w:val="0"/>
          <w:bCs/>
          <w:color w:val="auto"/>
          <w:highlight w:val="none"/>
          <w:lang w:eastAsia="zh-CN"/>
        </w:rPr>
        <w:t>单位</w:t>
      </w:r>
      <w:r>
        <w:rPr>
          <w:rStyle w:val="27"/>
          <w:rFonts w:hint="eastAsia" w:ascii="黑体" w:hAnsi="黑体" w:eastAsia="黑体"/>
          <w:b w:val="0"/>
          <w:bCs/>
          <w:color w:val="auto"/>
          <w:highlight w:val="none"/>
        </w:rPr>
        <w:t>决算情况说明</w:t>
      </w:r>
      <w:bookmarkEnd w:id="16"/>
      <w:bookmarkEnd w:id="17"/>
    </w:p>
    <w:p w14:paraId="70AE0E04">
      <w:pPr>
        <w:rPr>
          <w:color w:val="auto"/>
          <w:highlight w:val="none"/>
        </w:rPr>
      </w:pPr>
    </w:p>
    <w:p w14:paraId="1621C94E">
      <w:pPr>
        <w:pStyle w:val="26"/>
        <w:numPr>
          <w:ilvl w:val="0"/>
          <w:numId w:val="2"/>
        </w:numPr>
        <w:spacing w:line="600" w:lineRule="exact"/>
        <w:ind w:firstLineChars="0"/>
        <w:outlineLvl w:val="1"/>
        <w:rPr>
          <w:rStyle w:val="28"/>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18"/>
      <w:bookmarkEnd w:id="19"/>
    </w:p>
    <w:p w14:paraId="6837118C">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471.49</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增加103.04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增27.97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增加了</w:t>
      </w:r>
      <w:r>
        <w:rPr>
          <w:rFonts w:hint="eastAsia" w:ascii="仿宋" w:hAnsi="仿宋" w:eastAsia="仿宋"/>
          <w:sz w:val="32"/>
          <w:szCs w:val="32"/>
        </w:rPr>
        <w:t>项目</w:t>
      </w:r>
      <w:r>
        <w:rPr>
          <w:rFonts w:hint="eastAsia" w:ascii="仿宋" w:hAnsi="仿宋" w:eastAsia="仿宋"/>
          <w:sz w:val="32"/>
          <w:szCs w:val="32"/>
          <w:lang w:val="en-US" w:eastAsia="zh-CN"/>
        </w:rPr>
        <w:t>资金和公用经费</w:t>
      </w:r>
      <w:r>
        <w:rPr>
          <w:rFonts w:hint="eastAsia" w:ascii="仿宋" w:hAnsi="仿宋" w:eastAsia="仿宋"/>
          <w:color w:val="auto"/>
          <w:sz w:val="32"/>
          <w:szCs w:val="32"/>
          <w:highlight w:val="none"/>
          <w:lang w:eastAsia="zh-CN"/>
        </w:rPr>
        <w:t>。</w:t>
      </w:r>
    </w:p>
    <w:p w14:paraId="2EF41CEF">
      <w:pPr>
        <w:spacing w:line="600" w:lineRule="exact"/>
        <w:ind w:firstLine="1050" w:firstLineChars="500"/>
        <w:rPr>
          <w:rFonts w:ascii="仿宋" w:hAnsi="仿宋" w:eastAsia="仿宋"/>
          <w:color w:val="auto"/>
          <w:sz w:val="32"/>
          <w:szCs w:val="32"/>
          <w:highlight w:val="none"/>
        </w:rPr>
      </w:pPr>
      <w:r>
        <w:rPr>
          <w:rFonts w:hint="eastAsia"/>
        </w:rPr>
        <w:t>368.45</w:t>
      </w:r>
      <w:r>
        <w:rPr>
          <w:rStyle w:val="33"/>
          <w:rFonts w:hint="eastAsia" w:ascii="黑体" w:hAnsi="黑体" w:eastAsia="黑体"/>
          <w:b w:val="0"/>
        </w:rPr>
        <w:drawing>
          <wp:anchor distT="0" distB="0" distL="114300" distR="114300" simplePos="0" relativeHeight="251660288" behindDoc="1" locked="0" layoutInCell="1" allowOverlap="1">
            <wp:simplePos x="0" y="0"/>
            <wp:positionH relativeFrom="column">
              <wp:posOffset>-3175</wp:posOffset>
            </wp:positionH>
            <wp:positionV relativeFrom="paragraph">
              <wp:posOffset>200025</wp:posOffset>
            </wp:positionV>
            <wp:extent cx="5219700" cy="3233420"/>
            <wp:effectExtent l="4445" t="4445" r="14605" b="57785"/>
            <wp:wrapTight wrapText="bothSides">
              <wp:wrapPolygon>
                <wp:start x="-18" y="-30"/>
                <wp:lineTo x="-18" y="21732"/>
                <wp:lineTo x="21582" y="21732"/>
                <wp:lineTo x="21582" y="-30"/>
                <wp:lineTo x="-18" y="-30"/>
              </wp:wrapPolygon>
            </wp:wrapTight>
            <wp:docPr id="1" name="图表 1" descr="7b0a202020202263686172745265734964223a202232303437363532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14:paraId="0CAEF6BF">
      <w:pPr>
        <w:pStyle w:val="26"/>
        <w:numPr>
          <w:ilvl w:val="0"/>
          <w:numId w:val="2"/>
        </w:numPr>
        <w:spacing w:line="600" w:lineRule="exact"/>
        <w:ind w:firstLineChars="0"/>
        <w:outlineLvl w:val="1"/>
        <w:rPr>
          <w:rStyle w:val="28"/>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0"/>
      <w:bookmarkEnd w:id="21"/>
    </w:p>
    <w:p w14:paraId="197AA738">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年本年收入</w:t>
      </w:r>
      <w:r>
        <w:rPr>
          <w:rFonts w:hint="eastAsia" w:ascii="仿宋" w:hAnsi="仿宋" w:eastAsia="仿宋"/>
          <w:color w:val="auto"/>
          <w:sz w:val="32"/>
          <w:szCs w:val="32"/>
          <w:highlight w:val="none"/>
          <w:lang w:val="en-US" w:eastAsia="zh-CN"/>
        </w:rPr>
        <w:t>471.49</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456.09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96.74</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15.40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B52C437">
      <w:pPr>
        <w:spacing w:line="600" w:lineRule="exact"/>
        <w:ind w:firstLine="2520" w:firstLineChars="900"/>
        <w:rPr>
          <w:rFonts w:ascii="仿宋" w:hAnsi="仿宋" w:eastAsia="仿宋"/>
          <w:color w:val="auto"/>
          <w:sz w:val="32"/>
          <w:szCs w:val="32"/>
          <w:highlight w:val="none"/>
        </w:rPr>
      </w:pPr>
      <w:r>
        <w:rPr>
          <w:sz w:val="28"/>
          <w:szCs w:val="28"/>
        </w:rPr>
        <w:drawing>
          <wp:anchor distT="0" distB="0" distL="114300" distR="114300" simplePos="0" relativeHeight="251661312" behindDoc="0" locked="0" layoutInCell="1" allowOverlap="1">
            <wp:simplePos x="0" y="0"/>
            <wp:positionH relativeFrom="column">
              <wp:posOffset>7620</wp:posOffset>
            </wp:positionH>
            <wp:positionV relativeFrom="paragraph">
              <wp:posOffset>153670</wp:posOffset>
            </wp:positionV>
            <wp:extent cx="5139055" cy="2239645"/>
            <wp:effectExtent l="4445" t="4445" r="7620" b="1143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（图2：收入决算结构图）</w:t>
      </w:r>
    </w:p>
    <w:p w14:paraId="020282DD">
      <w:pPr>
        <w:pStyle w:val="26"/>
        <w:numPr>
          <w:ilvl w:val="0"/>
          <w:numId w:val="2"/>
        </w:numPr>
        <w:spacing w:line="600" w:lineRule="exact"/>
        <w:ind w:firstLineChars="0"/>
        <w:outlineLvl w:val="1"/>
        <w:rPr>
          <w:rStyle w:val="28"/>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22"/>
      <w:bookmarkEnd w:id="23"/>
    </w:p>
    <w:p w14:paraId="31EAEFE5">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471.49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321.34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68.15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150.15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31.85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FF9ECBE">
      <w:pPr>
        <w:spacing w:line="600" w:lineRule="exact"/>
        <w:ind w:firstLine="1920" w:firstLineChars="6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图3：支出决算结构图）</w:t>
      </w:r>
    </w:p>
    <w:p w14:paraId="2A1D50BF">
      <w:pPr>
        <w:spacing w:line="600" w:lineRule="exact"/>
        <w:ind w:firstLine="640" w:firstLineChars="200"/>
        <w:rPr>
          <w:rFonts w:hint="eastAsia"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454025</wp:posOffset>
            </wp:positionH>
            <wp:positionV relativeFrom="paragraph">
              <wp:posOffset>57150</wp:posOffset>
            </wp:positionV>
            <wp:extent cx="4351655" cy="1904365"/>
            <wp:effectExtent l="4445" t="5080" r="17780" b="107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88AE8D0">
      <w:pPr>
        <w:spacing w:line="600" w:lineRule="exact"/>
        <w:ind w:firstLine="640" w:firstLineChars="200"/>
        <w:rPr>
          <w:rFonts w:hint="eastAsia" w:ascii="仿宋" w:hAnsi="仿宋" w:eastAsia="仿宋"/>
          <w:color w:val="auto"/>
          <w:sz w:val="32"/>
          <w:szCs w:val="32"/>
          <w:highlight w:val="none"/>
        </w:rPr>
      </w:pPr>
    </w:p>
    <w:p w14:paraId="51ED229E">
      <w:pPr>
        <w:spacing w:line="600" w:lineRule="exact"/>
        <w:ind w:firstLine="640" w:firstLineChars="200"/>
        <w:rPr>
          <w:rFonts w:hint="eastAsia" w:ascii="仿宋" w:hAnsi="仿宋" w:eastAsia="仿宋"/>
          <w:color w:val="auto"/>
          <w:sz w:val="32"/>
          <w:szCs w:val="32"/>
          <w:highlight w:val="none"/>
        </w:rPr>
      </w:pPr>
    </w:p>
    <w:p w14:paraId="48799EAE">
      <w:pPr>
        <w:spacing w:line="600" w:lineRule="exact"/>
        <w:ind w:firstLine="640" w:firstLineChars="200"/>
        <w:rPr>
          <w:rFonts w:hint="eastAsia" w:ascii="仿宋" w:hAnsi="仿宋" w:eastAsia="仿宋"/>
          <w:color w:val="auto"/>
          <w:sz w:val="32"/>
          <w:szCs w:val="32"/>
          <w:highlight w:val="none"/>
        </w:rPr>
      </w:pPr>
    </w:p>
    <w:p w14:paraId="54D7ACA8">
      <w:pPr>
        <w:spacing w:line="600" w:lineRule="exact"/>
        <w:ind w:firstLine="640" w:firstLineChars="200"/>
        <w:rPr>
          <w:rFonts w:hint="eastAsia" w:ascii="仿宋" w:hAnsi="仿宋" w:eastAsia="仿宋"/>
          <w:color w:val="auto"/>
          <w:sz w:val="32"/>
          <w:szCs w:val="32"/>
          <w:highlight w:val="none"/>
        </w:rPr>
      </w:pPr>
    </w:p>
    <w:p w14:paraId="0E10B522">
      <w:pPr>
        <w:spacing w:line="600" w:lineRule="exact"/>
        <w:ind w:firstLine="640" w:firstLineChars="200"/>
        <w:outlineLvl w:val="1"/>
        <w:rPr>
          <w:rStyle w:val="28"/>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24"/>
      <w:bookmarkEnd w:id="25"/>
    </w:p>
    <w:p w14:paraId="349F6ED7">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456.09</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96.77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上</w:t>
      </w:r>
      <w:r>
        <w:rPr>
          <w:rFonts w:hint="eastAsia" w:ascii="仿宋" w:hAnsi="仿宋" w:eastAsia="仿宋"/>
          <w:color w:val="auto"/>
          <w:sz w:val="32"/>
          <w:szCs w:val="32"/>
          <w:highlight w:val="none"/>
          <w:lang w:val="en-US" w:eastAsia="zh-CN"/>
        </w:rPr>
        <w:t>升26.93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资金增加</w:t>
      </w:r>
      <w:r>
        <w:rPr>
          <w:rFonts w:hint="eastAsia" w:ascii="仿宋" w:hAnsi="仿宋" w:eastAsia="仿宋"/>
          <w:color w:val="auto"/>
          <w:sz w:val="32"/>
          <w:szCs w:val="32"/>
          <w:highlight w:val="none"/>
        </w:rPr>
        <w:t>。</w:t>
      </w:r>
    </w:p>
    <w:p w14:paraId="2D3A3044">
      <w:pPr>
        <w:spacing w:line="600" w:lineRule="exact"/>
        <w:ind w:firstLine="1280" w:firstLineChars="400"/>
        <w:rPr>
          <w:rFonts w:ascii="仿宋" w:hAnsi="仿宋" w:eastAsia="仿宋"/>
          <w:color w:val="auto"/>
          <w:sz w:val="32"/>
          <w:szCs w:val="32"/>
          <w:highlight w:val="none"/>
        </w:rPr>
      </w:pPr>
      <w:r>
        <w:rPr>
          <w:rStyle w:val="33"/>
          <w:rFonts w:hint="eastAsia" w:ascii="黑体" w:hAnsi="黑体" w:eastAsia="黑体"/>
          <w:b w:val="0"/>
        </w:rPr>
        <w:drawing>
          <wp:anchor distT="0" distB="0" distL="114300" distR="114300" simplePos="0" relativeHeight="251663360" behindDoc="1" locked="0" layoutInCell="1" allowOverlap="1">
            <wp:simplePos x="0" y="0"/>
            <wp:positionH relativeFrom="column">
              <wp:posOffset>257175</wp:posOffset>
            </wp:positionH>
            <wp:positionV relativeFrom="paragraph">
              <wp:posOffset>82550</wp:posOffset>
            </wp:positionV>
            <wp:extent cx="4991735" cy="2852420"/>
            <wp:effectExtent l="4445" t="4445" r="13970" b="57785"/>
            <wp:wrapTight wrapText="bothSides">
              <wp:wrapPolygon>
                <wp:start x="-19" y="-34"/>
                <wp:lineTo x="-19" y="21749"/>
                <wp:lineTo x="21578" y="21749"/>
                <wp:lineTo x="21578" y="-34"/>
                <wp:lineTo x="-19" y="-34"/>
              </wp:wrapPolygon>
            </wp:wrapTight>
            <wp:docPr id="6" name="图表 6" descr="7b0a202020202263686172745265734964223a202232303437363532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（图4：财政拨款收、支决算总计变动情况）</w:t>
      </w:r>
    </w:p>
    <w:p w14:paraId="40E6A0BC">
      <w:pPr>
        <w:spacing w:line="600" w:lineRule="exact"/>
        <w:ind w:firstLine="640"/>
        <w:outlineLvl w:val="2"/>
        <w:rPr>
          <w:rStyle w:val="28"/>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26"/>
      <w:bookmarkEnd w:id="27"/>
    </w:p>
    <w:p w14:paraId="1035EC11">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14:paraId="1C99C35A">
      <w:pPr>
        <w:spacing w:line="600" w:lineRule="exact"/>
        <w:ind w:firstLine="640" w:firstLineChars="200"/>
        <w:rPr>
          <w:rFonts w:ascii="仿宋" w:hAnsi="仿宋" w:eastAsia="仿宋"/>
          <w:color w:val="auto"/>
          <w:sz w:val="32"/>
          <w:szCs w:val="32"/>
          <w:highlight w:val="none"/>
        </w:rPr>
      </w:pPr>
      <w:r>
        <w:rPr>
          <w:rStyle w:val="33"/>
          <w:rFonts w:hint="eastAsia" w:ascii="黑体" w:hAnsi="黑体" w:eastAsia="黑体"/>
          <w:b w:val="0"/>
        </w:rPr>
        <w:drawing>
          <wp:anchor distT="0" distB="0" distL="114300" distR="114300" simplePos="0" relativeHeight="251664384" behindDoc="1" locked="0" layoutInCell="1" allowOverlap="1">
            <wp:simplePos x="0" y="0"/>
            <wp:positionH relativeFrom="column">
              <wp:posOffset>161290</wp:posOffset>
            </wp:positionH>
            <wp:positionV relativeFrom="paragraph">
              <wp:posOffset>1615440</wp:posOffset>
            </wp:positionV>
            <wp:extent cx="5067935" cy="2929255"/>
            <wp:effectExtent l="4445" t="4445" r="13970" b="57150"/>
            <wp:wrapTight wrapText="bothSides">
              <wp:wrapPolygon>
                <wp:start x="-19" y="-33"/>
                <wp:lineTo x="-19" y="21881"/>
                <wp:lineTo x="21578" y="21881"/>
                <wp:lineTo x="21578" y="-33"/>
                <wp:lineTo x="-19" y="-33"/>
              </wp:wrapPolygon>
            </wp:wrapTight>
            <wp:docPr id="7" name="图表 7" descr="7b0a202020202263686172745265734964223a202232303437363532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456.09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96.73</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96.77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26.93%</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资金支出增加。</w:t>
      </w:r>
    </w:p>
    <w:p w14:paraId="07C8AB5A">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14:paraId="09491B50">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14:paraId="6DEB153F">
      <w:pPr>
        <w:spacing w:line="600" w:lineRule="exact"/>
        <w:ind w:firstLine="640"/>
        <w:rPr>
          <w:rFonts w:hint="eastAsia" w:ascii="仿宋" w:hAnsi="仿宋" w:eastAsia="仿宋"/>
          <w:b/>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456.09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389.45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85.39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31.89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6.99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12.08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2.65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22.67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4.97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F0F7724">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360F6795">
      <w:pPr>
        <w:spacing w:line="600" w:lineRule="exact"/>
        <w:ind w:firstLine="640" w:firstLineChars="200"/>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5408" behindDoc="0" locked="0" layoutInCell="1" allowOverlap="1">
            <wp:simplePos x="0" y="0"/>
            <wp:positionH relativeFrom="column">
              <wp:posOffset>70485</wp:posOffset>
            </wp:positionH>
            <wp:positionV relativeFrom="paragraph">
              <wp:posOffset>89535</wp:posOffset>
            </wp:positionV>
            <wp:extent cx="5298440" cy="2101215"/>
            <wp:effectExtent l="4445" t="4445" r="15875" b="1270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16F657D">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14:paraId="26700514">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lang w:eastAsia="zh-CN"/>
        </w:rPr>
        <w:t>2023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456.09万元</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31"/>
      <w:bookmarkEnd w:id="32"/>
      <w:bookmarkEnd w:id="33"/>
    </w:p>
    <w:p w14:paraId="44FB52D3">
      <w:p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1</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教育（类）普通教育（款）</w:t>
      </w:r>
      <w:r>
        <w:rPr>
          <w:rStyle w:val="17"/>
          <w:rFonts w:hint="eastAsia" w:ascii="仿宋" w:hAnsi="仿宋" w:eastAsia="仿宋"/>
          <w:bCs/>
          <w:color w:val="auto"/>
          <w:sz w:val="32"/>
          <w:szCs w:val="32"/>
          <w:highlight w:val="none"/>
          <w:lang w:val="en-US" w:eastAsia="zh-CN"/>
        </w:rPr>
        <w:t>学前</w:t>
      </w:r>
      <w:r>
        <w:rPr>
          <w:rStyle w:val="17"/>
          <w:rFonts w:hint="eastAsia" w:ascii="仿宋" w:hAnsi="仿宋" w:eastAsia="仿宋"/>
          <w:bCs/>
          <w:color w:val="auto"/>
          <w:sz w:val="32"/>
          <w:szCs w:val="32"/>
          <w:highlight w:val="none"/>
        </w:rPr>
        <w:t>教育（项）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119.52</w:t>
      </w:r>
      <w:r>
        <w:rPr>
          <w:rStyle w:val="17"/>
          <w:rFonts w:hint="eastAsia" w:ascii="仿宋" w:hAnsi="仿宋" w:eastAsia="仿宋"/>
          <w:b w:val="0"/>
          <w:bCs/>
          <w:color w:val="auto"/>
          <w:sz w:val="32"/>
          <w:szCs w:val="32"/>
          <w:highlight w:val="none"/>
        </w:rPr>
        <w:t>万元，完成预算</w:t>
      </w:r>
      <w:r>
        <w:rPr>
          <w:rFonts w:hint="eastAsia" w:ascii="仿宋" w:hAnsi="仿宋" w:eastAsia="仿宋"/>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5B988690">
      <w:pPr>
        <w:spacing w:line="600" w:lineRule="exact"/>
        <w:ind w:firstLine="643" w:firstLineChars="200"/>
      </w:pPr>
      <w:r>
        <w:rPr>
          <w:rStyle w:val="17"/>
          <w:rFonts w:hint="eastAsia" w:ascii="仿宋" w:hAnsi="仿宋" w:eastAsia="仿宋"/>
          <w:bCs/>
          <w:color w:val="auto"/>
          <w:sz w:val="32"/>
          <w:szCs w:val="32"/>
          <w:highlight w:val="none"/>
          <w:lang w:val="en-US" w:eastAsia="zh-CN"/>
        </w:rPr>
        <w:t>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教育（类）普通教育（款）小学教育（项）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269.93</w:t>
      </w:r>
      <w:r>
        <w:rPr>
          <w:rStyle w:val="17"/>
          <w:rFonts w:hint="eastAsia" w:ascii="仿宋" w:hAnsi="仿宋" w:eastAsia="仿宋"/>
          <w:b w:val="0"/>
          <w:bCs/>
          <w:color w:val="auto"/>
          <w:sz w:val="32"/>
          <w:szCs w:val="32"/>
          <w:highlight w:val="none"/>
        </w:rPr>
        <w:t>万元，完成预算</w:t>
      </w:r>
      <w:r>
        <w:rPr>
          <w:rFonts w:hint="eastAsia" w:ascii="仿宋" w:hAnsi="仿宋" w:eastAsia="仿宋"/>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76368B34">
      <w:p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3</w:t>
      </w:r>
      <w:r>
        <w:rPr>
          <w:rStyle w:val="17"/>
          <w:rFonts w:ascii="仿宋" w:hAnsi="仿宋" w:eastAsia="仿宋"/>
          <w:bCs/>
          <w:color w:val="auto"/>
          <w:sz w:val="32"/>
          <w:szCs w:val="32"/>
          <w:highlight w:val="none"/>
        </w:rPr>
        <w:t>.</w:t>
      </w:r>
      <w:r>
        <w:rPr>
          <w:rStyle w:val="17"/>
          <w:rFonts w:hint="eastAsia" w:ascii="仿宋" w:hAnsi="仿宋" w:eastAsia="仿宋"/>
          <w:bCs/>
          <w:sz w:val="32"/>
          <w:szCs w:val="32"/>
        </w:rPr>
        <w:t>社会保障和就业（类）行政事业单位养老支出（款）机关事业单位基本养老保险缴费支出（项）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30.23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4BB4649B">
      <w:p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sz w:val="32"/>
          <w:szCs w:val="32"/>
          <w:lang w:val="en-US" w:eastAsia="zh-CN"/>
        </w:rPr>
        <w:t>4.</w:t>
      </w:r>
      <w:r>
        <w:rPr>
          <w:rStyle w:val="17"/>
          <w:rFonts w:hint="eastAsia" w:ascii="仿宋" w:hAnsi="仿宋" w:eastAsia="仿宋"/>
          <w:bCs/>
          <w:sz w:val="32"/>
          <w:szCs w:val="32"/>
        </w:rPr>
        <w:t>社会保障和就业（类）其他社会保障和就业支出（款）  其他社会保障和就业支出（项）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1.66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41BF4A50">
      <w:pPr>
        <w:spacing w:line="600" w:lineRule="exact"/>
        <w:ind w:firstLine="643" w:firstLineChars="200"/>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5</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7"/>
          <w:rFonts w:hint="eastAsia" w:ascii="仿宋" w:hAnsi="仿宋" w:eastAsia="仿宋"/>
          <w:bCs/>
          <w:sz w:val="32"/>
          <w:szCs w:val="32"/>
        </w:rPr>
        <w:t>（类）行政事业单位医疗（款）事业单位医疗（项）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12.08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14:paraId="3063B35A">
      <w:pPr>
        <w:pStyle w:val="2"/>
        <w:rPr>
          <w:rFonts w:hint="default" w:eastAsia="仿宋_GB2312"/>
          <w:lang w:val="en-US" w:eastAsia="zh-CN"/>
        </w:rPr>
      </w:pPr>
      <w:r>
        <w:rPr>
          <w:rFonts w:hint="eastAsia"/>
          <w:lang w:val="en-US" w:eastAsia="zh-CN"/>
        </w:rPr>
        <w:t xml:space="preserve">   </w:t>
      </w:r>
      <w:r>
        <w:rPr>
          <w:rFonts w:hint="eastAsia"/>
          <w:b/>
          <w:bCs/>
          <w:lang w:val="en-US" w:eastAsia="zh-CN"/>
        </w:rPr>
        <w:t xml:space="preserve"> 6.住房保障支出（类）住房改革支出（款）住房公积金（项）:</w:t>
      </w:r>
      <w:r>
        <w:rPr>
          <w:rFonts w:hint="eastAsia"/>
          <w:lang w:val="en-US" w:eastAsia="zh-CN"/>
        </w:rPr>
        <w:t>支出决算为22.6</w:t>
      </w:r>
      <w:bookmarkStart w:id="45" w:name="_GoBack"/>
      <w:bookmarkEnd w:id="45"/>
      <w:r>
        <w:rPr>
          <w:rFonts w:hint="eastAsia"/>
          <w:lang w:val="en-US" w:eastAsia="zh-CN"/>
        </w:rPr>
        <w:t>8万元，完成预算100%。</w:t>
      </w:r>
    </w:p>
    <w:p w14:paraId="298FFB16">
      <w:pPr>
        <w:tabs>
          <w:tab w:val="right" w:pos="8306"/>
        </w:tabs>
        <w:spacing w:line="600" w:lineRule="exact"/>
        <w:ind w:firstLine="640"/>
        <w:outlineLvl w:val="1"/>
        <w:rPr>
          <w:rStyle w:val="28"/>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34"/>
      <w:bookmarkEnd w:id="35"/>
      <w:r>
        <w:rPr>
          <w:rStyle w:val="28"/>
          <w:rFonts w:ascii="黑体" w:hAnsi="黑体" w:eastAsia="黑体"/>
          <w:b w:val="0"/>
          <w:color w:val="auto"/>
          <w:highlight w:val="none"/>
        </w:rPr>
        <w:tab/>
      </w:r>
    </w:p>
    <w:p w14:paraId="6AB3B7DC">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321.31</w:t>
      </w:r>
      <w:r>
        <w:rPr>
          <w:rFonts w:hint="eastAsia" w:ascii="仿宋" w:hAnsi="仿宋" w:eastAsia="仿宋"/>
          <w:color w:val="auto"/>
          <w:sz w:val="32"/>
          <w:szCs w:val="32"/>
          <w:highlight w:val="none"/>
        </w:rPr>
        <w:t>万元，其中：</w:t>
      </w:r>
    </w:p>
    <w:p w14:paraId="178896AE">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277.43</w:t>
      </w:r>
      <w:r>
        <w:rPr>
          <w:rFonts w:hint="eastAsia" w:ascii="仿宋" w:hAnsi="仿宋" w:eastAsia="仿宋"/>
          <w:color w:val="auto"/>
          <w:sz w:val="32"/>
          <w:szCs w:val="32"/>
          <w:highlight w:val="none"/>
        </w:rPr>
        <w:t>万元，主要包括：基本工资、津贴补贴、绩效工资、机关事业单位基本养老保险缴费、职工基本医疗保险缴费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职业年金缴费、其他社会保障缴费、其他工资福利支出、抚恤金、生活补助、奖励金、住房公积金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其他对个人和家庭补助等</w:t>
      </w:r>
      <w:r>
        <w:rPr>
          <w:rFonts w:hint="eastAsia" w:ascii="仿宋" w:hAnsi="仿宋" w:eastAsia="仿宋"/>
          <w:color w:val="auto"/>
          <w:sz w:val="32"/>
          <w:szCs w:val="32"/>
          <w:highlight w:val="none"/>
        </w:rPr>
        <w:t>。</w:t>
      </w:r>
    </w:p>
    <w:p w14:paraId="64DC9D87">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43.88</w:t>
      </w:r>
      <w:r>
        <w:rPr>
          <w:rFonts w:hint="eastAsia" w:ascii="仿宋" w:hAnsi="仿宋" w:eastAsia="仿宋"/>
          <w:color w:val="auto"/>
          <w:sz w:val="32"/>
          <w:szCs w:val="32"/>
          <w:highlight w:val="none"/>
        </w:rPr>
        <w:t>万元，主要包括：办公费、手续费、水费、电费、邮电费、物业管理费、差旅费、专用材料费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维修（护）费、租赁费、培训费、劳务费、工会经费、福利费</w:t>
      </w:r>
      <w:r>
        <w:rPr>
          <w:rFonts w:hint="eastAsia" w:ascii="仿宋" w:hAnsi="仿宋" w:eastAsia="仿宋"/>
          <w:color w:val="auto"/>
          <w:sz w:val="32"/>
          <w:szCs w:val="32"/>
          <w:highlight w:val="none"/>
          <w:lang w:val="en-US" w:eastAsia="zh-CN"/>
        </w:rPr>
        <w:t>等</w:t>
      </w:r>
      <w:r>
        <w:rPr>
          <w:rFonts w:hint="eastAsia" w:ascii="仿宋" w:hAnsi="仿宋" w:eastAsia="仿宋"/>
          <w:color w:val="auto"/>
          <w:sz w:val="32"/>
          <w:szCs w:val="32"/>
          <w:highlight w:val="none"/>
        </w:rPr>
        <w:t>。</w:t>
      </w:r>
    </w:p>
    <w:p w14:paraId="7C5B57FC">
      <w:pPr>
        <w:spacing w:line="600" w:lineRule="exact"/>
        <w:ind w:firstLine="640"/>
        <w:outlineLvl w:val="1"/>
        <w:rPr>
          <w:rStyle w:val="28"/>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36"/>
      <w:bookmarkEnd w:id="37"/>
    </w:p>
    <w:p w14:paraId="61837599">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14:paraId="0B13EA87">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决算数与预算数持平</w:t>
      </w:r>
      <w:r>
        <w:rPr>
          <w:rFonts w:hint="eastAsia" w:ascii="仿宋" w:hAnsi="仿宋" w:eastAsia="仿宋"/>
          <w:color w:val="auto"/>
          <w:sz w:val="32"/>
          <w:szCs w:val="32"/>
          <w:highlight w:val="none"/>
        </w:rPr>
        <w:t>。</w:t>
      </w:r>
    </w:p>
    <w:p w14:paraId="25CDB858">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14:paraId="25C38019">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533B0A53">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全年安排因公出国（境）团组0次，出国（境）0人。因公出国（境）支出决算较上年无变化。</w:t>
      </w:r>
    </w:p>
    <w:p w14:paraId="5134616C">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 年初未安排预算。公务用车购置及运行维护费支出决算较上年无变化。</w:t>
      </w:r>
    </w:p>
    <w:p w14:paraId="41EF7172">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0万元。全年按规定更新购置公务用车0辆。截至2023年</w:t>
      </w:r>
      <w:r>
        <w:rPr>
          <w:rFonts w:ascii="仿宋_GB2312" w:eastAsia="仿宋_GB2312"/>
          <w:sz w:val="32"/>
          <w:szCs w:val="32"/>
        </w:rPr>
        <w:t>12</w:t>
      </w:r>
      <w:r>
        <w:rPr>
          <w:rFonts w:hint="eastAsia" w:ascii="仿宋_GB2312" w:eastAsia="仿宋_GB2312"/>
          <w:sz w:val="32"/>
          <w:szCs w:val="32"/>
        </w:rPr>
        <w:t>月31日，单位共有公务用车0辆。</w:t>
      </w:r>
    </w:p>
    <w:p w14:paraId="0B29CD7B">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38C85A9D">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公务接待费支出决算较上年无变化</w:t>
      </w:r>
      <w:r>
        <w:rPr>
          <w:rStyle w:val="17"/>
          <w:rFonts w:hint="eastAsia" w:ascii="仿宋" w:hAnsi="仿宋" w:eastAsia="仿宋"/>
          <w:b w:val="0"/>
          <w:bCs/>
          <w:sz w:val="32"/>
          <w:szCs w:val="32"/>
        </w:rPr>
        <w:t>。</w:t>
      </w:r>
    </w:p>
    <w:p w14:paraId="610147D5">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14:paraId="3D3734AE">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p>
    <w:p w14:paraId="10E83041">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p>
    <w:p w14:paraId="6E903AB6">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2023年度政府性基金预算财政拨款支出0万元。</w:t>
      </w:r>
    </w:p>
    <w:p w14:paraId="2A128750">
      <w:pPr>
        <w:spacing w:line="600" w:lineRule="exact"/>
        <w:ind w:firstLine="640"/>
        <w:rPr>
          <w:rFonts w:ascii="仿宋_GB2312" w:eastAsia="仿宋_GB2312"/>
          <w:sz w:val="32"/>
          <w:szCs w:val="32"/>
        </w:rPr>
      </w:pPr>
    </w:p>
    <w:p w14:paraId="6F6F1DEE">
      <w:pPr>
        <w:spacing w:line="600" w:lineRule="exact"/>
        <w:ind w:firstLine="640" w:firstLineChars="200"/>
        <w:outlineLvl w:val="1"/>
        <w:rPr>
          <w:rStyle w:val="28"/>
          <w:rFonts w:ascii="黑体" w:hAnsi="黑体" w:eastAsia="黑体"/>
          <w:b w:val="0"/>
        </w:rPr>
      </w:pPr>
      <w:r>
        <w:rPr>
          <w:rStyle w:val="28"/>
          <w:rFonts w:hint="eastAsia" w:ascii="黑体" w:hAnsi="黑体" w:eastAsia="黑体"/>
          <w:b w:val="0"/>
        </w:rPr>
        <w:t>九、国有资本经营预算支出决算情况说明</w:t>
      </w:r>
    </w:p>
    <w:p w14:paraId="1FE0CDAF">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2023年度国有资本经营预算财政拨款支出0万元。</w:t>
      </w:r>
    </w:p>
    <w:p w14:paraId="042A5A31">
      <w:pPr>
        <w:spacing w:line="580" w:lineRule="exact"/>
        <w:ind w:firstLine="880" w:firstLineChars="200"/>
        <w:jc w:val="center"/>
        <w:rPr>
          <w:rFonts w:ascii="方正小标宋简体" w:hAnsi="方正小标宋简体" w:eastAsia="方正小标宋简体" w:cs="方正小标宋简体"/>
          <w:sz w:val="44"/>
          <w:szCs w:val="44"/>
        </w:rPr>
      </w:pPr>
    </w:p>
    <w:p w14:paraId="701B8EAB">
      <w:pPr>
        <w:spacing w:line="600" w:lineRule="exact"/>
        <w:ind w:firstLine="640" w:firstLineChars="200"/>
        <w:outlineLvl w:val="1"/>
        <w:rPr>
          <w:rStyle w:val="28"/>
          <w:rFonts w:hint="eastAsia" w:ascii="黑体" w:hAnsi="黑体" w:eastAsia="黑体"/>
          <w:b w:val="0"/>
        </w:rPr>
      </w:pPr>
      <w:r>
        <w:rPr>
          <w:rStyle w:val="28"/>
          <w:rFonts w:hint="eastAsia" w:ascii="黑体" w:hAnsi="黑体" w:eastAsia="黑体"/>
          <w:b w:val="0"/>
        </w:rPr>
        <w:t>十、其他重要事项的情况说明</w:t>
      </w:r>
    </w:p>
    <w:p w14:paraId="38D07A41">
      <w:pPr>
        <w:spacing w:line="600" w:lineRule="exact"/>
        <w:ind w:firstLine="643" w:firstLineChars="200"/>
        <w:outlineLvl w:val="2"/>
        <w:rPr>
          <w:rFonts w:ascii="仿宋" w:hAnsi="仿宋" w:eastAsia="仿宋"/>
          <w:sz w:val="32"/>
          <w:szCs w:val="32"/>
        </w:rPr>
      </w:pPr>
      <w:r>
        <w:rPr>
          <w:rFonts w:hint="eastAsia" w:ascii="仿宋" w:hAnsi="仿宋" w:eastAsia="仿宋"/>
          <w:b/>
          <w:sz w:val="32"/>
          <w:szCs w:val="32"/>
        </w:rPr>
        <w:t>（一）机关运行经费支出情况</w:t>
      </w:r>
    </w:p>
    <w:p w14:paraId="2352B0D3">
      <w:pPr>
        <w:pStyle w:val="2"/>
        <w:spacing w:before="72"/>
        <w:ind w:firstLine="627" w:firstLineChars="196"/>
      </w:pPr>
      <w:r>
        <w:rPr>
          <w:rFonts w:hint="eastAsia" w:ascii="仿宋_GB2312" w:eastAsia="仿宋_GB2312"/>
          <w:sz w:val="32"/>
          <w:szCs w:val="32"/>
        </w:rPr>
        <w:t>2023年度，本单位机关运行经费支出0万元，</w:t>
      </w:r>
      <w:r>
        <w:rPr>
          <w:rFonts w:hint="eastAsia" w:ascii="仿宋" w:hAnsi="仿宋" w:eastAsia="仿宋" w:cs="仿宋"/>
          <w:color w:val="000000"/>
          <w:sz w:val="32"/>
          <w:szCs w:val="32"/>
        </w:rPr>
        <w:t>与2022年决算数持平。</w:t>
      </w:r>
    </w:p>
    <w:p w14:paraId="502ED23F">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14:paraId="27E5A07E">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2023年度，本单位政府采购支出总额0万元。</w:t>
      </w:r>
    </w:p>
    <w:p w14:paraId="75E5C0F1">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p>
    <w:p w14:paraId="3924B297">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w:t>
      </w:r>
      <w:r>
        <w:rPr>
          <w:rFonts w:hint="eastAsia" w:ascii="仿宋_GB2312" w:eastAsia="仿宋_GB2312"/>
          <w:sz w:val="32"/>
          <w:szCs w:val="32"/>
          <w:lang w:val="en-US" w:eastAsia="zh-CN"/>
        </w:rPr>
        <w:t>利州区江北小学</w:t>
      </w:r>
      <w:r>
        <w:rPr>
          <w:rFonts w:hint="eastAsia" w:ascii="仿宋_GB2312" w:eastAsia="仿宋_GB2312"/>
          <w:sz w:val="32"/>
          <w:szCs w:val="32"/>
        </w:rPr>
        <w:t>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万元以上专用设备（不含车辆）0台（套）。</w:t>
      </w:r>
    </w:p>
    <w:p w14:paraId="0743EE16">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3C68CE37">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w:t>
      </w:r>
      <w:r>
        <w:rPr>
          <w:rFonts w:hint="eastAsia"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年度预算编制阶段，组织对义务教育发展专项项目等</w:t>
      </w:r>
      <w:r>
        <w:rPr>
          <w:rFonts w:hint="eastAsia"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个项目开展了预算事前绩效评估，对义务教育发展专项项目等</w:t>
      </w:r>
      <w:r>
        <w:rPr>
          <w:rFonts w:hint="eastAsia"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个项目编制了绩效目标，预算执行过程中，选取义务教育发展专项项目等</w:t>
      </w:r>
      <w:r>
        <w:rPr>
          <w:rFonts w:hint="eastAsia"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个项目开展绩效监控，组织对义务教育发展专项项目等</w:t>
      </w:r>
      <w:r>
        <w:rPr>
          <w:rFonts w:hint="eastAsia"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个项目开展绩效自评</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绩效自评表详见附件</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0935AFFD">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7B9BCE11">
      <w:pPr>
        <w:numPr>
          <w:ilvl w:val="0"/>
          <w:numId w:val="3"/>
        </w:numPr>
        <w:spacing w:line="600" w:lineRule="exact"/>
        <w:ind w:firstLine="660" w:firstLineChars="150"/>
        <w:jc w:val="center"/>
        <w:outlineLvl w:val="0"/>
        <w:rPr>
          <w:rStyle w:val="27"/>
          <w:rFonts w:ascii="黑体" w:hAnsi="黑体" w:eastAsia="黑体"/>
          <w:b w:val="0"/>
          <w:color w:val="auto"/>
          <w:highlight w:val="none"/>
        </w:rPr>
      </w:pPr>
      <w:bookmarkStart w:id="40" w:name="_Toc15377225"/>
      <w:bookmarkStart w:id="41" w:name="_Toc15396613"/>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40"/>
      <w:bookmarkEnd w:id="41"/>
    </w:p>
    <w:p w14:paraId="2DCB1F50">
      <w:pPr>
        <w:spacing w:line="600" w:lineRule="exact"/>
        <w:jc w:val="left"/>
        <w:rPr>
          <w:rFonts w:ascii="宋体"/>
          <w:b/>
          <w:color w:val="auto"/>
          <w:sz w:val="44"/>
          <w:szCs w:val="44"/>
          <w:highlight w:val="none"/>
        </w:rPr>
      </w:pPr>
    </w:p>
    <w:p w14:paraId="0F660A4B">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4FBC321F">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事业收入：指事业单位开展专业业务活动及辅助活动取得的收入。如保教费、住宿费等。</w:t>
      </w:r>
    </w:p>
    <w:p w14:paraId="0CA1CFD9">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eastAsia="zh-CN"/>
        </w:rPr>
        <w:t>课后服务费、利息</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14:paraId="37666F74">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 xml:space="preserve">.教育（类）普通教育（款）学前教育（项）: </w:t>
      </w:r>
      <w:r>
        <w:rPr>
          <w:rFonts w:hint="eastAsia" w:ascii="仿宋_GB2312" w:eastAsia="仿宋_GB2312"/>
          <w:color w:val="auto"/>
          <w:sz w:val="32"/>
          <w:szCs w:val="32"/>
          <w:highlight w:val="none"/>
          <w:lang w:eastAsia="zh-CN"/>
        </w:rPr>
        <w:t>主要是学前教育各项经费支出</w:t>
      </w:r>
      <w:r>
        <w:rPr>
          <w:rFonts w:hint="eastAsia" w:ascii="仿宋_GB2312" w:eastAsia="仿宋_GB2312"/>
          <w:color w:val="auto"/>
          <w:sz w:val="32"/>
          <w:szCs w:val="32"/>
          <w:highlight w:val="none"/>
        </w:rPr>
        <w:t>。</w:t>
      </w:r>
    </w:p>
    <w:p w14:paraId="3E2D57C9">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.教育（类）普通教育（款）小学教育（项）:  主要是</w:t>
      </w:r>
      <w:r>
        <w:rPr>
          <w:rFonts w:hint="eastAsia" w:ascii="仿宋_GB2312" w:eastAsia="仿宋_GB2312"/>
          <w:color w:val="auto"/>
          <w:sz w:val="32"/>
          <w:szCs w:val="32"/>
          <w:highlight w:val="none"/>
          <w:lang w:eastAsia="zh-CN"/>
        </w:rPr>
        <w:t>小学</w:t>
      </w:r>
      <w:r>
        <w:rPr>
          <w:rFonts w:hint="eastAsia" w:ascii="仿宋_GB2312" w:eastAsia="仿宋_GB2312"/>
          <w:color w:val="auto"/>
          <w:sz w:val="32"/>
          <w:szCs w:val="32"/>
          <w:highlight w:val="none"/>
        </w:rPr>
        <w:t>教育各项经费支出。</w:t>
      </w:r>
    </w:p>
    <w:p w14:paraId="775B8529">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.教育（类）普通教育（款）初中教育（项）:  主要是</w:t>
      </w:r>
      <w:r>
        <w:rPr>
          <w:rFonts w:hint="eastAsia" w:ascii="仿宋_GB2312" w:eastAsia="仿宋_GB2312"/>
          <w:color w:val="auto"/>
          <w:sz w:val="32"/>
          <w:szCs w:val="32"/>
          <w:highlight w:val="none"/>
          <w:lang w:eastAsia="zh-CN"/>
        </w:rPr>
        <w:t>初中</w:t>
      </w:r>
      <w:r>
        <w:rPr>
          <w:rFonts w:hint="eastAsia" w:ascii="仿宋_GB2312" w:eastAsia="仿宋_GB2312"/>
          <w:color w:val="auto"/>
          <w:sz w:val="32"/>
          <w:szCs w:val="32"/>
          <w:highlight w:val="none"/>
        </w:rPr>
        <w:t>教育各项经费支出。</w:t>
      </w:r>
    </w:p>
    <w:p w14:paraId="232D2940">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 xml:space="preserve">.教育（类）普通教育（款）其他教育支出（项）:  </w:t>
      </w:r>
      <w:r>
        <w:rPr>
          <w:rFonts w:hint="eastAsia" w:ascii="仿宋_GB2312" w:eastAsia="仿宋_GB2312"/>
          <w:color w:val="auto"/>
          <w:sz w:val="32"/>
          <w:szCs w:val="32"/>
          <w:highlight w:val="none"/>
          <w:lang w:eastAsia="zh-CN"/>
        </w:rPr>
        <w:t>主要是其他教育各项经费支出</w:t>
      </w:r>
      <w:r>
        <w:rPr>
          <w:rFonts w:hint="eastAsia" w:ascii="仿宋_GB2312" w:eastAsia="仿宋_GB2312"/>
          <w:color w:val="auto"/>
          <w:sz w:val="32"/>
          <w:szCs w:val="32"/>
          <w:highlight w:val="none"/>
        </w:rPr>
        <w:t>。</w:t>
      </w:r>
    </w:p>
    <w:p w14:paraId="5FE10629">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 xml:space="preserve">.社会保障和就业（类）行政事业单位养老支出（款）事业单位离退休（项）:  </w:t>
      </w:r>
      <w:r>
        <w:rPr>
          <w:rFonts w:hint="eastAsia" w:ascii="仿宋_GB2312" w:eastAsia="仿宋_GB2312"/>
          <w:color w:val="auto"/>
          <w:sz w:val="32"/>
          <w:szCs w:val="32"/>
          <w:highlight w:val="none"/>
          <w:lang w:eastAsia="zh-CN"/>
        </w:rPr>
        <w:t>主要是退休中人一次性补助经费支出</w:t>
      </w:r>
      <w:r>
        <w:rPr>
          <w:rFonts w:hint="eastAsia" w:ascii="仿宋_GB2312" w:eastAsia="仿宋_GB2312"/>
          <w:color w:val="auto"/>
          <w:sz w:val="32"/>
          <w:szCs w:val="32"/>
          <w:highlight w:val="none"/>
        </w:rPr>
        <w:t>。</w:t>
      </w:r>
    </w:p>
    <w:p w14:paraId="1BE8ACA7">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 xml:space="preserve">.社会保障和就业（类）行政事业单位养老支出（款）机关事业单位基本养老保险缴费支出（项）:  </w:t>
      </w:r>
      <w:r>
        <w:rPr>
          <w:rFonts w:hint="eastAsia" w:ascii="仿宋_GB2312" w:eastAsia="仿宋_GB2312"/>
          <w:color w:val="auto"/>
          <w:sz w:val="32"/>
          <w:szCs w:val="32"/>
          <w:highlight w:val="none"/>
          <w:lang w:eastAsia="zh-CN"/>
        </w:rPr>
        <w:t>主要是养老保险经费支出</w:t>
      </w:r>
      <w:r>
        <w:rPr>
          <w:rFonts w:hint="eastAsia" w:ascii="仿宋_GB2312" w:eastAsia="仿宋_GB2312"/>
          <w:color w:val="auto"/>
          <w:sz w:val="32"/>
          <w:szCs w:val="32"/>
          <w:highlight w:val="none"/>
        </w:rPr>
        <w:t>。</w:t>
      </w:r>
    </w:p>
    <w:p w14:paraId="21533C38">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 xml:space="preserve">.社会保障和就业（类）行政事业单位养老支出（款）机关事业单位职业年金缴费支出（项）:  </w:t>
      </w:r>
      <w:r>
        <w:rPr>
          <w:rFonts w:hint="eastAsia" w:ascii="仿宋_GB2312" w:eastAsia="仿宋_GB2312"/>
          <w:color w:val="auto"/>
          <w:sz w:val="32"/>
          <w:szCs w:val="32"/>
          <w:highlight w:val="none"/>
          <w:lang w:eastAsia="zh-CN"/>
        </w:rPr>
        <w:t>主要是退休人员职业年金做实经费支出</w:t>
      </w:r>
      <w:r>
        <w:rPr>
          <w:rFonts w:hint="eastAsia" w:ascii="仿宋_GB2312" w:eastAsia="仿宋_GB2312"/>
          <w:color w:val="auto"/>
          <w:sz w:val="32"/>
          <w:szCs w:val="32"/>
          <w:highlight w:val="none"/>
        </w:rPr>
        <w:t>。</w:t>
      </w:r>
    </w:p>
    <w:p w14:paraId="5E0C88BB">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 xml:space="preserve">.社会保障和就业（类）抚恤（款）死亡抚恤（项）:  </w:t>
      </w:r>
      <w:r>
        <w:rPr>
          <w:rFonts w:hint="eastAsia" w:ascii="仿宋_GB2312" w:eastAsia="仿宋_GB2312"/>
          <w:color w:val="auto"/>
          <w:sz w:val="32"/>
          <w:szCs w:val="32"/>
          <w:highlight w:val="none"/>
          <w:lang w:eastAsia="zh-CN"/>
        </w:rPr>
        <w:t>主要是教师死亡抚恤经费支出</w:t>
      </w:r>
      <w:r>
        <w:rPr>
          <w:rFonts w:hint="eastAsia" w:ascii="仿宋_GB2312" w:eastAsia="仿宋_GB2312"/>
          <w:color w:val="auto"/>
          <w:sz w:val="32"/>
          <w:szCs w:val="32"/>
          <w:highlight w:val="none"/>
        </w:rPr>
        <w:t>。</w:t>
      </w:r>
    </w:p>
    <w:p w14:paraId="6C6A56F6">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 xml:space="preserve">.社会保障和就业（类）其他社会保障和就业支出（款）其他社会保障和就业支出（项）:  </w:t>
      </w:r>
      <w:r>
        <w:rPr>
          <w:rFonts w:hint="eastAsia" w:ascii="仿宋_GB2312" w:eastAsia="仿宋_GB2312"/>
          <w:color w:val="auto"/>
          <w:sz w:val="32"/>
          <w:szCs w:val="32"/>
          <w:highlight w:val="none"/>
          <w:lang w:eastAsia="zh-CN"/>
        </w:rPr>
        <w:t>主要是</w:t>
      </w:r>
      <w:r>
        <w:rPr>
          <w:rFonts w:hint="eastAsia" w:ascii="仿宋_GB2312" w:eastAsia="仿宋_GB2312"/>
          <w:color w:val="auto"/>
          <w:sz w:val="32"/>
          <w:szCs w:val="32"/>
          <w:highlight w:val="none"/>
        </w:rPr>
        <w:t>其他社会保障和就业支出。</w:t>
      </w:r>
    </w:p>
    <w:p w14:paraId="571AFD43">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.卫生健康（类）行政事业单位医疗（款）事业单位医疗（项）:</w:t>
      </w:r>
      <w:r>
        <w:rPr>
          <w:rFonts w:hint="eastAsia" w:ascii="仿宋_GB2312" w:eastAsia="仿宋_GB2312"/>
          <w:color w:val="auto"/>
          <w:sz w:val="32"/>
          <w:szCs w:val="32"/>
          <w:highlight w:val="none"/>
          <w:lang w:eastAsia="zh-CN"/>
        </w:rPr>
        <w:t>主要是</w:t>
      </w:r>
      <w:r>
        <w:rPr>
          <w:rFonts w:hint="eastAsia" w:ascii="仿宋_GB2312" w:eastAsia="仿宋_GB2312"/>
          <w:color w:val="auto"/>
          <w:sz w:val="32"/>
          <w:szCs w:val="32"/>
          <w:highlight w:val="none"/>
        </w:rPr>
        <w:t>事业单位医疗</w:t>
      </w:r>
      <w:r>
        <w:rPr>
          <w:rFonts w:hint="eastAsia" w:ascii="仿宋_GB2312" w:eastAsia="仿宋_GB2312"/>
          <w:color w:val="auto"/>
          <w:sz w:val="32"/>
          <w:szCs w:val="32"/>
          <w:highlight w:val="none"/>
          <w:lang w:eastAsia="zh-CN"/>
        </w:rPr>
        <w:t>保险费</w:t>
      </w:r>
      <w:r>
        <w:rPr>
          <w:rFonts w:hint="eastAsia" w:ascii="仿宋_GB2312" w:eastAsia="仿宋_GB2312"/>
          <w:color w:val="auto"/>
          <w:sz w:val="32"/>
          <w:szCs w:val="32"/>
          <w:highlight w:val="none"/>
        </w:rPr>
        <w:t>支出。</w:t>
      </w:r>
    </w:p>
    <w:p w14:paraId="3E27CDB8">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.卫生健康（类）其他卫生健康支出（款）其他卫生健康支出（项）:</w:t>
      </w:r>
      <w:r>
        <w:rPr>
          <w:rFonts w:hint="eastAsia" w:ascii="仿宋_GB2312" w:eastAsia="仿宋_GB2312"/>
          <w:color w:val="auto"/>
          <w:sz w:val="32"/>
          <w:szCs w:val="32"/>
          <w:highlight w:val="none"/>
          <w:lang w:eastAsia="zh-CN"/>
        </w:rPr>
        <w:t>主要是</w:t>
      </w:r>
      <w:r>
        <w:rPr>
          <w:rFonts w:hint="eastAsia" w:ascii="仿宋_GB2312" w:eastAsia="仿宋_GB2312"/>
          <w:color w:val="auto"/>
          <w:sz w:val="32"/>
          <w:szCs w:val="32"/>
          <w:highlight w:val="none"/>
        </w:rPr>
        <w:t>事业单位</w:t>
      </w:r>
      <w:r>
        <w:rPr>
          <w:rFonts w:hint="eastAsia" w:ascii="仿宋_GB2312" w:eastAsia="仿宋_GB2312"/>
          <w:color w:val="auto"/>
          <w:sz w:val="32"/>
          <w:szCs w:val="32"/>
          <w:highlight w:val="none"/>
          <w:lang w:eastAsia="zh-CN"/>
        </w:rPr>
        <w:t>校医工资</w:t>
      </w:r>
      <w:r>
        <w:rPr>
          <w:rFonts w:hint="eastAsia" w:ascii="仿宋_GB2312" w:eastAsia="仿宋_GB2312"/>
          <w:color w:val="auto"/>
          <w:sz w:val="32"/>
          <w:szCs w:val="32"/>
          <w:highlight w:val="none"/>
        </w:rPr>
        <w:t>支出。</w:t>
      </w:r>
    </w:p>
    <w:p w14:paraId="1FA80CF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.住房保障（类）住房改革支出（款）住房公积金（项）:</w:t>
      </w:r>
      <w:r>
        <w:rPr>
          <w:rFonts w:hint="eastAsia" w:ascii="仿宋_GB2312" w:eastAsia="仿宋_GB2312"/>
          <w:color w:val="auto"/>
          <w:sz w:val="32"/>
          <w:szCs w:val="32"/>
          <w:highlight w:val="none"/>
          <w:lang w:eastAsia="zh-CN"/>
        </w:rPr>
        <w:t>主要是</w:t>
      </w:r>
      <w:r>
        <w:rPr>
          <w:rFonts w:hint="eastAsia" w:ascii="仿宋_GB2312" w:eastAsia="仿宋_GB2312"/>
          <w:color w:val="auto"/>
          <w:sz w:val="32"/>
          <w:szCs w:val="32"/>
          <w:highlight w:val="none"/>
        </w:rPr>
        <w:t>事业单位</w:t>
      </w:r>
      <w:r>
        <w:rPr>
          <w:rFonts w:hint="eastAsia" w:ascii="仿宋_GB2312" w:eastAsia="仿宋_GB2312"/>
          <w:color w:val="auto"/>
          <w:sz w:val="32"/>
          <w:szCs w:val="32"/>
          <w:highlight w:val="none"/>
          <w:lang w:eastAsia="zh-CN"/>
        </w:rPr>
        <w:t>住房公积金费</w:t>
      </w:r>
      <w:r>
        <w:rPr>
          <w:rFonts w:hint="eastAsia" w:ascii="仿宋_GB2312" w:eastAsia="仿宋_GB2312"/>
          <w:color w:val="auto"/>
          <w:sz w:val="32"/>
          <w:szCs w:val="32"/>
          <w:highlight w:val="none"/>
        </w:rPr>
        <w:t>支出。</w:t>
      </w:r>
    </w:p>
    <w:p w14:paraId="2D6142B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5A13C78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47A2FCED">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7E6FE82">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4B411B7">
      <w:pPr>
        <w:spacing w:line="600" w:lineRule="exact"/>
        <w:jc w:val="left"/>
        <w:outlineLvl w:val="0"/>
        <w:rPr>
          <w:rFonts w:hint="eastAsia" w:ascii="仿宋_GB2312" w:eastAsia="仿宋_GB2312"/>
          <w:color w:val="000000"/>
          <w:sz w:val="32"/>
          <w:szCs w:val="32"/>
        </w:rPr>
      </w:pPr>
      <w:r>
        <w:rPr>
          <w:rFonts w:hint="eastAsia" w:ascii="仿宋_GB2312" w:eastAsia="仿宋_GB2312"/>
          <w:color w:val="auto"/>
          <w:sz w:val="32"/>
          <w:szCs w:val="32"/>
          <w:highlight w:val="none"/>
          <w:lang w:val="en-US" w:eastAsia="zh-CN"/>
        </w:rPr>
        <w:t xml:space="preserve">    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政府采购支出情况</w:t>
      </w:r>
      <w:r>
        <w:rPr>
          <w:rFonts w:hint="eastAsia" w:ascii="仿宋_GB2312" w:eastAsia="仿宋_GB2312"/>
          <w:color w:val="auto"/>
          <w:sz w:val="32"/>
          <w:szCs w:val="32"/>
          <w:highlight w:val="none"/>
          <w:lang w:eastAsia="zh-CN"/>
        </w:rPr>
        <w:t>：指单位用一般公共预算资金通过政府采购网采购的支出</w:t>
      </w:r>
      <w:r>
        <w:rPr>
          <w:rFonts w:hint="eastAsia" w:ascii="仿宋_GB2312" w:eastAsia="仿宋_GB2312"/>
          <w:color w:val="auto"/>
          <w:sz w:val="32"/>
          <w:szCs w:val="32"/>
          <w:highlight w:val="none"/>
        </w:rPr>
        <w:t>。</w:t>
      </w:r>
    </w:p>
    <w:p w14:paraId="4997C00C">
      <w:pPr>
        <w:spacing w:line="520" w:lineRule="exact"/>
        <w:ind w:firstLine="640" w:firstLineChars="200"/>
        <w:rPr>
          <w:rFonts w:ascii="仿宋" w:hAnsi="仿宋" w:eastAsia="仿宋" w:cs="仿宋"/>
          <w:sz w:val="32"/>
          <w:szCs w:val="32"/>
        </w:rPr>
      </w:pPr>
    </w:p>
    <w:p w14:paraId="72CD197A">
      <w:pPr>
        <w:spacing w:line="600" w:lineRule="exact"/>
        <w:jc w:val="center"/>
        <w:outlineLvl w:val="0"/>
        <w:rPr>
          <w:rStyle w:val="27"/>
          <w:rFonts w:ascii="黑体" w:hAnsi="黑体" w:eastAsia="黑体"/>
          <w:b w:val="0"/>
          <w:color w:val="auto"/>
          <w:highlight w:val="none"/>
        </w:rPr>
      </w:pPr>
      <w:bookmarkStart w:id="42" w:name="_Toc15377226"/>
      <w:r>
        <w:rPr>
          <w:rFonts w:ascii="宋体"/>
          <w:b/>
          <w:color w:val="auto"/>
          <w:sz w:val="44"/>
          <w:szCs w:val="44"/>
          <w:highlight w:val="none"/>
        </w:rPr>
        <w:br w:type="page"/>
      </w:r>
      <w:bookmarkStart w:id="43" w:name="_Toc15396614"/>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43"/>
    </w:p>
    <w:p w14:paraId="332CF901">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14:paraId="127F7828">
      <w:pPr>
        <w:spacing w:line="600" w:lineRule="exact"/>
        <w:jc w:val="center"/>
        <w:outlineLvl w:val="0"/>
        <w:rPr>
          <w:rFonts w:hint="eastAsia" w:ascii="仿宋_GB2312" w:hAnsi="Calibri" w:eastAsia="仿宋_GB2312" w:cs="仿宋"/>
          <w:color w:val="auto"/>
          <w:kern w:val="0"/>
          <w:sz w:val="32"/>
          <w:szCs w:val="32"/>
          <w:highlight w:val="none"/>
          <w:lang w:val="en-US" w:eastAsia="zh-CN" w:bidi="ar-SA"/>
        </w:rPr>
      </w:pPr>
      <w:bookmarkStart w:id="44" w:name="_Toc15396618"/>
      <w:r>
        <w:rPr>
          <w:rFonts w:hint="eastAsia" w:ascii="宋体" w:hAnsi="宋体" w:eastAsia="宋体" w:cs="宋体"/>
          <w:color w:val="auto"/>
          <w:kern w:val="0"/>
          <w:sz w:val="32"/>
          <w:szCs w:val="32"/>
          <w:highlight w:val="none"/>
          <w:lang w:val="en-US" w:eastAsia="zh-CN" w:bidi="ar-SA"/>
        </w:rPr>
        <w:t>部门预算项目支出绩效自评表（</w:t>
      </w:r>
      <w:r>
        <w:rPr>
          <w:rFonts w:hint="eastAsia" w:ascii="宋体" w:hAnsi="宋体" w:cs="宋体"/>
          <w:color w:val="auto"/>
          <w:kern w:val="0"/>
          <w:sz w:val="32"/>
          <w:szCs w:val="32"/>
          <w:highlight w:val="none"/>
          <w:lang w:val="en-US" w:eastAsia="zh-CN" w:bidi="ar-SA"/>
        </w:rPr>
        <w:t>2023</w:t>
      </w:r>
      <w:r>
        <w:rPr>
          <w:rFonts w:hint="eastAsia" w:ascii="宋体" w:hAnsi="宋体" w:eastAsia="宋体" w:cs="宋体"/>
          <w:color w:val="auto"/>
          <w:kern w:val="0"/>
          <w:sz w:val="32"/>
          <w:szCs w:val="32"/>
          <w:highlight w:val="none"/>
          <w:lang w:val="en-US" w:eastAsia="zh-CN" w:bidi="ar-SA"/>
        </w:rPr>
        <w:t>年度）</w:t>
      </w:r>
    </w:p>
    <w:p w14:paraId="3109173B">
      <w:pPr>
        <w:pStyle w:val="2"/>
        <w:rPr>
          <w:rFonts w:hint="eastAsia" w:ascii="仿宋_GB2312" w:hAnsi="Calibri" w:eastAsia="仿宋_GB2312" w:cs="仿宋"/>
          <w:color w:val="auto"/>
          <w:kern w:val="0"/>
          <w:sz w:val="32"/>
          <w:szCs w:val="32"/>
          <w:highlight w:val="none"/>
          <w:lang w:val="en-US" w:eastAsia="zh-CN" w:bidi="ar-SA"/>
        </w:rPr>
      </w:pPr>
    </w:p>
    <w:p w14:paraId="2D050725">
      <w:pPr>
        <w:pStyle w:val="2"/>
        <w:rPr>
          <w:rFonts w:hint="eastAsia" w:ascii="仿宋_GB2312" w:hAnsi="Calibri" w:eastAsia="仿宋_GB2312" w:cs="仿宋"/>
          <w:color w:val="auto"/>
          <w:kern w:val="0"/>
          <w:sz w:val="32"/>
          <w:szCs w:val="32"/>
          <w:highlight w:val="none"/>
          <w:lang w:val="en-US" w:eastAsia="zh-CN" w:bidi="ar-SA"/>
        </w:rPr>
      </w:pPr>
    </w:p>
    <w:p w14:paraId="1B6E504F">
      <w:pPr>
        <w:pStyle w:val="2"/>
        <w:rPr>
          <w:rFonts w:hint="eastAsia" w:ascii="仿宋_GB2312" w:hAnsi="Calibri" w:eastAsia="仿宋_GB2312" w:cs="仿宋"/>
          <w:color w:val="auto"/>
          <w:kern w:val="0"/>
          <w:sz w:val="32"/>
          <w:szCs w:val="32"/>
          <w:highlight w:val="none"/>
          <w:lang w:val="en-US" w:eastAsia="zh-CN" w:bidi="ar-SA"/>
        </w:rPr>
      </w:pPr>
    </w:p>
    <w:p w14:paraId="5AF8734E">
      <w:pPr>
        <w:pStyle w:val="2"/>
        <w:rPr>
          <w:rFonts w:hint="eastAsia" w:ascii="仿宋_GB2312" w:hAnsi="Calibri" w:eastAsia="仿宋_GB2312" w:cs="仿宋"/>
          <w:color w:val="auto"/>
          <w:kern w:val="0"/>
          <w:sz w:val="32"/>
          <w:szCs w:val="32"/>
          <w:highlight w:val="none"/>
          <w:lang w:val="en-US" w:eastAsia="zh-CN" w:bidi="ar-SA"/>
        </w:rPr>
      </w:pPr>
    </w:p>
    <w:p w14:paraId="5FA33D97">
      <w:pPr>
        <w:pStyle w:val="2"/>
        <w:rPr>
          <w:rFonts w:hint="eastAsia" w:ascii="仿宋_GB2312" w:hAnsi="Calibri" w:eastAsia="仿宋_GB2312" w:cs="仿宋"/>
          <w:color w:val="auto"/>
          <w:kern w:val="0"/>
          <w:sz w:val="32"/>
          <w:szCs w:val="32"/>
          <w:highlight w:val="none"/>
          <w:lang w:val="en-US" w:eastAsia="zh-CN" w:bidi="ar-SA"/>
        </w:rPr>
      </w:pPr>
    </w:p>
    <w:p w14:paraId="3423FEF9">
      <w:pPr>
        <w:pStyle w:val="2"/>
        <w:rPr>
          <w:rFonts w:hint="eastAsia" w:ascii="仿宋_GB2312" w:hAnsi="Calibri" w:eastAsia="仿宋_GB2312" w:cs="仿宋"/>
          <w:color w:val="auto"/>
          <w:kern w:val="0"/>
          <w:sz w:val="32"/>
          <w:szCs w:val="32"/>
          <w:highlight w:val="none"/>
          <w:lang w:val="en-US" w:eastAsia="zh-CN" w:bidi="ar-SA"/>
        </w:rPr>
      </w:pPr>
    </w:p>
    <w:p w14:paraId="2797BC6D">
      <w:pPr>
        <w:pStyle w:val="2"/>
        <w:rPr>
          <w:rFonts w:hint="eastAsia" w:ascii="仿宋_GB2312" w:hAnsi="Calibri" w:eastAsia="仿宋_GB2312" w:cs="仿宋"/>
          <w:color w:val="auto"/>
          <w:kern w:val="0"/>
          <w:sz w:val="32"/>
          <w:szCs w:val="32"/>
          <w:highlight w:val="none"/>
          <w:lang w:val="en-US" w:eastAsia="zh-CN" w:bidi="ar-SA"/>
        </w:rPr>
      </w:pPr>
    </w:p>
    <w:p w14:paraId="20824FB0">
      <w:pPr>
        <w:pStyle w:val="2"/>
        <w:rPr>
          <w:rFonts w:hint="eastAsia" w:ascii="仿宋_GB2312" w:hAnsi="Calibri" w:eastAsia="仿宋_GB2312" w:cs="仿宋"/>
          <w:color w:val="auto"/>
          <w:kern w:val="0"/>
          <w:sz w:val="32"/>
          <w:szCs w:val="32"/>
          <w:highlight w:val="none"/>
          <w:lang w:val="en-US" w:eastAsia="zh-CN" w:bidi="ar-SA"/>
        </w:rPr>
      </w:pPr>
    </w:p>
    <w:p w14:paraId="0EBEE0B4">
      <w:pPr>
        <w:pStyle w:val="2"/>
        <w:rPr>
          <w:rFonts w:hint="eastAsia" w:ascii="仿宋_GB2312" w:hAnsi="Calibri" w:eastAsia="仿宋_GB2312" w:cs="仿宋"/>
          <w:color w:val="auto"/>
          <w:kern w:val="0"/>
          <w:sz w:val="32"/>
          <w:szCs w:val="32"/>
          <w:highlight w:val="none"/>
          <w:lang w:val="en-US" w:eastAsia="zh-CN" w:bidi="ar-SA"/>
        </w:rPr>
      </w:pPr>
    </w:p>
    <w:p w14:paraId="41F9D0A4">
      <w:pPr>
        <w:pStyle w:val="2"/>
        <w:rPr>
          <w:rFonts w:hint="eastAsia" w:ascii="仿宋_GB2312" w:hAnsi="Calibri" w:eastAsia="仿宋_GB2312" w:cs="仿宋"/>
          <w:color w:val="auto"/>
          <w:kern w:val="0"/>
          <w:sz w:val="32"/>
          <w:szCs w:val="32"/>
          <w:highlight w:val="none"/>
          <w:lang w:val="en-US" w:eastAsia="zh-CN" w:bidi="ar-SA"/>
        </w:rPr>
      </w:pPr>
    </w:p>
    <w:p w14:paraId="6E21701E">
      <w:pPr>
        <w:pStyle w:val="2"/>
        <w:rPr>
          <w:rFonts w:hint="eastAsia" w:ascii="仿宋_GB2312" w:hAnsi="Calibri" w:eastAsia="仿宋_GB2312" w:cs="仿宋"/>
          <w:color w:val="auto"/>
          <w:kern w:val="0"/>
          <w:sz w:val="32"/>
          <w:szCs w:val="32"/>
          <w:highlight w:val="none"/>
          <w:lang w:val="en-US" w:eastAsia="zh-CN" w:bidi="ar-SA"/>
        </w:rPr>
      </w:pPr>
    </w:p>
    <w:p w14:paraId="1537D8B4">
      <w:pPr>
        <w:pStyle w:val="2"/>
        <w:rPr>
          <w:rFonts w:hint="eastAsia" w:ascii="仿宋_GB2312" w:hAnsi="Calibri" w:eastAsia="仿宋_GB2312" w:cs="仿宋"/>
          <w:color w:val="auto"/>
          <w:kern w:val="0"/>
          <w:sz w:val="32"/>
          <w:szCs w:val="32"/>
          <w:highlight w:val="none"/>
          <w:lang w:val="en-US" w:eastAsia="zh-CN" w:bidi="ar-SA"/>
        </w:rPr>
      </w:pPr>
    </w:p>
    <w:p w14:paraId="1B3A554F">
      <w:pPr>
        <w:pStyle w:val="2"/>
        <w:rPr>
          <w:rFonts w:hint="eastAsia" w:ascii="仿宋_GB2312" w:hAnsi="Calibri" w:eastAsia="仿宋_GB2312" w:cs="仿宋"/>
          <w:color w:val="auto"/>
          <w:kern w:val="0"/>
          <w:sz w:val="32"/>
          <w:szCs w:val="32"/>
          <w:highlight w:val="none"/>
          <w:lang w:val="en-US" w:eastAsia="zh-CN" w:bidi="ar-SA"/>
        </w:rPr>
      </w:pPr>
    </w:p>
    <w:p w14:paraId="4394D0AB">
      <w:pPr>
        <w:pStyle w:val="2"/>
        <w:rPr>
          <w:rFonts w:hint="eastAsia" w:ascii="仿宋_GB2312" w:hAnsi="Calibri" w:eastAsia="仿宋_GB2312" w:cs="仿宋"/>
          <w:color w:val="auto"/>
          <w:kern w:val="0"/>
          <w:sz w:val="32"/>
          <w:szCs w:val="32"/>
          <w:highlight w:val="none"/>
          <w:lang w:val="en-US" w:eastAsia="zh-CN" w:bidi="ar-SA"/>
        </w:rPr>
      </w:pPr>
    </w:p>
    <w:p w14:paraId="4A71922E">
      <w:pPr>
        <w:pStyle w:val="2"/>
        <w:rPr>
          <w:rFonts w:hint="eastAsia" w:ascii="仿宋_GB2312" w:hAnsi="Calibri" w:eastAsia="仿宋_GB2312" w:cs="仿宋"/>
          <w:color w:val="auto"/>
          <w:kern w:val="0"/>
          <w:sz w:val="32"/>
          <w:szCs w:val="32"/>
          <w:highlight w:val="none"/>
          <w:lang w:val="en-US" w:eastAsia="zh-CN" w:bidi="ar-SA"/>
        </w:rPr>
      </w:pPr>
    </w:p>
    <w:p w14:paraId="450B1C31">
      <w:pPr>
        <w:pStyle w:val="2"/>
        <w:rPr>
          <w:rFonts w:hint="eastAsia" w:ascii="仿宋_GB2312" w:hAnsi="Calibri" w:eastAsia="仿宋_GB2312" w:cs="仿宋"/>
          <w:color w:val="auto"/>
          <w:kern w:val="0"/>
          <w:sz w:val="32"/>
          <w:szCs w:val="32"/>
          <w:highlight w:val="none"/>
          <w:lang w:val="en-US" w:eastAsia="zh-CN" w:bidi="ar-SA"/>
        </w:rPr>
      </w:pPr>
    </w:p>
    <w:p w14:paraId="1692E844">
      <w:pPr>
        <w:pStyle w:val="2"/>
        <w:rPr>
          <w:rFonts w:hint="eastAsia" w:ascii="仿宋_GB2312" w:hAnsi="Calibri" w:eastAsia="仿宋_GB2312" w:cs="仿宋"/>
          <w:color w:val="auto"/>
          <w:kern w:val="0"/>
          <w:sz w:val="32"/>
          <w:szCs w:val="32"/>
          <w:highlight w:val="none"/>
          <w:lang w:val="en-US" w:eastAsia="zh-CN" w:bidi="ar-SA"/>
        </w:rPr>
      </w:pPr>
    </w:p>
    <w:p w14:paraId="76566C06">
      <w:pPr>
        <w:spacing w:line="600" w:lineRule="exact"/>
        <w:jc w:val="center"/>
        <w:outlineLvl w:val="0"/>
        <w:rPr>
          <w:rFonts w:hint="eastAsia" w:ascii="黑体" w:hAnsi="黑体" w:eastAsia="黑体"/>
          <w:color w:val="auto"/>
          <w:sz w:val="44"/>
          <w:szCs w:val="44"/>
          <w:highlight w:val="none"/>
        </w:rPr>
      </w:pPr>
    </w:p>
    <w:bookmarkEnd w:id="42"/>
    <w:bookmarkEnd w:id="44"/>
    <w:p w14:paraId="3CC83B29">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p>
    <w:p w14:paraId="0FE09D7B">
      <w:pPr>
        <w:pStyle w:val="4"/>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p>
    <w:p w14:paraId="2C2DA54E">
      <w:pPr>
        <w:pStyle w:val="4"/>
        <w:rPr>
          <w:rFonts w:ascii="仿宋" w:hAnsi="仿宋" w:eastAsia="仿宋"/>
          <w:color w:val="auto"/>
          <w:highlight w:val="none"/>
        </w:rPr>
      </w:pPr>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p>
    <w:p w14:paraId="10BB33D9">
      <w:pPr>
        <w:pStyle w:val="4"/>
        <w:rPr>
          <w:rFonts w:ascii="仿宋" w:hAnsi="仿宋" w:eastAsia="仿宋"/>
          <w:color w:val="auto"/>
          <w:highlight w:val="none"/>
        </w:rPr>
      </w:pPr>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p>
    <w:p w14:paraId="680A2A79">
      <w:pPr>
        <w:pStyle w:val="4"/>
        <w:rPr>
          <w:rFonts w:ascii="仿宋" w:hAnsi="仿宋" w:eastAsia="仿宋"/>
          <w:b w:val="0"/>
          <w:color w:val="auto"/>
          <w:highlight w:val="none"/>
        </w:rPr>
      </w:pPr>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p>
    <w:p w14:paraId="2E4BF0B8">
      <w:pPr>
        <w:pStyle w:val="4"/>
        <w:rPr>
          <w:rStyle w:val="28"/>
          <w:rFonts w:ascii="仿宋" w:hAnsi="仿宋" w:eastAsia="仿宋"/>
          <w:b w:val="0"/>
          <w:bCs w:val="0"/>
          <w:color w:val="auto"/>
          <w:highlight w:val="none"/>
        </w:rPr>
      </w:pPr>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p>
    <w:p w14:paraId="60ACD246">
      <w:pPr>
        <w:pStyle w:val="4"/>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p>
    <w:p w14:paraId="705A581C">
      <w:pPr>
        <w:pStyle w:val="4"/>
        <w:rPr>
          <w:rFonts w:ascii="仿宋" w:hAnsi="仿宋" w:eastAsia="仿宋"/>
          <w:color w:val="auto"/>
          <w:highlight w:val="none"/>
        </w:rPr>
      </w:pPr>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p>
    <w:p w14:paraId="23FCDB31">
      <w:pPr>
        <w:pStyle w:val="4"/>
        <w:rPr>
          <w:rFonts w:ascii="仿宋" w:hAnsi="仿宋" w:eastAsia="仿宋"/>
          <w:color w:val="auto"/>
          <w:highlight w:val="none"/>
        </w:rPr>
      </w:pPr>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p>
    <w:p w14:paraId="14D86530">
      <w:pPr>
        <w:pStyle w:val="4"/>
        <w:rPr>
          <w:rFonts w:ascii="仿宋" w:hAnsi="仿宋" w:eastAsia="仿宋"/>
          <w:color w:val="auto"/>
          <w:highlight w:val="none"/>
        </w:rPr>
      </w:pPr>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p>
    <w:p w14:paraId="3E4395ED">
      <w:pPr>
        <w:pStyle w:val="4"/>
        <w:rPr>
          <w:rFonts w:ascii="仿宋" w:hAnsi="仿宋" w:eastAsia="仿宋"/>
          <w:color w:val="auto"/>
          <w:highlight w:val="none"/>
        </w:rPr>
      </w:pPr>
      <w:r>
        <w:rPr>
          <w:rStyle w:val="28"/>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p>
    <w:p w14:paraId="08F26621">
      <w:pPr>
        <w:pStyle w:val="4"/>
        <w:rPr>
          <w:rFonts w:ascii="仿宋" w:hAnsi="仿宋" w:eastAsia="仿宋"/>
          <w:color w:val="auto"/>
          <w:highlight w:val="none"/>
        </w:rPr>
      </w:pPr>
      <w:r>
        <w:rPr>
          <w:rStyle w:val="28"/>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p>
    <w:p w14:paraId="1CA622E0">
      <w:pPr>
        <w:pStyle w:val="4"/>
        <w:rPr>
          <w:rFonts w:ascii="仿宋" w:hAnsi="仿宋" w:eastAsia="仿宋"/>
          <w:color w:val="auto"/>
          <w:highlight w:val="none"/>
        </w:rPr>
      </w:pPr>
      <w:r>
        <w:rPr>
          <w:rStyle w:val="28"/>
          <w:rFonts w:hint="eastAsia" w:ascii="仿宋" w:hAnsi="仿宋" w:eastAsia="仿宋"/>
          <w:b w:val="0"/>
          <w:bCs w:val="0"/>
          <w:color w:val="auto"/>
          <w:highlight w:val="none"/>
        </w:rPr>
        <w:t>十二、</w:t>
      </w:r>
      <w:r>
        <w:rPr>
          <w:rStyle w:val="28"/>
          <w:rFonts w:hint="eastAsia" w:ascii="仿宋" w:hAnsi="仿宋" w:eastAsia="仿宋"/>
          <w:b w:val="0"/>
          <w:bCs w:val="0"/>
          <w:color w:val="auto"/>
          <w:highlight w:val="none"/>
          <w:lang w:eastAsia="zh-CN"/>
        </w:rPr>
        <w:t>国有资本经营预算财政拨款支出决算表</w:t>
      </w:r>
    </w:p>
    <w:p w14:paraId="5904E60C">
      <w:pPr>
        <w:pStyle w:val="4"/>
        <w:rPr>
          <w:rFonts w:hint="eastAsia" w:eastAsia="仿宋"/>
          <w:color w:val="auto"/>
          <w:highlight w:val="none"/>
          <w:lang w:eastAsia="zh-CN"/>
        </w:rPr>
      </w:pPr>
      <w:r>
        <w:rPr>
          <w:rStyle w:val="28"/>
          <w:rFonts w:hint="eastAsia" w:ascii="仿宋" w:hAnsi="仿宋" w:eastAsia="仿宋"/>
          <w:b w:val="0"/>
          <w:bCs w:val="0"/>
          <w:color w:val="auto"/>
          <w:highlight w:val="none"/>
        </w:rPr>
        <w:t>十三、</w:t>
      </w:r>
      <w:r>
        <w:rPr>
          <w:rStyle w:val="28"/>
          <w:rFonts w:hint="eastAsia" w:ascii="仿宋" w:hAnsi="仿宋" w:eastAsia="仿宋"/>
          <w:b w:val="0"/>
          <w:bCs w:val="0"/>
          <w:color w:val="auto"/>
          <w:highlight w:val="none"/>
          <w:lang w:eastAsia="zh-CN"/>
        </w:rPr>
        <w:t>财政拨款“三公”经费支出决算表</w:t>
      </w:r>
    </w:p>
    <w:p w14:paraId="41ED4913">
      <w:pPr>
        <w:pStyle w:val="4"/>
        <w:rPr>
          <w:rFonts w:hint="eastAsia" w:eastAsia="仿宋"/>
          <w:color w:val="auto"/>
          <w:highlight w:val="none"/>
          <w:lang w:eastAsia="zh-CN"/>
        </w:rPr>
      </w:pPr>
    </w:p>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5100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238E2">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11238E2">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F1D6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91F7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F91F7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1FF0">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UwOWU0ZjRkYTk0N2U0ZDNhZTFlOTYxYzczO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0D0F79CA"/>
    <w:rsid w:val="10C055FF"/>
    <w:rsid w:val="111F02E9"/>
    <w:rsid w:val="118107EC"/>
    <w:rsid w:val="11A127D5"/>
    <w:rsid w:val="11DD6519"/>
    <w:rsid w:val="16BB723D"/>
    <w:rsid w:val="18015F3F"/>
    <w:rsid w:val="18D931A7"/>
    <w:rsid w:val="19782CB6"/>
    <w:rsid w:val="1A3B30DF"/>
    <w:rsid w:val="1BE8440E"/>
    <w:rsid w:val="1CE6474B"/>
    <w:rsid w:val="1D155CEE"/>
    <w:rsid w:val="20F57F95"/>
    <w:rsid w:val="239423B5"/>
    <w:rsid w:val="240371BF"/>
    <w:rsid w:val="25711CC6"/>
    <w:rsid w:val="25C741E6"/>
    <w:rsid w:val="26BC558E"/>
    <w:rsid w:val="27842671"/>
    <w:rsid w:val="29FD04D3"/>
    <w:rsid w:val="2ABE7A3E"/>
    <w:rsid w:val="2CA234A8"/>
    <w:rsid w:val="2DDF515E"/>
    <w:rsid w:val="2E720CC6"/>
    <w:rsid w:val="2EFA178C"/>
    <w:rsid w:val="2F3C77A2"/>
    <w:rsid w:val="30B46D73"/>
    <w:rsid w:val="319F7F4E"/>
    <w:rsid w:val="323E30B1"/>
    <w:rsid w:val="34290147"/>
    <w:rsid w:val="34D56286"/>
    <w:rsid w:val="36700B0A"/>
    <w:rsid w:val="383D272C"/>
    <w:rsid w:val="39AE70AB"/>
    <w:rsid w:val="3C0C0783"/>
    <w:rsid w:val="3D9451B4"/>
    <w:rsid w:val="3EC6755E"/>
    <w:rsid w:val="3F9F3A96"/>
    <w:rsid w:val="43D0479C"/>
    <w:rsid w:val="46272B4C"/>
    <w:rsid w:val="482270A8"/>
    <w:rsid w:val="48BF60AB"/>
    <w:rsid w:val="493C27E9"/>
    <w:rsid w:val="496F39ED"/>
    <w:rsid w:val="49FF41D3"/>
    <w:rsid w:val="4A672533"/>
    <w:rsid w:val="4BE068DB"/>
    <w:rsid w:val="4BF6002B"/>
    <w:rsid w:val="4C1C659D"/>
    <w:rsid w:val="4ECE2238"/>
    <w:rsid w:val="51DB4B86"/>
    <w:rsid w:val="55333C3E"/>
    <w:rsid w:val="56C9275B"/>
    <w:rsid w:val="57CA6918"/>
    <w:rsid w:val="59D2317D"/>
    <w:rsid w:val="5EE3294F"/>
    <w:rsid w:val="612E0381"/>
    <w:rsid w:val="61ED0028"/>
    <w:rsid w:val="64CA39A1"/>
    <w:rsid w:val="69630ADE"/>
    <w:rsid w:val="6C4A05C8"/>
    <w:rsid w:val="6D3B1A89"/>
    <w:rsid w:val="71BF4EC2"/>
    <w:rsid w:val="72734D90"/>
    <w:rsid w:val="73456B6E"/>
    <w:rsid w:val="7412278C"/>
    <w:rsid w:val="777E040B"/>
    <w:rsid w:val="79E7B28D"/>
    <w:rsid w:val="7BAE49D2"/>
    <w:rsid w:val="7BEB376F"/>
    <w:rsid w:val="7F2D5E08"/>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字符"/>
    <w:basedOn w:val="16"/>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cap="all" spc="120" normalizeH="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图表标题</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总收入</c:v>
                </c:pt>
              </c:strCache>
            </c:strRef>
          </c:tx>
          <c:spPr>
            <a:solidFill>
              <a:schemeClr val="accent1"/>
            </a:solidFill>
            <a:ln w="38100">
              <a:solidFill>
                <a:schemeClr val="bg1"/>
              </a:solidFill>
            </a:ln>
            <a:effectLst>
              <a:outerShdw blurRad="101600" dir="2700000" algn="tl" rotWithShape="0">
                <a:schemeClr val="accent1">
                  <a:lumMod val="75000"/>
                  <a:alpha val="20000"/>
                </a:schemeClr>
              </a:outerShdw>
            </a:effectLst>
            <a:sp3d contourW="38100"/>
          </c:spPr>
          <c:invertIfNegative val="0"/>
          <c:dLbls>
            <c:dLbl>
              <c:idx val="0"/>
              <c:layout/>
              <c:tx>
                <c:rich>
                  <a:bodyPr rot="0" spcFirstLastPara="1" vertOverflow="clip" horzOverflow="clip" vert="horz" wrap="square" lIns="38100" tIns="19050" rIns="38100" bIns="19050" anchor="ctr" anchorCtr="1" forceAA="0">
                    <a:spAutoFit/>
                  </a:bodyPr>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368.45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1" vertOverflow="clip" horzOverflow="clip" vert="horz" wrap="square" lIns="38100" tIns="19050" rIns="38100" bIns="19050" anchor="ctr" anchorCtr="1" forceAA="0">
                <a:spAutoFit/>
              </a:bodyPr>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2022年</c:v>
                </c:pt>
                <c:pt idx="1">
                  <c:v>2023年</c:v>
                </c:pt>
              </c:strCache>
            </c:strRef>
          </c:cat>
          <c:val>
            <c:numRef>
              <c:f>Sheet1!$B$2:$B$3</c:f>
              <c:numCache>
                <c:formatCode>General</c:formatCode>
                <c:ptCount val="2"/>
                <c:pt idx="0">
                  <c:v>321.34</c:v>
                </c:pt>
                <c:pt idx="1">
                  <c:v>471.49</c:v>
                </c:pt>
              </c:numCache>
            </c:numRef>
          </c:val>
        </c:ser>
        <c:ser>
          <c:idx val="1"/>
          <c:order val="1"/>
          <c:tx>
            <c:strRef>
              <c:f>Sheet1!$C$1</c:f>
              <c:strCache>
                <c:ptCount val="1"/>
                <c:pt idx="0">
                  <c:v>总支出</c:v>
                </c:pt>
              </c:strCache>
            </c:strRef>
          </c:tx>
          <c:spPr>
            <a:solidFill>
              <a:schemeClr val="accent2"/>
            </a:solidFill>
            <a:ln w="38100">
              <a:solidFill>
                <a:schemeClr val="bg1"/>
              </a:solidFill>
            </a:ln>
            <a:effectLst>
              <a:outerShdw blurRad="101600" dir="2700000" algn="tl" rotWithShape="0">
                <a:schemeClr val="accent2">
                  <a:lumMod val="75000"/>
                  <a:alpha val="20000"/>
                </a:schemeClr>
              </a:outerShdw>
            </a:effectLst>
            <a:sp3d contourW="38100"/>
          </c:spPr>
          <c:invertIfNegative val="0"/>
          <c:dLbls>
            <c:dLbl>
              <c:idx val="0"/>
              <c:layout/>
              <c:tx>
                <c:rich>
                  <a:bodyPr rot="0" spcFirstLastPara="1" vertOverflow="clip" horzOverflow="clip" vert="horz" wrap="square" lIns="38100" tIns="19050" rIns="38100" bIns="19050" anchor="ctr" anchorCtr="1" forceAA="0">
                    <a:spAutoFit/>
                  </a:bodyPr>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368.45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1" vertOverflow="clip" horzOverflow="clip" vert="horz" wrap="square" lIns="38100" tIns="19050" rIns="38100" bIns="19050" anchor="ctr" anchorCtr="1" forceAA="0">
                <a:spAutoFit/>
              </a:bodyPr>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2022年</c:v>
                </c:pt>
                <c:pt idx="1">
                  <c:v>2023年</c:v>
                </c:pt>
              </c:strCache>
            </c:strRef>
          </c:cat>
          <c:val>
            <c:numRef>
              <c:f>Sheet1!$C$2:$C$3</c:f>
              <c:numCache>
                <c:formatCode>General</c:formatCode>
                <c:ptCount val="2"/>
                <c:pt idx="0">
                  <c:v>321.34</c:v>
                </c:pt>
                <c:pt idx="1">
                  <c:v>471.49</c:v>
                </c:pt>
              </c:numCache>
            </c:numRef>
          </c:val>
        </c:ser>
        <c:dLbls>
          <c:showLegendKey val="0"/>
          <c:showVal val="1"/>
          <c:showCatName val="0"/>
          <c:showSerName val="0"/>
          <c:showPercent val="0"/>
          <c:showBubbleSize val="0"/>
        </c:dLbls>
        <c:gapWidth val="444"/>
        <c:overlap val="-90"/>
        <c:axId val="112116096"/>
        <c:axId val="112119168"/>
      </c:barChart>
      <c:catAx>
        <c:axId val="112116096"/>
        <c:scaling>
          <c:orientation val="minMax"/>
        </c:scaling>
        <c:delete val="0"/>
        <c:axPos val="b"/>
        <c:majorGridlines>
          <c:spPr>
            <a:ln w="9525"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800" b="0" i="0" u="none" strike="noStrike" kern="1200" cap="all" spc="120" normalizeH="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12119168"/>
        <c:crosses val="autoZero"/>
        <c:auto val="1"/>
        <c:lblAlgn val="ctr"/>
        <c:lblOffset val="100"/>
        <c:noMultiLvlLbl val="0"/>
      </c:catAx>
      <c:valAx>
        <c:axId val="11211916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12116096"/>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24189742354924"/>
          <c:y val="0.182460268317853"/>
          <c:w val="0.399104261979292"/>
          <c:h val="0.684202270381837"/>
        </c:manualLayout>
      </c:layout>
      <c:pieChart>
        <c:varyColors val="1"/>
        <c:ser>
          <c:idx val="0"/>
          <c:order val="0"/>
          <c:tx>
            <c:strRef>
              <c:f>Sheet1!$B$1</c:f>
              <c:strCache>
                <c:ptCount val="1"/>
                <c:pt idx="0">
                  <c:v>收入额（万元）</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456.10</a:t>
                    </a:r>
                    <a:r>
                      <a:t>, 9</a:t>
                    </a:r>
                    <a:r>
                      <a:rPr lang="en-US" altLang="zh-CN"/>
                      <a:t>6.74</a:t>
                    </a:r>
                    <a:r>
                      <a:t>%</a:t>
                    </a:r>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201160558945801"/>
                  <c:y val="0.01927750773087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15.40</a:t>
                    </a:r>
                    <a:r>
                      <a:t>, </a:t>
                    </a:r>
                    <a:r>
                      <a:rPr lang="en-US" altLang="zh-CN"/>
                      <a:t>3.26</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其它收入</c:v>
                </c:pt>
              </c:strCache>
            </c:strRef>
          </c:cat>
          <c:val>
            <c:numRef>
              <c:f>Sheet1!$B$2:$B$3</c:f>
              <c:numCache>
                <c:formatCode>#,##0.00</c:formatCode>
                <c:ptCount val="2"/>
                <c:pt idx="0">
                  <c:v>447.54</c:v>
                </c:pt>
                <c:pt idx="1" c:formatCode="General">
                  <c:v>11.95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7115338309656"/>
          <c:y val="0.097007223942208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088834691602484"/>
                  <c:y val="-0.16282828768439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基本支出, 321.34, </a:t>
                    </a:r>
                    <a:r>
                      <a:rPr lang="en-US" altLang="zh-CN"/>
                      <a:t>68.15</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项目支出, </a:t>
                    </a:r>
                    <a:r>
                      <a:rPr lang="en-US" altLang="zh-CN"/>
                      <a:t>150.15</a:t>
                    </a:r>
                    <a:r>
                      <a:t>, 3</a:t>
                    </a:r>
                    <a:r>
                      <a:rPr lang="en-US" altLang="zh-CN"/>
                      <a:t>1.85</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321.34</c:v>
                </c:pt>
                <c:pt idx="1">
                  <c:v>138.25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cap="all" spc="120" normalizeH="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图表标题</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财政拨款总收入</c:v>
                </c:pt>
              </c:strCache>
            </c:strRef>
          </c:tx>
          <c:spPr>
            <a:solidFill>
              <a:schemeClr val="accent1"/>
            </a:solidFill>
            <a:ln w="38100">
              <a:solidFill>
                <a:schemeClr val="bg1"/>
              </a:solidFill>
            </a:ln>
            <a:effectLst>
              <a:outerShdw blurRad="101600" dir="2700000" algn="tl" rotWithShape="0">
                <a:schemeClr val="accent1">
                  <a:lumMod val="75000"/>
                  <a:alpha val="20000"/>
                </a:schemeClr>
              </a:outerShdw>
            </a:effectLst>
            <a:sp3d contourW="38100"/>
          </c:spPr>
          <c:invertIfNegative val="0"/>
          <c:dLbls>
            <c:dLbl>
              <c:idx val="0"/>
              <c:layout/>
              <c:tx>
                <c:rich>
                  <a:bodyPr rot="0" spcFirstLastPara="1" vertOverflow="clip" horzOverflow="clip" vert="horz" wrap="square" lIns="38100" tIns="19050" rIns="38100" bIns="19050" anchor="ctr" anchorCtr="1" forceAA="0">
                    <a:spAutoFit/>
                  </a:bodyPr>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359.32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572446253657295"/>
                  <c:y val="-0.00333926981300089"/>
                </c:manualLayout>
              </c:layout>
              <c:tx>
                <c:rich>
                  <a:bodyPr rot="0" spcFirstLastPara="1" vertOverflow="clip" horzOverflow="clip" vert="horz" wrap="square" lIns="38100" tIns="19050" rIns="38100" bIns="19050" anchor="ctr" anchorCtr="1" forceAA="0">
                    <a:spAutoFit/>
                  </a:bodyPr>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456.09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1" vertOverflow="clip" horzOverflow="clip" vert="horz" wrap="square" lIns="38100" tIns="19050" rIns="38100" bIns="19050" anchor="ctr" anchorCtr="1" forceAA="0">
                <a:spAutoFit/>
              </a:bodyPr>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2022年</c:v>
                </c:pt>
                <c:pt idx="1">
                  <c:v>2023年</c:v>
                </c:pt>
              </c:strCache>
            </c:strRef>
          </c:cat>
          <c:val>
            <c:numRef>
              <c:f>Sheet1!$B$2:$B$3</c:f>
              <c:numCache>
                <c:formatCode>General</c:formatCode>
                <c:ptCount val="2"/>
                <c:pt idx="0">
                  <c:v>321.34</c:v>
                </c:pt>
                <c:pt idx="1">
                  <c:v>447.54</c:v>
                </c:pt>
              </c:numCache>
            </c:numRef>
          </c:val>
        </c:ser>
        <c:ser>
          <c:idx val="1"/>
          <c:order val="1"/>
          <c:tx>
            <c:strRef>
              <c:f>Sheet1!$C$1</c:f>
              <c:strCache>
                <c:ptCount val="1"/>
                <c:pt idx="0">
                  <c:v>财政拨款总支出</c:v>
                </c:pt>
              </c:strCache>
            </c:strRef>
          </c:tx>
          <c:spPr>
            <a:solidFill>
              <a:schemeClr val="accent2"/>
            </a:solidFill>
            <a:ln w="38100">
              <a:solidFill>
                <a:schemeClr val="bg1"/>
              </a:solidFill>
            </a:ln>
            <a:effectLst>
              <a:outerShdw blurRad="101600" dir="2700000" algn="tl" rotWithShape="0">
                <a:schemeClr val="accent2">
                  <a:lumMod val="75000"/>
                  <a:alpha val="20000"/>
                </a:schemeClr>
              </a:outerShdw>
            </a:effectLst>
            <a:sp3d contourW="38100"/>
          </c:spPr>
          <c:invertIfNegative val="0"/>
          <c:dLbls>
            <c:dLbl>
              <c:idx val="0"/>
              <c:layout/>
              <c:tx>
                <c:rich>
                  <a:bodyPr rot="0" spcFirstLastPara="1" vertOverflow="clip" horzOverflow="clip" vert="horz" wrap="square" lIns="38100" tIns="19050" rIns="38100" bIns="19050" anchor="ctr" anchorCtr="1" forceAA="0">
                    <a:spAutoFit/>
                  </a:bodyPr>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359.32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clip" horzOverflow="clip" vert="horz" wrap="square" lIns="38100" tIns="19050" rIns="38100" bIns="19050" anchor="ctr" anchorCtr="1" forceAA="0">
                    <a:spAutoFit/>
                  </a:bodyPr>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456.09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1" vertOverflow="clip" horzOverflow="clip" vert="horz" wrap="square" lIns="38100" tIns="19050" rIns="38100" bIns="19050" anchor="ctr" anchorCtr="1" forceAA="0">
                <a:spAutoFit/>
              </a:bodyPr>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2022年</c:v>
                </c:pt>
                <c:pt idx="1">
                  <c:v>2023年</c:v>
                </c:pt>
              </c:strCache>
            </c:strRef>
          </c:cat>
          <c:val>
            <c:numRef>
              <c:f>Sheet1!$C$2:$C$3</c:f>
              <c:numCache>
                <c:formatCode>General</c:formatCode>
                <c:ptCount val="2"/>
                <c:pt idx="0">
                  <c:v>321.34</c:v>
                </c:pt>
                <c:pt idx="1">
                  <c:v>447.54</c:v>
                </c:pt>
              </c:numCache>
            </c:numRef>
          </c:val>
        </c:ser>
        <c:dLbls>
          <c:showLegendKey val="0"/>
          <c:showVal val="1"/>
          <c:showCatName val="0"/>
          <c:showSerName val="0"/>
          <c:showPercent val="0"/>
          <c:showBubbleSize val="0"/>
        </c:dLbls>
        <c:gapWidth val="444"/>
        <c:overlap val="-90"/>
        <c:axId val="112116096"/>
        <c:axId val="112119168"/>
      </c:barChart>
      <c:catAx>
        <c:axId val="112116096"/>
        <c:scaling>
          <c:orientation val="minMax"/>
        </c:scaling>
        <c:delete val="0"/>
        <c:axPos val="b"/>
        <c:majorGridlines>
          <c:spPr>
            <a:ln w="9525"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800" b="0" i="0" u="none" strike="noStrike" kern="1200" cap="all" spc="120" normalizeH="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12119168"/>
        <c:crosses val="autoZero"/>
        <c:auto val="1"/>
        <c:lblAlgn val="ctr"/>
        <c:lblOffset val="100"/>
        <c:noMultiLvlLbl val="0"/>
      </c:catAx>
      <c:valAx>
        <c:axId val="11211916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12116096"/>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cap="all" spc="120" normalizeH="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财政拨款总支出</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列1</c:v>
                </c:pt>
              </c:strCache>
            </c:strRef>
          </c:tx>
          <c:spPr>
            <a:solidFill>
              <a:schemeClr val="accent1"/>
            </a:solidFill>
            <a:ln w="38100">
              <a:solidFill>
                <a:schemeClr val="bg1"/>
              </a:solidFill>
            </a:ln>
            <a:effectLst>
              <a:outerShdw blurRad="101600" dir="2700000" algn="tl" rotWithShape="0">
                <a:schemeClr val="accent1">
                  <a:lumMod val="75000"/>
                  <a:alpha val="20000"/>
                </a:schemeClr>
              </a:outerShdw>
            </a:effectLst>
            <a:sp3d contourW="38100"/>
          </c:spPr>
          <c:invertIfNegative val="0"/>
          <c:dLbls>
            <c:numFmt formatCode="General" sourceLinked="1"/>
            <c:spPr>
              <a:noFill/>
              <a:ln>
                <a:noFill/>
              </a:ln>
              <a:effectLst/>
            </c:spPr>
            <c:txPr>
              <a:bodyPr rot="0" spcFirstLastPara="1" vertOverflow="clip" horzOverflow="clip" vert="horz" wrap="square" lIns="38100" tIns="19050" rIns="38100" bIns="19050" anchor="ctr" anchorCtr="1" forceAA="0">
                <a:spAutoFit/>
              </a:bodyPr>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2022年</c:v>
                </c:pt>
                <c:pt idx="1">
                  <c:v>2023年</c:v>
                </c:pt>
              </c:strCache>
            </c:strRef>
          </c:cat>
          <c:val>
            <c:numRef>
              <c:f>Sheet1!$B$2:$B$3</c:f>
              <c:numCache>
                <c:formatCode>General</c:formatCode>
                <c:ptCount val="2"/>
              </c:numCache>
            </c:numRef>
          </c:val>
        </c:ser>
        <c:ser>
          <c:idx val="1"/>
          <c:order val="1"/>
          <c:tx>
            <c:strRef>
              <c:f>Sheet1!$C$1</c:f>
              <c:strCache>
                <c:ptCount val="1"/>
                <c:pt idx="0">
                  <c:v>财政拨款总支出</c:v>
                </c:pt>
              </c:strCache>
            </c:strRef>
          </c:tx>
          <c:spPr>
            <a:solidFill>
              <a:schemeClr val="accent2"/>
            </a:solidFill>
            <a:ln w="38100">
              <a:solidFill>
                <a:schemeClr val="bg1"/>
              </a:solidFill>
            </a:ln>
            <a:effectLst>
              <a:outerShdw blurRad="101600" dir="2700000" algn="tl" rotWithShape="0">
                <a:schemeClr val="accent2">
                  <a:lumMod val="75000"/>
                  <a:alpha val="20000"/>
                </a:schemeClr>
              </a:outerShdw>
            </a:effectLst>
            <a:sp3d contourW="38100"/>
          </c:spPr>
          <c:invertIfNegative val="0"/>
          <c:dLbls>
            <c:dLbl>
              <c:idx val="0"/>
              <c:layout/>
              <c:tx>
                <c:rich>
                  <a:bodyPr rot="0" spcFirstLastPara="1" vertOverflow="clip" horzOverflow="clip" vert="horz" wrap="square" lIns="38100" tIns="19050" rIns="38100" bIns="19050" anchor="ctr" anchorCtr="1" forceAA="0">
                    <a:spAutoFit/>
                  </a:bodyPr>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359.32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clip" horzOverflow="clip" vert="horz" wrap="square" lIns="38100" tIns="19050" rIns="38100" bIns="19050" anchor="ctr" anchorCtr="1" forceAA="0">
                    <a:spAutoFit/>
                  </a:bodyPr>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456.09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1" vertOverflow="clip" horzOverflow="clip" vert="horz" wrap="square" lIns="38100" tIns="19050" rIns="38100" bIns="19050" anchor="ctr" anchorCtr="1" forceAA="0">
                <a:spAutoFit/>
              </a:bodyPr>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2022年</c:v>
                </c:pt>
                <c:pt idx="1">
                  <c:v>2023年</c:v>
                </c:pt>
              </c:strCache>
            </c:strRef>
          </c:cat>
          <c:val>
            <c:numRef>
              <c:f>Sheet1!$C$2:$C$3</c:f>
              <c:numCache>
                <c:formatCode>General</c:formatCode>
                <c:ptCount val="2"/>
                <c:pt idx="0">
                  <c:v>319.96</c:v>
                </c:pt>
                <c:pt idx="1">
                  <c:v>447.54</c:v>
                </c:pt>
              </c:numCache>
            </c:numRef>
          </c:val>
        </c:ser>
        <c:dLbls>
          <c:showLegendKey val="0"/>
          <c:showVal val="1"/>
          <c:showCatName val="0"/>
          <c:showSerName val="0"/>
          <c:showPercent val="0"/>
          <c:showBubbleSize val="0"/>
        </c:dLbls>
        <c:gapWidth val="444"/>
        <c:overlap val="-90"/>
        <c:axId val="112116096"/>
        <c:axId val="112119168"/>
      </c:barChart>
      <c:catAx>
        <c:axId val="112116096"/>
        <c:scaling>
          <c:orientation val="minMax"/>
        </c:scaling>
        <c:delete val="0"/>
        <c:axPos val="b"/>
        <c:majorGridlines>
          <c:spPr>
            <a:ln w="9525"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800" b="0" i="0" u="none" strike="noStrike" kern="1200" cap="all" spc="120" normalizeH="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12119168"/>
        <c:crosses val="autoZero"/>
        <c:auto val="1"/>
        <c:lblAlgn val="ctr"/>
        <c:lblOffset val="100"/>
        <c:noMultiLvlLbl val="0"/>
      </c:catAx>
      <c:valAx>
        <c:axId val="11211916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12116096"/>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Lbls>
            <c:dLbl>
              <c:idx val="0"/>
              <c:layout>
                <c:manualLayout>
                  <c:x val="-0.00415685620961155"/>
                  <c:y val="-0.26080386823813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教育支出, </a:t>
                    </a:r>
                    <a:r>
                      <a:rPr lang="en-US" altLang="zh-CN"/>
                      <a:t>389.45</a:t>
                    </a:r>
                    <a:r>
                      <a:t>, </a:t>
                    </a:r>
                    <a:r>
                      <a:rPr lang="en-US" altLang="zh-CN"/>
                      <a:t>85.39</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
                  <c:y val="0.090661831368993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社会保障和就业支出, 31.89,</a:t>
                    </a:r>
                    <a:r>
                      <a:rPr lang="en-US" altLang="zh-CN"/>
                      <a:t>6.99</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卫生健康支出, 12.</a:t>
                    </a:r>
                    <a:r>
                      <a:rPr lang="en-US" altLang="zh-CN"/>
                      <a:t>0</a:t>
                    </a:r>
                    <a:r>
                      <a:t>8, </a:t>
                    </a:r>
                    <a:r>
                      <a:rPr lang="en-US" altLang="zh-CN"/>
                      <a:t>2.65</a:t>
                    </a:r>
                    <a:r>
                      <a:t>%</a:t>
                    </a:r>
                  </a:p>
                </c:rich>
              </c:tx>
              <c:dLblPos val="bestFit"/>
              <c:showLegendKey val="0"/>
              <c:showVal val="1"/>
              <c:showCatName val="1"/>
              <c:showSerName val="0"/>
              <c:showPercent val="1"/>
              <c:showBubbleSize val="0"/>
              <c:extLst>
                <c:ext xmlns:c15="http://schemas.microsoft.com/office/drawing/2012/chart" uri="{CE6537A1-D6FC-4f65-9D91-7224C49458BB}"/>
              </c:extLst>
            </c:dLbl>
            <c:dLbl>
              <c:idx val="3"/>
              <c:layout>
                <c:manualLayout>
                  <c:x val="0.106635326789024"/>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住房保障支出, 22.</a:t>
                    </a:r>
                    <a:r>
                      <a:rPr lang="en-US" altLang="zh-CN"/>
                      <a:t>67</a:t>
                    </a:r>
                    <a:r>
                      <a:t>, </a:t>
                    </a:r>
                    <a:r>
                      <a:rPr lang="en-US" altLang="zh-CN"/>
                      <a:t>4.97</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285.3</c:v>
                </c:pt>
                <c:pt idx="1">
                  <c:v>31.89</c:v>
                </c:pt>
                <c:pt idx="2">
                  <c:v>12.68</c:v>
                </c:pt>
                <c:pt idx="3">
                  <c:v>22.08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4112</Words>
  <Characters>4457</Characters>
  <Lines>61</Lines>
  <Paragraphs>17</Paragraphs>
  <TotalTime>6</TotalTime>
  <ScaleCrop>false</ScaleCrop>
  <LinksUpToDate>false</LinksUpToDate>
  <CharactersWithSpaces>4503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冬季</cp:lastModifiedBy>
  <cp:lastPrinted>2023-07-31T02:35:00Z</cp:lastPrinted>
  <dcterms:modified xsi:type="dcterms:W3CDTF">2024-10-14T06:13:36Z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2C12F8D79E6A485DB8790AEE72055C9E_12</vt:lpwstr>
  </property>
</Properties>
</file>