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DBB48">
      <w:pPr>
        <w:spacing w:line="600" w:lineRule="exact"/>
        <w:jc w:val="left"/>
        <w:outlineLvl w:val="0"/>
        <w:rPr>
          <w:rFonts w:ascii="方正小标宋简体" w:hAnsi="宋体" w:eastAsia="方正小标宋简体"/>
          <w:color w:val="auto"/>
          <w:sz w:val="21"/>
          <w:szCs w:val="21"/>
          <w:highlight w:val="none"/>
        </w:rPr>
      </w:pPr>
      <w:bookmarkStart w:id="0" w:name="_Toc15306267"/>
    </w:p>
    <w:p w14:paraId="658378D9">
      <w:pPr>
        <w:spacing w:line="600" w:lineRule="exact"/>
        <w:jc w:val="center"/>
        <w:outlineLvl w:val="0"/>
        <w:rPr>
          <w:rFonts w:ascii="方正小标宋简体" w:hAnsi="宋体" w:eastAsia="方正小标宋简体"/>
          <w:color w:val="auto"/>
          <w:sz w:val="72"/>
          <w:szCs w:val="72"/>
          <w:highlight w:val="none"/>
        </w:rPr>
      </w:pPr>
    </w:p>
    <w:p w14:paraId="2261CCDB">
      <w:pPr>
        <w:pStyle w:val="8"/>
        <w:rPr>
          <w:rFonts w:ascii="方正小标宋简体" w:hAnsi="宋体" w:eastAsia="方正小标宋简体"/>
          <w:color w:val="auto"/>
          <w:sz w:val="44"/>
          <w:szCs w:val="44"/>
          <w:highlight w:val="none"/>
        </w:rPr>
      </w:pPr>
    </w:p>
    <w:p w14:paraId="16DE4607">
      <w:pPr>
        <w:pStyle w:val="8"/>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年度</w:t>
      </w:r>
    </w:p>
    <w:bookmarkEnd w:id="0"/>
    <w:p w14:paraId="169420E6">
      <w:pPr>
        <w:adjustRightInd w:val="0"/>
        <w:snapToGrid w:val="0"/>
        <w:spacing w:line="360" w:lineRule="auto"/>
        <w:jc w:val="center"/>
        <w:outlineLvl w:val="0"/>
        <w:rPr>
          <w:rFonts w:ascii="方正小标宋简体" w:hAnsi="宋体" w:eastAsia="方正小标宋简体"/>
          <w:sz w:val="44"/>
          <w:szCs w:val="44"/>
        </w:rPr>
      </w:pPr>
      <w:bookmarkStart w:id="1" w:name="_Toc15377426"/>
      <w:bookmarkStart w:id="2" w:name="_Toc15378442"/>
      <w:bookmarkStart w:id="3" w:name="_Toc15396598"/>
      <w:bookmarkStart w:id="4" w:name="_Toc15396476"/>
      <w:bookmarkStart w:id="5" w:name="_Toc15377194"/>
      <w:bookmarkStart w:id="6" w:name="_Toc15306268"/>
      <w:r>
        <w:rPr>
          <w:rFonts w:hint="eastAsia" w:ascii="方正小标宋简体" w:hAnsi="宋体" w:eastAsia="方正小标宋简体"/>
          <w:sz w:val="44"/>
          <w:szCs w:val="44"/>
        </w:rPr>
        <w:t>四川省广元市川师大万达中学</w:t>
      </w:r>
      <w:r>
        <w:rPr>
          <w:rFonts w:hint="eastAsia" w:ascii="方正小标宋简体" w:hAnsi="宋体" w:eastAsia="方正小标宋简体"/>
          <w:color w:val="000000"/>
          <w:sz w:val="44"/>
          <w:szCs w:val="44"/>
          <w:lang w:val="en-US" w:eastAsia="zh-CN"/>
        </w:rPr>
        <w:t>单位决</w:t>
      </w:r>
      <w:r>
        <w:rPr>
          <w:rFonts w:hint="eastAsia" w:ascii="方正小标宋简体" w:hAnsi="宋体" w:eastAsia="方正小标宋简体"/>
          <w:color w:val="000000"/>
          <w:sz w:val="44"/>
          <w:szCs w:val="44"/>
        </w:rPr>
        <w:t>算</w:t>
      </w:r>
      <w:bookmarkEnd w:id="1"/>
      <w:bookmarkEnd w:id="2"/>
      <w:bookmarkEnd w:id="3"/>
      <w:bookmarkEnd w:id="4"/>
      <w:bookmarkEnd w:id="5"/>
      <w:bookmarkEnd w:id="6"/>
    </w:p>
    <w:p w14:paraId="1B5BBC92">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14:paraId="53394B0A">
      <w:pPr>
        <w:widowControl/>
        <w:jc w:val="center"/>
        <w:rPr>
          <w:rFonts w:ascii="黑体" w:hAnsi="黑体" w:eastAsia="黑体" w:cstheme="minorBidi"/>
          <w:color w:val="auto"/>
          <w:sz w:val="28"/>
          <w:szCs w:val="28"/>
          <w:highlight w:val="none"/>
        </w:rPr>
      </w:pPr>
    </w:p>
    <w:p w14:paraId="40570A93">
      <w:pPr>
        <w:pStyle w:val="13"/>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p>
    <w:p w14:paraId="54D93F2F">
      <w:pPr>
        <w:rPr>
          <w:color w:val="auto"/>
          <w:highlight w:val="none"/>
        </w:rPr>
      </w:pPr>
    </w:p>
    <w:p w14:paraId="0A29B30B">
      <w:pPr>
        <w:pStyle w:val="13"/>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14:paraId="24CE1E03">
      <w:pPr>
        <w:pStyle w:val="14"/>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bookmarkStart w:id="62" w:name="_GoBack"/>
      <w:bookmarkEnd w:id="62"/>
    </w:p>
    <w:p w14:paraId="391EC820">
      <w:pPr>
        <w:pStyle w:val="14"/>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14:paraId="79ECF2FF">
      <w:pPr>
        <w:pStyle w:val="13"/>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p>
    <w:p w14:paraId="2C35D218">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14:paraId="0E7696B5">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14:paraId="131C2076">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14:paraId="0D40E77C">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14:paraId="71F9DF6A">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14:paraId="090E2D14">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14:paraId="48BFD25D">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14:paraId="236433FC">
      <w:pPr>
        <w:pStyle w:val="14"/>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14:paraId="00FEF565">
      <w:pPr>
        <w:pStyle w:val="14"/>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14:paraId="23501FDB">
      <w:pPr>
        <w:pStyle w:val="14"/>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14:paraId="375F95CE">
      <w:pPr>
        <w:pStyle w:val="13"/>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14:paraId="08A4BFD4">
      <w:pPr>
        <w:pStyle w:val="13"/>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14:paraId="4D06BC95">
      <w:pPr>
        <w:pStyle w:val="13"/>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14:paraId="5EECC0E0">
      <w:pPr>
        <w:pStyle w:val="14"/>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1CC3390B">
      <w:pPr>
        <w:pStyle w:val="14"/>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3734D456">
      <w:pPr>
        <w:pStyle w:val="14"/>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604C6065">
      <w:pPr>
        <w:pStyle w:val="14"/>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20F8FED8">
      <w:pPr>
        <w:pStyle w:val="14"/>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606BABD4">
      <w:pPr>
        <w:pStyle w:val="14"/>
        <w:bidi w:val="0"/>
        <w:rPr>
          <w:rFonts w:hint="eastAsia"/>
        </w:rPr>
      </w:pPr>
      <w:r>
        <w:rPr>
          <w:rFonts w:hint="eastAsia"/>
        </w:rPr>
        <w:t>六、一般公共预算财政拨款支出决算表</w:t>
      </w:r>
    </w:p>
    <w:p w14:paraId="43D7D961">
      <w:pPr>
        <w:pStyle w:val="14"/>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415325DA">
      <w:pPr>
        <w:pStyle w:val="14"/>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6676E960">
      <w:pPr>
        <w:pStyle w:val="14"/>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10D762BF">
      <w:pPr>
        <w:pStyle w:val="14"/>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70AF3FD9">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56802C69">
      <w:pPr>
        <w:pStyle w:val="14"/>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5C641E98">
      <w:pPr>
        <w:pStyle w:val="14"/>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5E4B76E5">
      <w:pPr>
        <w:widowControl/>
        <w:spacing w:line="440" w:lineRule="exact"/>
        <w:jc w:val="left"/>
        <w:rPr>
          <w:rFonts w:ascii="仿宋" w:hAnsi="仿宋" w:eastAsia="仿宋"/>
          <w:bCs/>
          <w:color w:val="auto"/>
          <w:kern w:val="44"/>
          <w:sz w:val="24"/>
          <w:highlight w:val="none"/>
        </w:rPr>
      </w:pPr>
      <w:bookmarkStart w:id="7" w:name="_Toc15396599"/>
      <w:bookmarkStart w:id="8" w:name="_Toc15377196"/>
      <w:r>
        <w:rPr>
          <w:rFonts w:ascii="仿宋" w:hAnsi="仿宋" w:eastAsia="仿宋"/>
          <w:b/>
          <w:color w:val="auto"/>
          <w:sz w:val="24"/>
          <w:highlight w:val="none"/>
        </w:rPr>
        <w:br w:type="page"/>
      </w:r>
    </w:p>
    <w:p w14:paraId="6CD5E07C">
      <w:pPr>
        <w:pStyle w:val="5"/>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7"/>
          <w:rFonts w:hint="eastAsia" w:ascii="黑体" w:hAnsi="黑体" w:eastAsia="黑体"/>
          <w:b w:val="0"/>
          <w:bCs w:val="0"/>
          <w:color w:val="auto"/>
          <w:highlight w:val="none"/>
        </w:rPr>
        <w:t>概况</w:t>
      </w:r>
      <w:bookmarkEnd w:id="7"/>
      <w:bookmarkEnd w:id="8"/>
    </w:p>
    <w:p w14:paraId="2737A748">
      <w:pPr>
        <w:pStyle w:val="6"/>
        <w:numPr>
          <w:ilvl w:val="0"/>
          <w:numId w:val="1"/>
        </w:numPr>
        <w:rPr>
          <w:rStyle w:val="28"/>
          <w:rFonts w:hint="eastAsia" w:ascii="黑体" w:hAnsi="黑体" w:eastAsia="黑体"/>
          <w:b w:val="0"/>
          <w:bCs w:val="0"/>
          <w:color w:val="auto"/>
          <w:highlight w:val="none"/>
          <w:lang w:eastAsia="zh-CN"/>
        </w:rPr>
      </w:pPr>
      <w:bookmarkStart w:id="9" w:name="_Toc15396600"/>
      <w:bookmarkStart w:id="10" w:name="_Toc15377197"/>
      <w:r>
        <w:rPr>
          <w:rStyle w:val="28"/>
          <w:rFonts w:hint="eastAsia" w:ascii="黑体" w:hAnsi="黑体" w:eastAsia="黑体"/>
          <w:b w:val="0"/>
          <w:bCs w:val="0"/>
          <w:color w:val="auto"/>
          <w:highlight w:val="none"/>
          <w:lang w:eastAsia="zh-CN"/>
        </w:rPr>
        <w:t>主要职责</w:t>
      </w:r>
    </w:p>
    <w:p w14:paraId="31CF9ED2">
      <w:pPr>
        <w:pStyle w:val="8"/>
        <w:adjustRightInd w:val="0"/>
        <w:snapToGrid w:val="0"/>
        <w:spacing w:beforeLines="0" w:line="500" w:lineRule="exact"/>
        <w:ind w:firstLine="560" w:firstLineChars="200"/>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1.实施初中、高中学历教育，促进教育科研发展。业务范围为初中、高中学历教育及相关社会服务。</w:t>
      </w:r>
    </w:p>
    <w:p w14:paraId="12B1DBFB">
      <w:pPr>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2.贯彻执行党和国家关于教育改革和发展的各项方针、政策，拟订全校教育事业发展规划和有关教育的规范性文件并组织实施；指导协调学校各部门的教育、教学体制改革。</w:t>
      </w:r>
    </w:p>
    <w:p w14:paraId="7352226E">
      <w:pPr>
        <w:snapToGrid w:val="0"/>
        <w:spacing w:line="50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14:paraId="690FE8D3">
      <w:pPr>
        <w:snapToGrid w:val="0"/>
        <w:spacing w:line="500" w:lineRule="exact"/>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4.促进教育发展，教育学生成长为德学兼备、思想端正的学生，让学生获得基本的基础知识，尽可能培养其自学能力。</w:t>
      </w:r>
    </w:p>
    <w:p w14:paraId="6F633926">
      <w:pPr>
        <w:pStyle w:val="6"/>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14:paraId="688F3472">
      <w:pPr>
        <w:widowControl/>
        <w:ind w:firstLine="560" w:firstLineChars="20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四川省广元市川师大万达中学</w:t>
      </w:r>
      <w:r>
        <w:rPr>
          <w:rFonts w:hint="eastAsia" w:ascii="宋体" w:hAnsi="宋体" w:eastAsia="宋体" w:cs="宋体"/>
          <w:color w:val="000000"/>
          <w:sz w:val="28"/>
          <w:szCs w:val="28"/>
          <w:lang w:eastAsia="zh-CN"/>
        </w:rPr>
        <w:t>为全额拨款事业单位，主管部门为广元市利州区教育局。单位内设</w:t>
      </w:r>
      <w:r>
        <w:rPr>
          <w:rFonts w:hint="eastAsia" w:ascii="宋体" w:hAnsi="宋体" w:cs="宋体"/>
          <w:color w:val="000000"/>
          <w:sz w:val="28"/>
          <w:szCs w:val="28"/>
          <w:lang w:val="en-US" w:eastAsia="zh-CN"/>
        </w:rPr>
        <w:t>11</w:t>
      </w:r>
      <w:r>
        <w:rPr>
          <w:rFonts w:hint="eastAsia" w:ascii="宋体" w:hAnsi="宋体" w:eastAsia="宋体" w:cs="宋体"/>
          <w:color w:val="000000"/>
          <w:sz w:val="28"/>
          <w:szCs w:val="28"/>
          <w:lang w:val="en-US" w:eastAsia="zh-CN"/>
        </w:rPr>
        <w:t>个</w:t>
      </w:r>
      <w:r>
        <w:rPr>
          <w:rFonts w:hint="eastAsia" w:ascii="宋体" w:hAnsi="宋体" w:eastAsia="宋体" w:cs="宋体"/>
          <w:color w:val="000000"/>
          <w:sz w:val="28"/>
          <w:szCs w:val="28"/>
          <w:lang w:eastAsia="zh-CN"/>
        </w:rPr>
        <w:t>机构，分别为</w:t>
      </w:r>
      <w:r>
        <w:rPr>
          <w:rFonts w:hint="eastAsia" w:ascii="宋体" w:hAnsi="宋体" w:eastAsia="宋体" w:cs="宋体"/>
          <w:color w:val="000000"/>
          <w:sz w:val="28"/>
          <w:szCs w:val="28"/>
          <w:lang w:val="en-US" w:eastAsia="zh-CN"/>
        </w:rPr>
        <w:t>党政</w:t>
      </w:r>
      <w:r>
        <w:rPr>
          <w:rFonts w:hint="eastAsia" w:ascii="宋体" w:hAnsi="宋体" w:eastAsia="宋体" w:cs="宋体"/>
          <w:color w:val="000000"/>
          <w:sz w:val="28"/>
          <w:szCs w:val="28"/>
          <w:lang w:eastAsia="zh-CN"/>
        </w:rPr>
        <w:t>办公室、</w:t>
      </w:r>
      <w:r>
        <w:rPr>
          <w:rFonts w:hint="eastAsia" w:ascii="宋体" w:hAnsi="宋体" w:eastAsia="宋体" w:cs="宋体"/>
          <w:color w:val="000000"/>
          <w:sz w:val="28"/>
          <w:szCs w:val="28"/>
          <w:lang w:val="en-US" w:eastAsia="zh-CN"/>
        </w:rPr>
        <w:t>教务处</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德育</w:t>
      </w:r>
      <w:r>
        <w:rPr>
          <w:rFonts w:hint="eastAsia" w:ascii="宋体" w:hAnsi="宋体" w:eastAsia="宋体" w:cs="宋体"/>
          <w:color w:val="000000"/>
          <w:sz w:val="28"/>
          <w:szCs w:val="28"/>
          <w:lang w:eastAsia="zh-CN"/>
        </w:rPr>
        <w:t>处、总务处、</w:t>
      </w:r>
      <w:r>
        <w:rPr>
          <w:rFonts w:hint="eastAsia" w:ascii="宋体" w:hAnsi="宋体" w:eastAsia="宋体" w:cs="宋体"/>
          <w:color w:val="000000"/>
          <w:sz w:val="28"/>
          <w:szCs w:val="28"/>
          <w:lang w:val="en-US" w:eastAsia="zh-CN"/>
        </w:rPr>
        <w:t>技装处、教科处、</w:t>
      </w:r>
      <w:r>
        <w:rPr>
          <w:rFonts w:hint="eastAsia" w:ascii="宋体" w:hAnsi="宋体" w:cs="宋体"/>
          <w:color w:val="000000"/>
          <w:sz w:val="28"/>
          <w:szCs w:val="28"/>
          <w:lang w:val="en-US" w:eastAsia="zh-CN"/>
        </w:rPr>
        <w:t>教师发展中心、体卫艺处、</w:t>
      </w:r>
      <w:r>
        <w:rPr>
          <w:rFonts w:hint="eastAsia" w:ascii="宋体" w:hAnsi="宋体" w:eastAsia="宋体" w:cs="宋体"/>
          <w:color w:val="000000"/>
          <w:sz w:val="28"/>
          <w:szCs w:val="28"/>
          <w:lang w:eastAsia="zh-CN"/>
        </w:rPr>
        <w:t>安全管理办公室、</w:t>
      </w:r>
      <w:r>
        <w:rPr>
          <w:rFonts w:hint="eastAsia" w:ascii="宋体" w:hAnsi="宋体" w:eastAsia="宋体" w:cs="宋体"/>
          <w:color w:val="000000"/>
          <w:sz w:val="28"/>
          <w:szCs w:val="28"/>
          <w:lang w:val="en-US" w:eastAsia="zh-CN"/>
        </w:rPr>
        <w:t>团委、</w:t>
      </w:r>
      <w:r>
        <w:rPr>
          <w:rFonts w:hint="eastAsia" w:ascii="宋体" w:hAnsi="宋体" w:cs="宋体"/>
          <w:color w:val="000000"/>
          <w:sz w:val="28"/>
          <w:szCs w:val="28"/>
          <w:lang w:val="en-US" w:eastAsia="zh-CN"/>
        </w:rPr>
        <w:t>后勤服务中心</w:t>
      </w:r>
      <w:r>
        <w:rPr>
          <w:rFonts w:hint="eastAsia" w:ascii="宋体" w:hAnsi="宋体" w:eastAsia="宋体" w:cs="宋体"/>
          <w:color w:val="000000"/>
          <w:sz w:val="28"/>
          <w:szCs w:val="28"/>
          <w:lang w:val="en-US" w:eastAsia="zh-CN"/>
        </w:rPr>
        <w:t>。</w:t>
      </w:r>
      <w:bookmarkEnd w:id="9"/>
      <w:bookmarkEnd w:id="10"/>
      <w:bookmarkStart w:id="11" w:name="_Toc15396602"/>
      <w:bookmarkStart w:id="12" w:name="_Toc15377204"/>
    </w:p>
    <w:p w14:paraId="54CEFD87">
      <w:pPr>
        <w:widowControl/>
        <w:ind w:firstLine="560" w:firstLineChars="200"/>
        <w:jc w:val="left"/>
        <w:rPr>
          <w:rFonts w:hint="eastAsia" w:ascii="宋体" w:hAnsi="宋体" w:eastAsia="宋体" w:cs="宋体"/>
          <w:color w:val="000000"/>
          <w:sz w:val="28"/>
          <w:szCs w:val="28"/>
          <w:lang w:val="en-US" w:eastAsia="zh-CN"/>
        </w:rPr>
      </w:pPr>
    </w:p>
    <w:p w14:paraId="2D25F2EA">
      <w:pPr>
        <w:widowControl/>
        <w:ind w:firstLine="560" w:firstLineChars="200"/>
        <w:jc w:val="left"/>
        <w:rPr>
          <w:rFonts w:hint="eastAsia" w:ascii="宋体" w:hAnsi="宋体" w:eastAsia="宋体" w:cs="宋体"/>
          <w:color w:val="000000"/>
          <w:sz w:val="28"/>
          <w:szCs w:val="28"/>
          <w:lang w:val="en-US" w:eastAsia="zh-CN"/>
        </w:rPr>
      </w:pPr>
    </w:p>
    <w:p w14:paraId="11530574">
      <w:pPr>
        <w:pStyle w:val="5"/>
        <w:ind w:right="440"/>
        <w:jc w:val="center"/>
        <w:rPr>
          <w:color w:val="auto"/>
          <w:highlight w:val="none"/>
        </w:rPr>
      </w:pPr>
      <w:r>
        <w:rPr>
          <w:rFonts w:hint="eastAsia" w:ascii="黑体" w:hAnsi="黑体" w:eastAsia="黑体"/>
          <w:b w:val="0"/>
          <w:bCs/>
          <w:color w:val="auto"/>
          <w:highlight w:val="none"/>
          <w:lang w:val="en-US" w:eastAsia="zh-CN"/>
        </w:rPr>
        <w:t xml:space="preserve"> </w:t>
      </w: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7"/>
          <w:rFonts w:hint="eastAsia" w:ascii="黑体" w:hAnsi="黑体" w:eastAsia="黑体"/>
          <w:b w:val="0"/>
          <w:bCs/>
          <w:color w:val="auto"/>
          <w:highlight w:val="none"/>
          <w:lang w:eastAsia="zh-CN"/>
        </w:rPr>
        <w:t>单位</w:t>
      </w:r>
      <w:r>
        <w:rPr>
          <w:rStyle w:val="27"/>
          <w:rFonts w:hint="eastAsia" w:ascii="黑体" w:hAnsi="黑体" w:eastAsia="黑体"/>
          <w:b w:val="0"/>
          <w:bCs/>
          <w:color w:val="auto"/>
          <w:highlight w:val="none"/>
        </w:rPr>
        <w:t>决算情况说明</w:t>
      </w:r>
      <w:bookmarkEnd w:id="11"/>
      <w:bookmarkEnd w:id="12"/>
    </w:p>
    <w:p w14:paraId="6C12D24E">
      <w:pPr>
        <w:pStyle w:val="26"/>
        <w:numPr>
          <w:ilvl w:val="0"/>
          <w:numId w:val="2"/>
        </w:numPr>
        <w:spacing w:line="600" w:lineRule="exact"/>
        <w:ind w:firstLineChars="0"/>
        <w:outlineLvl w:val="1"/>
        <w:rPr>
          <w:rStyle w:val="28"/>
          <w:rFonts w:hint="eastAsia" w:ascii="黑体" w:hAnsi="黑体" w:eastAsia="黑体"/>
          <w:b w:val="0"/>
          <w:color w:val="auto"/>
          <w:highlight w:val="none"/>
        </w:rPr>
      </w:pPr>
      <w:bookmarkStart w:id="13" w:name="_Toc15396603"/>
      <w:bookmarkStart w:id="14" w:name="_Toc15377205"/>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13"/>
      <w:bookmarkEnd w:id="14"/>
    </w:p>
    <w:p w14:paraId="2F1E2146">
      <w:pPr>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年度收、支总计29</w:t>
      </w:r>
      <w:r>
        <w:rPr>
          <w:rFonts w:hint="eastAsia" w:ascii="宋体" w:hAnsi="宋体" w:cs="宋体"/>
          <w:color w:val="auto"/>
          <w:sz w:val="28"/>
          <w:szCs w:val="28"/>
          <w:highlight w:val="none"/>
          <w:lang w:val="en-US" w:eastAsia="zh-CN"/>
        </w:rPr>
        <w:t>74</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万元。与20</w:t>
      </w: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年2903.8</w:t>
      </w:r>
      <w:r>
        <w:rPr>
          <w:rFonts w:hint="eastAsia" w:ascii="宋体" w:hAnsi="宋体" w:eastAsia="宋体" w:cs="宋体"/>
          <w:sz w:val="28"/>
          <w:szCs w:val="28"/>
          <w:lang w:val="en-US" w:eastAsia="zh-CN"/>
        </w:rPr>
        <w:t>万元</w:t>
      </w:r>
      <w:r>
        <w:rPr>
          <w:rFonts w:hint="eastAsia" w:ascii="宋体" w:hAnsi="宋体" w:eastAsia="宋体" w:cs="宋体"/>
          <w:color w:val="auto"/>
          <w:sz w:val="28"/>
          <w:szCs w:val="28"/>
          <w:highlight w:val="none"/>
        </w:rPr>
        <w:t>相比，收、支总计</w:t>
      </w:r>
      <w:r>
        <w:rPr>
          <w:rFonts w:hint="eastAsia" w:ascii="宋体" w:hAnsi="宋体" w:cs="宋体"/>
          <w:color w:val="auto"/>
          <w:sz w:val="28"/>
          <w:szCs w:val="28"/>
          <w:highlight w:val="none"/>
          <w:lang w:val="en-US" w:eastAsia="zh-CN"/>
        </w:rPr>
        <w:t>增加</w:t>
      </w:r>
      <w:r>
        <w:rPr>
          <w:rFonts w:hint="eastAsia" w:ascii="宋体" w:hAnsi="宋体" w:cs="宋体"/>
          <w:sz w:val="28"/>
          <w:szCs w:val="28"/>
          <w:lang w:val="en-US" w:eastAsia="zh-CN"/>
        </w:rPr>
        <w:t>70.8</w:t>
      </w:r>
      <w:r>
        <w:rPr>
          <w:rFonts w:hint="eastAsia" w:ascii="宋体" w:hAnsi="宋体" w:eastAsia="宋体" w:cs="宋体"/>
          <w:color w:val="auto"/>
          <w:sz w:val="28"/>
          <w:szCs w:val="28"/>
          <w:highlight w:val="none"/>
        </w:rPr>
        <w:t>万元，</w:t>
      </w:r>
      <w:r>
        <w:rPr>
          <w:rFonts w:hint="eastAsia" w:ascii="宋体" w:hAnsi="宋体" w:cs="宋体"/>
          <w:color w:val="auto"/>
          <w:sz w:val="28"/>
          <w:szCs w:val="28"/>
          <w:highlight w:val="none"/>
          <w:lang w:val="en-US" w:eastAsia="zh-CN"/>
        </w:rPr>
        <w:t>增长</w:t>
      </w:r>
      <w:r>
        <w:rPr>
          <w:rFonts w:hint="eastAsia" w:ascii="宋体" w:hAnsi="宋体" w:cs="宋体"/>
          <w:sz w:val="28"/>
          <w:szCs w:val="28"/>
          <w:lang w:val="en-US" w:eastAsia="zh-CN"/>
        </w:rPr>
        <w:t>2.44</w:t>
      </w:r>
      <w:r>
        <w:rPr>
          <w:rFonts w:hint="eastAsia" w:ascii="宋体" w:hAnsi="宋体" w:eastAsia="宋体" w:cs="宋体"/>
          <w:color w:val="auto"/>
          <w:sz w:val="28"/>
          <w:szCs w:val="28"/>
          <w:highlight w:val="none"/>
        </w:rPr>
        <w:t>%。主要变动原因人员工资支出</w:t>
      </w:r>
      <w:r>
        <w:rPr>
          <w:rFonts w:hint="eastAsia" w:ascii="宋体" w:hAnsi="宋体" w:cs="宋体"/>
          <w:color w:val="auto"/>
          <w:sz w:val="28"/>
          <w:szCs w:val="28"/>
          <w:highlight w:val="none"/>
          <w:lang w:val="en-US" w:eastAsia="zh-CN"/>
        </w:rPr>
        <w:t>增加</w:t>
      </w:r>
      <w:r>
        <w:rPr>
          <w:rFonts w:hint="eastAsia" w:ascii="宋体" w:hAnsi="宋体" w:eastAsia="宋体" w:cs="宋体"/>
          <w:color w:val="auto"/>
          <w:sz w:val="28"/>
          <w:szCs w:val="28"/>
          <w:highlight w:val="none"/>
        </w:rPr>
        <w:t>。</w:t>
      </w:r>
    </w:p>
    <w:p w14:paraId="72520589">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sz w:val="28"/>
          <w:szCs w:val="28"/>
        </w:rPr>
        <w:drawing>
          <wp:anchor distT="0" distB="0" distL="114300" distR="114300" simplePos="0" relativeHeight="251661312" behindDoc="1" locked="0" layoutInCell="1" allowOverlap="1">
            <wp:simplePos x="0" y="0"/>
            <wp:positionH relativeFrom="page">
              <wp:posOffset>1470660</wp:posOffset>
            </wp:positionH>
            <wp:positionV relativeFrom="page">
              <wp:posOffset>3238500</wp:posOffset>
            </wp:positionV>
            <wp:extent cx="4667250" cy="2446655"/>
            <wp:effectExtent l="4445" t="5080" r="14605" b="5715"/>
            <wp:wrapTight wrapText="bothSides">
              <wp:wrapPolygon>
                <wp:start x="-21" y="-45"/>
                <wp:lineTo x="-21" y="21482"/>
                <wp:lineTo x="21579" y="21482"/>
                <wp:lineTo x="21579" y="-45"/>
                <wp:lineTo x="-21" y="-45"/>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1D098DED">
      <w:pPr>
        <w:spacing w:line="600" w:lineRule="exact"/>
        <w:ind w:firstLine="640" w:firstLineChars="200"/>
        <w:rPr>
          <w:rFonts w:hint="eastAsia" w:ascii="仿宋" w:hAnsi="仿宋" w:eastAsia="仿宋"/>
          <w:color w:val="auto"/>
          <w:sz w:val="32"/>
          <w:szCs w:val="32"/>
          <w:highlight w:val="none"/>
        </w:rPr>
      </w:pPr>
    </w:p>
    <w:p w14:paraId="47988E11">
      <w:pPr>
        <w:spacing w:line="600" w:lineRule="exact"/>
        <w:ind w:firstLine="640" w:firstLineChars="200"/>
        <w:rPr>
          <w:rFonts w:hint="eastAsia" w:ascii="仿宋" w:hAnsi="仿宋" w:eastAsia="仿宋"/>
          <w:color w:val="auto"/>
          <w:sz w:val="32"/>
          <w:szCs w:val="32"/>
          <w:highlight w:val="none"/>
        </w:rPr>
      </w:pPr>
    </w:p>
    <w:p w14:paraId="494E568D">
      <w:pPr>
        <w:spacing w:line="600" w:lineRule="exact"/>
        <w:ind w:firstLine="640" w:firstLineChars="200"/>
        <w:rPr>
          <w:rFonts w:hint="eastAsia" w:ascii="仿宋" w:hAnsi="仿宋" w:eastAsia="仿宋"/>
          <w:color w:val="auto"/>
          <w:sz w:val="32"/>
          <w:szCs w:val="32"/>
          <w:highlight w:val="none"/>
        </w:rPr>
      </w:pPr>
    </w:p>
    <w:p w14:paraId="75D177CD">
      <w:pPr>
        <w:spacing w:line="600" w:lineRule="exact"/>
        <w:ind w:firstLine="640" w:firstLineChars="200"/>
        <w:rPr>
          <w:rFonts w:hint="eastAsia" w:ascii="仿宋" w:hAnsi="仿宋" w:eastAsia="仿宋"/>
          <w:color w:val="auto"/>
          <w:sz w:val="32"/>
          <w:szCs w:val="32"/>
          <w:highlight w:val="none"/>
        </w:rPr>
      </w:pPr>
    </w:p>
    <w:p w14:paraId="0063A20E">
      <w:pPr>
        <w:spacing w:line="600" w:lineRule="exact"/>
        <w:ind w:firstLine="1960" w:firstLineChars="700"/>
        <w:rPr>
          <w:rFonts w:ascii="仿宋_GB2312" w:eastAsia="仿宋_GB2312"/>
          <w:color w:val="auto"/>
          <w:sz w:val="28"/>
          <w:szCs w:val="28"/>
          <w:highlight w:val="none"/>
        </w:rPr>
      </w:pPr>
      <w:r>
        <w:rPr>
          <w:rFonts w:hint="eastAsia" w:ascii="仿宋" w:hAnsi="仿宋" w:eastAsia="仿宋"/>
          <w:color w:val="auto"/>
          <w:sz w:val="28"/>
          <w:szCs w:val="28"/>
          <w:highlight w:val="none"/>
        </w:rPr>
        <w:t>（图</w:t>
      </w:r>
      <w:r>
        <w:rPr>
          <w:rFonts w:ascii="仿宋" w:hAnsi="仿宋" w:eastAsia="仿宋"/>
          <w:color w:val="auto"/>
          <w:sz w:val="28"/>
          <w:szCs w:val="28"/>
          <w:highlight w:val="none"/>
        </w:rPr>
        <w:t>1</w:t>
      </w:r>
      <w:r>
        <w:rPr>
          <w:rFonts w:hint="eastAsia" w:ascii="仿宋" w:hAnsi="仿宋" w:eastAsia="仿宋"/>
          <w:color w:val="auto"/>
          <w:sz w:val="28"/>
          <w:szCs w:val="28"/>
          <w:highlight w:val="none"/>
        </w:rPr>
        <w:t>：收、支决算总计变动情况图）</w:t>
      </w:r>
    </w:p>
    <w:p w14:paraId="7F7E37F9">
      <w:pPr>
        <w:pStyle w:val="26"/>
        <w:numPr>
          <w:ilvl w:val="0"/>
          <w:numId w:val="2"/>
        </w:numPr>
        <w:spacing w:line="600" w:lineRule="exact"/>
        <w:ind w:firstLineChars="0"/>
        <w:outlineLvl w:val="1"/>
        <w:rPr>
          <w:rStyle w:val="28"/>
          <w:rFonts w:ascii="黑体" w:hAnsi="黑体" w:eastAsia="黑体"/>
          <w:b w:val="0"/>
          <w:color w:val="auto"/>
          <w:highlight w:val="none"/>
        </w:rPr>
      </w:pPr>
      <w:bookmarkStart w:id="15" w:name="_Toc15377206"/>
      <w:bookmarkStart w:id="16" w:name="_Toc15396604"/>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15"/>
      <w:bookmarkEnd w:id="16"/>
    </w:p>
    <w:p w14:paraId="02584D8E">
      <w:pPr>
        <w:snapToGrid w:val="0"/>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年本年收入合计29</w:t>
      </w:r>
      <w:r>
        <w:rPr>
          <w:rFonts w:hint="eastAsia" w:ascii="宋体" w:hAnsi="宋体" w:cs="宋体"/>
          <w:color w:val="auto"/>
          <w:sz w:val="28"/>
          <w:szCs w:val="28"/>
          <w:highlight w:val="none"/>
          <w:lang w:val="en-US" w:eastAsia="zh-CN"/>
        </w:rPr>
        <w:t>74</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万元，其中：一般公共预算财政拨款收入</w:t>
      </w:r>
      <w:r>
        <w:rPr>
          <w:rFonts w:hint="eastAsia" w:ascii="宋体" w:hAnsi="宋体" w:cs="宋体"/>
          <w:color w:val="auto"/>
          <w:sz w:val="28"/>
          <w:szCs w:val="28"/>
          <w:highlight w:val="none"/>
          <w:lang w:val="en-US" w:eastAsia="zh-CN"/>
        </w:rPr>
        <w:t>2493.17</w:t>
      </w:r>
      <w:r>
        <w:rPr>
          <w:rFonts w:hint="eastAsia" w:ascii="宋体" w:hAnsi="宋体" w:eastAsia="宋体" w:cs="宋体"/>
          <w:color w:val="auto"/>
          <w:sz w:val="28"/>
          <w:szCs w:val="28"/>
          <w:highlight w:val="none"/>
        </w:rPr>
        <w:t>万元，占</w:t>
      </w:r>
      <w:r>
        <w:rPr>
          <w:rFonts w:hint="eastAsia" w:ascii="宋体" w:hAnsi="宋体" w:eastAsia="宋体" w:cs="宋体"/>
          <w:color w:val="auto"/>
          <w:sz w:val="28"/>
          <w:szCs w:val="28"/>
          <w:highlight w:val="none"/>
          <w:lang w:val="en-US" w:eastAsia="zh-CN"/>
        </w:rPr>
        <w:t>8</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.8</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%；政府性基金预算财政拨款收入</w:t>
      </w:r>
      <w:r>
        <w:rPr>
          <w:rFonts w:hint="eastAsia" w:ascii="宋体" w:hAnsi="宋体" w:eastAsia="宋体" w:cs="宋体"/>
          <w:sz w:val="28"/>
          <w:szCs w:val="28"/>
        </w:rPr>
        <w:t>0.00</w:t>
      </w:r>
      <w:r>
        <w:rPr>
          <w:rFonts w:hint="eastAsia" w:ascii="宋体" w:hAnsi="宋体" w:eastAsia="宋体" w:cs="宋体"/>
          <w:color w:val="auto"/>
          <w:sz w:val="28"/>
          <w:szCs w:val="28"/>
          <w:highlight w:val="none"/>
        </w:rPr>
        <w:t>万元，占</w:t>
      </w:r>
      <w:r>
        <w:rPr>
          <w:rFonts w:hint="eastAsia" w:ascii="宋体" w:hAnsi="宋体" w:eastAsia="宋体" w:cs="宋体"/>
          <w:sz w:val="28"/>
          <w:szCs w:val="28"/>
        </w:rPr>
        <w:t>0.00</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国有资本经营预算财政拨款收入</w:t>
      </w:r>
      <w:r>
        <w:rPr>
          <w:rFonts w:hint="eastAsia" w:ascii="宋体" w:hAnsi="宋体" w:eastAsia="宋体" w:cs="宋体"/>
          <w:sz w:val="28"/>
          <w:szCs w:val="28"/>
        </w:rPr>
        <w:t>0.00</w:t>
      </w:r>
      <w:r>
        <w:rPr>
          <w:rFonts w:hint="eastAsia" w:ascii="宋体" w:hAnsi="宋体" w:eastAsia="宋体" w:cs="宋体"/>
          <w:color w:val="auto"/>
          <w:sz w:val="28"/>
          <w:szCs w:val="28"/>
          <w:highlight w:val="none"/>
        </w:rPr>
        <w:t>万元，占</w:t>
      </w:r>
      <w:r>
        <w:rPr>
          <w:rFonts w:hint="eastAsia" w:ascii="宋体" w:hAnsi="宋体" w:eastAsia="宋体" w:cs="宋体"/>
          <w:sz w:val="28"/>
          <w:szCs w:val="28"/>
        </w:rPr>
        <w:t>0.00</w:t>
      </w:r>
      <w:r>
        <w:rPr>
          <w:rFonts w:hint="eastAsia" w:ascii="宋体" w:hAnsi="宋体" w:eastAsia="宋体" w:cs="宋体"/>
          <w:color w:val="auto"/>
          <w:sz w:val="28"/>
          <w:szCs w:val="28"/>
          <w:highlight w:val="none"/>
        </w:rPr>
        <w:t>%；上级补助收入</w:t>
      </w:r>
      <w:r>
        <w:rPr>
          <w:rFonts w:hint="eastAsia" w:ascii="宋体" w:hAnsi="宋体" w:eastAsia="宋体" w:cs="宋体"/>
          <w:sz w:val="28"/>
          <w:szCs w:val="28"/>
        </w:rPr>
        <w:t>0.00</w:t>
      </w:r>
      <w:r>
        <w:rPr>
          <w:rFonts w:hint="eastAsia" w:ascii="宋体" w:hAnsi="宋体" w:eastAsia="宋体" w:cs="宋体"/>
          <w:color w:val="auto"/>
          <w:sz w:val="28"/>
          <w:szCs w:val="28"/>
          <w:highlight w:val="none"/>
        </w:rPr>
        <w:t>万元，占</w:t>
      </w:r>
      <w:r>
        <w:rPr>
          <w:rFonts w:hint="eastAsia" w:ascii="宋体" w:hAnsi="宋体" w:eastAsia="宋体" w:cs="宋体"/>
          <w:sz w:val="28"/>
          <w:szCs w:val="28"/>
        </w:rPr>
        <w:t>0.00</w:t>
      </w:r>
      <w:r>
        <w:rPr>
          <w:rFonts w:hint="eastAsia" w:ascii="宋体" w:hAnsi="宋体" w:eastAsia="宋体" w:cs="宋体"/>
          <w:color w:val="auto"/>
          <w:sz w:val="28"/>
          <w:szCs w:val="28"/>
          <w:highlight w:val="none"/>
        </w:rPr>
        <w:t>%；事业收入</w:t>
      </w:r>
      <w:r>
        <w:rPr>
          <w:rFonts w:hint="eastAsia" w:ascii="宋体" w:hAnsi="宋体" w:cs="宋体"/>
          <w:color w:val="auto"/>
          <w:sz w:val="28"/>
          <w:szCs w:val="28"/>
          <w:highlight w:val="none"/>
          <w:lang w:val="en-US" w:eastAsia="zh-CN"/>
        </w:rPr>
        <w:t>186.3</w:t>
      </w:r>
      <w:r>
        <w:rPr>
          <w:rFonts w:hint="eastAsia" w:ascii="宋体" w:hAnsi="宋体" w:eastAsia="宋体" w:cs="宋体"/>
          <w:color w:val="auto"/>
          <w:sz w:val="28"/>
          <w:szCs w:val="28"/>
          <w:highlight w:val="none"/>
        </w:rPr>
        <w:t>万元，占</w:t>
      </w:r>
      <w:r>
        <w:rPr>
          <w:rFonts w:hint="eastAsia" w:ascii="宋体" w:hAnsi="宋体" w:cs="宋体"/>
          <w:color w:val="auto"/>
          <w:sz w:val="28"/>
          <w:szCs w:val="28"/>
          <w:highlight w:val="none"/>
          <w:lang w:val="en-US" w:eastAsia="zh-CN"/>
        </w:rPr>
        <w:t>6.26</w:t>
      </w:r>
      <w:r>
        <w:rPr>
          <w:rFonts w:hint="eastAsia" w:ascii="宋体" w:hAnsi="宋体" w:eastAsia="宋体" w:cs="宋体"/>
          <w:color w:val="auto"/>
          <w:sz w:val="28"/>
          <w:szCs w:val="28"/>
          <w:highlight w:val="none"/>
        </w:rPr>
        <w:t>%；经营收入</w:t>
      </w:r>
      <w:r>
        <w:rPr>
          <w:rFonts w:hint="eastAsia" w:ascii="宋体" w:hAnsi="宋体" w:eastAsia="宋体" w:cs="宋体"/>
          <w:sz w:val="28"/>
          <w:szCs w:val="28"/>
        </w:rPr>
        <w:t>0.00</w:t>
      </w:r>
      <w:r>
        <w:rPr>
          <w:rFonts w:hint="eastAsia" w:ascii="宋体" w:hAnsi="宋体" w:eastAsia="宋体" w:cs="宋体"/>
          <w:color w:val="auto"/>
          <w:sz w:val="28"/>
          <w:szCs w:val="28"/>
          <w:highlight w:val="none"/>
        </w:rPr>
        <w:t>万元，占</w:t>
      </w:r>
      <w:r>
        <w:rPr>
          <w:rFonts w:hint="eastAsia" w:ascii="宋体" w:hAnsi="宋体" w:eastAsia="宋体" w:cs="宋体"/>
          <w:sz w:val="28"/>
          <w:szCs w:val="28"/>
        </w:rPr>
        <w:t>0.00</w:t>
      </w:r>
      <w:r>
        <w:rPr>
          <w:rFonts w:hint="eastAsia" w:ascii="宋体" w:hAnsi="宋体" w:eastAsia="宋体" w:cs="宋体"/>
          <w:color w:val="auto"/>
          <w:sz w:val="28"/>
          <w:szCs w:val="28"/>
          <w:highlight w:val="none"/>
        </w:rPr>
        <w:t>%；附属单位上缴收入</w:t>
      </w:r>
      <w:r>
        <w:rPr>
          <w:rFonts w:hint="eastAsia" w:ascii="宋体" w:hAnsi="宋体" w:eastAsia="宋体" w:cs="宋体"/>
          <w:sz w:val="28"/>
          <w:szCs w:val="28"/>
        </w:rPr>
        <w:t>0.00</w:t>
      </w:r>
      <w:r>
        <w:rPr>
          <w:rFonts w:hint="eastAsia" w:ascii="宋体" w:hAnsi="宋体" w:eastAsia="宋体" w:cs="宋体"/>
          <w:color w:val="auto"/>
          <w:sz w:val="28"/>
          <w:szCs w:val="28"/>
          <w:highlight w:val="none"/>
        </w:rPr>
        <w:t>万元，占</w:t>
      </w:r>
      <w:r>
        <w:rPr>
          <w:rFonts w:hint="eastAsia" w:ascii="宋体" w:hAnsi="宋体" w:eastAsia="宋体" w:cs="宋体"/>
          <w:sz w:val="28"/>
          <w:szCs w:val="28"/>
        </w:rPr>
        <w:t>0.00</w:t>
      </w:r>
      <w:r>
        <w:rPr>
          <w:rFonts w:hint="eastAsia" w:ascii="宋体" w:hAnsi="宋体" w:eastAsia="宋体" w:cs="宋体"/>
          <w:color w:val="auto"/>
          <w:sz w:val="28"/>
          <w:szCs w:val="28"/>
          <w:highlight w:val="none"/>
        </w:rPr>
        <w:t>%；其他收入</w:t>
      </w:r>
      <w:r>
        <w:rPr>
          <w:rFonts w:hint="eastAsia" w:ascii="宋体" w:hAnsi="宋体" w:cs="宋体"/>
          <w:color w:val="auto"/>
          <w:sz w:val="28"/>
          <w:szCs w:val="28"/>
          <w:highlight w:val="none"/>
          <w:lang w:val="en-US" w:eastAsia="zh-CN"/>
        </w:rPr>
        <w:t>295.14</w:t>
      </w:r>
      <w:r>
        <w:rPr>
          <w:rFonts w:hint="eastAsia" w:ascii="宋体" w:hAnsi="宋体" w:eastAsia="宋体" w:cs="宋体"/>
          <w:color w:val="auto"/>
          <w:sz w:val="28"/>
          <w:szCs w:val="28"/>
          <w:highlight w:val="none"/>
        </w:rPr>
        <w:t>万元，占</w:t>
      </w:r>
      <w:r>
        <w:rPr>
          <w:rFonts w:hint="eastAsia" w:ascii="宋体" w:hAnsi="宋体" w:cs="宋体"/>
          <w:color w:val="auto"/>
          <w:sz w:val="28"/>
          <w:szCs w:val="28"/>
          <w:highlight w:val="none"/>
          <w:lang w:val="en-US" w:eastAsia="zh-CN"/>
        </w:rPr>
        <w:t>9.92</w:t>
      </w:r>
      <w:r>
        <w:rPr>
          <w:rFonts w:hint="eastAsia" w:ascii="宋体" w:hAnsi="宋体" w:eastAsia="宋体" w:cs="宋体"/>
          <w:color w:val="auto"/>
          <w:sz w:val="28"/>
          <w:szCs w:val="28"/>
          <w:highlight w:val="none"/>
        </w:rPr>
        <w:t>%。</w:t>
      </w:r>
    </w:p>
    <w:p w14:paraId="135EB77D">
      <w:pPr>
        <w:spacing w:line="600" w:lineRule="exact"/>
        <w:ind w:firstLine="562" w:firstLineChars="200"/>
        <w:outlineLvl w:val="1"/>
        <w:rPr>
          <w:rFonts w:hint="eastAsia" w:ascii="宋体" w:hAnsi="宋体" w:eastAsia="宋体" w:cs="宋体"/>
          <w:b/>
          <w:color w:val="auto"/>
          <w:sz w:val="28"/>
          <w:szCs w:val="28"/>
          <w:highlight w:val="none"/>
        </w:rPr>
      </w:pPr>
    </w:p>
    <w:p w14:paraId="1558301F">
      <w:pPr>
        <w:spacing w:line="600" w:lineRule="exact"/>
        <w:ind w:firstLine="640" w:firstLineChars="200"/>
        <w:outlineLvl w:val="1"/>
        <w:rPr>
          <w:rFonts w:ascii="仿宋" w:hAnsi="仿宋" w:eastAsia="仿宋"/>
          <w:color w:val="auto"/>
          <w:sz w:val="32"/>
          <w:szCs w:val="32"/>
          <w:highlight w:val="none"/>
        </w:rPr>
      </w:pPr>
    </w:p>
    <w:p w14:paraId="38313CA1">
      <w:pPr>
        <w:spacing w:line="600" w:lineRule="exact"/>
        <w:ind w:firstLine="560" w:firstLineChars="200"/>
        <w:rPr>
          <w:rFonts w:hint="eastAsia" w:ascii="宋体" w:hAnsi="宋体" w:eastAsia="宋体" w:cs="宋体"/>
          <w:color w:val="auto"/>
          <w:sz w:val="28"/>
          <w:szCs w:val="28"/>
          <w:highlight w:val="none"/>
        </w:rPr>
      </w:pPr>
    </w:p>
    <w:p w14:paraId="4C9F0E4F">
      <w:pPr>
        <w:spacing w:line="600" w:lineRule="exact"/>
        <w:ind w:firstLine="640" w:firstLineChars="200"/>
        <w:rPr>
          <w:rFonts w:hint="eastAsia" w:ascii="宋体" w:hAnsi="宋体" w:eastAsia="宋体" w:cs="宋体"/>
          <w:color w:val="auto"/>
          <w:sz w:val="28"/>
          <w:szCs w:val="28"/>
          <w:highlight w:val="none"/>
        </w:rPr>
      </w:pP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400685</wp:posOffset>
            </wp:positionH>
            <wp:positionV relativeFrom="paragraph">
              <wp:posOffset>143510</wp:posOffset>
            </wp:positionV>
            <wp:extent cx="4574540" cy="2367280"/>
            <wp:effectExtent l="4445" t="4445" r="8255" b="571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4150B940">
      <w:pPr>
        <w:spacing w:line="600" w:lineRule="exact"/>
        <w:ind w:firstLine="560" w:firstLineChars="200"/>
        <w:rPr>
          <w:rFonts w:hint="eastAsia" w:ascii="宋体" w:hAnsi="宋体" w:eastAsia="宋体" w:cs="宋体"/>
          <w:color w:val="auto"/>
          <w:sz w:val="28"/>
          <w:szCs w:val="28"/>
          <w:highlight w:val="none"/>
        </w:rPr>
      </w:pPr>
    </w:p>
    <w:p w14:paraId="534F57F4">
      <w:pPr>
        <w:spacing w:line="600" w:lineRule="exact"/>
        <w:ind w:firstLine="560" w:firstLineChars="200"/>
        <w:rPr>
          <w:rFonts w:hint="eastAsia" w:ascii="宋体" w:hAnsi="宋体" w:eastAsia="宋体" w:cs="宋体"/>
          <w:color w:val="auto"/>
          <w:sz w:val="28"/>
          <w:szCs w:val="28"/>
          <w:highlight w:val="none"/>
        </w:rPr>
      </w:pPr>
    </w:p>
    <w:p w14:paraId="7D7DADFF">
      <w:pPr>
        <w:spacing w:line="600" w:lineRule="exact"/>
        <w:ind w:firstLine="560" w:firstLineChars="200"/>
        <w:rPr>
          <w:rFonts w:hint="eastAsia" w:ascii="宋体" w:hAnsi="宋体" w:eastAsia="宋体" w:cs="宋体"/>
          <w:color w:val="auto"/>
          <w:sz w:val="28"/>
          <w:szCs w:val="28"/>
          <w:highlight w:val="none"/>
        </w:rPr>
      </w:pPr>
    </w:p>
    <w:p w14:paraId="498014B4">
      <w:pPr>
        <w:pStyle w:val="8"/>
        <w:rPr>
          <w:rFonts w:hint="eastAsia" w:ascii="宋体" w:hAnsi="宋体" w:eastAsia="宋体" w:cs="宋体"/>
          <w:color w:val="auto"/>
          <w:sz w:val="28"/>
          <w:szCs w:val="28"/>
          <w:highlight w:val="none"/>
        </w:rPr>
      </w:pPr>
    </w:p>
    <w:p w14:paraId="4F18750E">
      <w:pPr>
        <w:spacing w:line="600" w:lineRule="exact"/>
        <w:rPr>
          <w:rFonts w:hint="eastAsia" w:ascii="宋体" w:hAnsi="宋体" w:eastAsia="宋体" w:cs="宋体"/>
          <w:color w:val="auto"/>
          <w:sz w:val="28"/>
          <w:szCs w:val="28"/>
          <w:highlight w:val="none"/>
          <w:lang w:eastAsia="zh-CN"/>
        </w:rPr>
      </w:pPr>
    </w:p>
    <w:p w14:paraId="26A479FB">
      <w:pPr>
        <w:spacing w:line="600" w:lineRule="exact"/>
        <w:ind w:left="2514" w:leftChars="1197" w:firstLine="320" w:firstLineChars="100"/>
        <w:rPr>
          <w:rFonts w:ascii="仿宋_GB2312" w:eastAsia="仿宋_GB2312"/>
          <w:color w:val="auto"/>
          <w:sz w:val="32"/>
          <w:szCs w:val="32"/>
          <w:highlight w:val="none"/>
        </w:rPr>
      </w:pPr>
      <w:r>
        <w:rPr>
          <w:rFonts w:hint="eastAsia" w:ascii="宋体" w:hAnsi="宋体" w:cs="宋体"/>
          <w:color w:val="auto"/>
          <w:sz w:val="32"/>
          <w:szCs w:val="32"/>
          <w:highlight w:val="none"/>
          <w:lang w:val="en-US" w:eastAsia="zh-CN"/>
        </w:rPr>
        <w:t xml:space="preserve">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图2：收入决算结构图）</w:t>
      </w:r>
    </w:p>
    <w:p w14:paraId="12F077ED">
      <w:pPr>
        <w:pStyle w:val="26"/>
        <w:numPr>
          <w:ilvl w:val="0"/>
          <w:numId w:val="2"/>
        </w:numPr>
        <w:spacing w:line="600" w:lineRule="exact"/>
        <w:ind w:firstLineChars="0"/>
        <w:outlineLvl w:val="1"/>
        <w:rPr>
          <w:rStyle w:val="28"/>
          <w:rFonts w:ascii="黑体" w:hAnsi="黑体" w:eastAsia="黑体"/>
          <w:b w:val="0"/>
          <w:color w:val="auto"/>
          <w:highlight w:val="none"/>
        </w:rPr>
      </w:pPr>
      <w:bookmarkStart w:id="17" w:name="_Toc15377207"/>
      <w:bookmarkStart w:id="18" w:name="_Toc15396605"/>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17"/>
      <w:bookmarkEnd w:id="18"/>
    </w:p>
    <w:p w14:paraId="44FE9F75">
      <w:pPr>
        <w:spacing w:line="600" w:lineRule="exact"/>
        <w:ind w:firstLine="560" w:firstLineChars="200"/>
        <w:outlineLvl w:val="1"/>
        <w:rPr>
          <w:rFonts w:ascii="仿宋" w:hAnsi="仿宋" w:eastAsia="仿宋"/>
          <w:color w:val="auto"/>
          <w:sz w:val="32"/>
          <w:szCs w:val="32"/>
          <w:highlight w:val="none"/>
        </w:rPr>
      </w:pP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年本年支出合计29</w:t>
      </w:r>
      <w:r>
        <w:rPr>
          <w:rFonts w:hint="eastAsia" w:ascii="宋体" w:hAnsi="宋体" w:cs="宋体"/>
          <w:color w:val="auto"/>
          <w:sz w:val="28"/>
          <w:szCs w:val="28"/>
          <w:highlight w:val="none"/>
          <w:lang w:val="en-US" w:eastAsia="zh-CN"/>
        </w:rPr>
        <w:t>74</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万元，其中：基本支出</w:t>
      </w:r>
      <w:r>
        <w:rPr>
          <w:rFonts w:hint="eastAsia" w:ascii="宋体" w:hAnsi="宋体" w:cs="宋体"/>
          <w:color w:val="auto"/>
          <w:sz w:val="28"/>
          <w:szCs w:val="28"/>
          <w:highlight w:val="none"/>
          <w:lang w:val="en-US" w:eastAsia="zh-CN"/>
        </w:rPr>
        <w:t>2414.68</w:t>
      </w:r>
      <w:r>
        <w:rPr>
          <w:rFonts w:hint="eastAsia" w:ascii="宋体" w:hAnsi="宋体" w:eastAsia="宋体" w:cs="宋体"/>
          <w:color w:val="auto"/>
          <w:sz w:val="28"/>
          <w:szCs w:val="28"/>
          <w:highlight w:val="none"/>
        </w:rPr>
        <w:t>万元，占</w:t>
      </w:r>
      <w:r>
        <w:rPr>
          <w:rFonts w:hint="eastAsia" w:ascii="宋体" w:hAnsi="宋体" w:cs="宋体"/>
          <w:color w:val="auto"/>
          <w:sz w:val="28"/>
          <w:szCs w:val="28"/>
          <w:highlight w:val="none"/>
          <w:lang w:val="en-US" w:eastAsia="zh-CN"/>
        </w:rPr>
        <w:t>81</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18</w:t>
      </w:r>
      <w:r>
        <w:rPr>
          <w:rFonts w:hint="eastAsia" w:ascii="宋体" w:hAnsi="宋体" w:eastAsia="宋体" w:cs="宋体"/>
          <w:color w:val="auto"/>
          <w:sz w:val="28"/>
          <w:szCs w:val="28"/>
          <w:highlight w:val="none"/>
        </w:rPr>
        <w:t>%；项目支出</w:t>
      </w:r>
      <w:r>
        <w:rPr>
          <w:rFonts w:hint="eastAsia" w:ascii="宋体" w:hAnsi="宋体" w:cs="宋体"/>
          <w:color w:val="auto"/>
          <w:sz w:val="28"/>
          <w:szCs w:val="28"/>
          <w:highlight w:val="none"/>
          <w:lang w:val="en-US" w:eastAsia="zh-CN"/>
        </w:rPr>
        <w:t>559.94</w:t>
      </w:r>
      <w:r>
        <w:rPr>
          <w:rFonts w:hint="eastAsia" w:ascii="宋体" w:hAnsi="宋体" w:eastAsia="宋体" w:cs="宋体"/>
          <w:color w:val="auto"/>
          <w:sz w:val="28"/>
          <w:szCs w:val="28"/>
          <w:highlight w:val="none"/>
        </w:rPr>
        <w:t>万元，占</w:t>
      </w:r>
      <w:r>
        <w:rPr>
          <w:rFonts w:hint="eastAsia" w:ascii="宋体" w:hAnsi="宋体" w:cs="宋体"/>
          <w:color w:val="auto"/>
          <w:sz w:val="28"/>
          <w:szCs w:val="28"/>
          <w:highlight w:val="none"/>
          <w:lang w:val="en-US" w:eastAsia="zh-CN"/>
        </w:rPr>
        <w:t>18</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82</w:t>
      </w:r>
      <w:r>
        <w:rPr>
          <w:rFonts w:hint="eastAsia" w:ascii="宋体" w:hAnsi="宋体" w:eastAsia="宋体" w:cs="宋体"/>
          <w:color w:val="auto"/>
          <w:sz w:val="28"/>
          <w:szCs w:val="28"/>
          <w:highlight w:val="none"/>
        </w:rPr>
        <w:t>%；上缴上级支出</w:t>
      </w:r>
      <w:r>
        <w:rPr>
          <w:rFonts w:hint="eastAsia" w:ascii="宋体" w:hAnsi="宋体" w:eastAsia="宋体" w:cs="宋体"/>
          <w:sz w:val="28"/>
          <w:szCs w:val="28"/>
        </w:rPr>
        <w:t>0.00</w:t>
      </w:r>
      <w:r>
        <w:rPr>
          <w:rFonts w:hint="eastAsia" w:ascii="宋体" w:hAnsi="宋体" w:eastAsia="宋体" w:cs="宋体"/>
          <w:color w:val="auto"/>
          <w:sz w:val="28"/>
          <w:szCs w:val="28"/>
          <w:highlight w:val="none"/>
        </w:rPr>
        <w:t>万元，占</w:t>
      </w:r>
      <w:r>
        <w:rPr>
          <w:rFonts w:hint="eastAsia" w:ascii="宋体" w:hAnsi="宋体" w:eastAsia="宋体" w:cs="宋体"/>
          <w:sz w:val="28"/>
          <w:szCs w:val="28"/>
        </w:rPr>
        <w:t>0.00</w:t>
      </w:r>
      <w:r>
        <w:rPr>
          <w:rFonts w:hint="eastAsia" w:ascii="宋体" w:hAnsi="宋体" w:eastAsia="宋体" w:cs="宋体"/>
          <w:color w:val="auto"/>
          <w:sz w:val="28"/>
          <w:szCs w:val="28"/>
          <w:highlight w:val="none"/>
        </w:rPr>
        <w:t>%；经营支出</w:t>
      </w:r>
      <w:r>
        <w:rPr>
          <w:rFonts w:hint="eastAsia" w:ascii="宋体" w:hAnsi="宋体" w:eastAsia="宋体" w:cs="宋体"/>
          <w:sz w:val="28"/>
          <w:szCs w:val="28"/>
        </w:rPr>
        <w:t>0.00</w:t>
      </w:r>
      <w:r>
        <w:rPr>
          <w:rFonts w:hint="eastAsia" w:ascii="宋体" w:hAnsi="宋体" w:eastAsia="宋体" w:cs="宋体"/>
          <w:color w:val="auto"/>
          <w:sz w:val="28"/>
          <w:szCs w:val="28"/>
          <w:highlight w:val="none"/>
        </w:rPr>
        <w:t>万元，占</w:t>
      </w:r>
      <w:r>
        <w:rPr>
          <w:rFonts w:hint="eastAsia" w:ascii="宋体" w:hAnsi="宋体" w:eastAsia="宋体" w:cs="宋体"/>
          <w:sz w:val="28"/>
          <w:szCs w:val="28"/>
        </w:rPr>
        <w:t>0.00</w:t>
      </w:r>
      <w:r>
        <w:rPr>
          <w:rFonts w:hint="eastAsia" w:ascii="宋体" w:hAnsi="宋体" w:eastAsia="宋体" w:cs="宋体"/>
          <w:color w:val="auto"/>
          <w:sz w:val="28"/>
          <w:szCs w:val="28"/>
          <w:highlight w:val="none"/>
        </w:rPr>
        <w:t>%；对附属单位补助支出</w:t>
      </w:r>
      <w:r>
        <w:rPr>
          <w:rFonts w:hint="eastAsia" w:ascii="宋体" w:hAnsi="宋体" w:eastAsia="宋体" w:cs="宋体"/>
          <w:sz w:val="28"/>
          <w:szCs w:val="28"/>
        </w:rPr>
        <w:t>0.00</w:t>
      </w:r>
      <w:r>
        <w:rPr>
          <w:rFonts w:hint="eastAsia" w:ascii="宋体" w:hAnsi="宋体" w:eastAsia="宋体" w:cs="宋体"/>
          <w:color w:val="auto"/>
          <w:sz w:val="28"/>
          <w:szCs w:val="28"/>
          <w:highlight w:val="none"/>
        </w:rPr>
        <w:t>万元，占</w:t>
      </w:r>
      <w:r>
        <w:rPr>
          <w:rFonts w:hint="eastAsia" w:ascii="宋体" w:hAnsi="宋体" w:eastAsia="宋体" w:cs="宋体"/>
          <w:sz w:val="28"/>
          <w:szCs w:val="28"/>
        </w:rPr>
        <w:t>0.00</w:t>
      </w:r>
      <w:r>
        <w:rPr>
          <w:rFonts w:hint="eastAsia" w:ascii="宋体" w:hAnsi="宋体" w:eastAsia="宋体" w:cs="宋体"/>
          <w:color w:val="auto"/>
          <w:sz w:val="28"/>
          <w:szCs w:val="28"/>
          <w:highlight w:val="none"/>
        </w:rPr>
        <w:t>%。</w:t>
      </w:r>
    </w:p>
    <w:p w14:paraId="0CEFEBC0">
      <w:pPr>
        <w:spacing w:line="600" w:lineRule="exact"/>
        <w:ind w:firstLine="640"/>
        <w:rPr>
          <w:rFonts w:hint="default" w:ascii="仿宋" w:hAnsi="仿宋" w:eastAsia="仿宋"/>
          <w:color w:val="auto"/>
          <w:sz w:val="32"/>
          <w:szCs w:val="32"/>
          <w:highlight w:val="none"/>
          <w:shd w:val="pct10" w:color="auto" w:fill="FFFFFF"/>
          <w:lang w:val="en-US" w:eastAsia="zh-CN"/>
        </w:rPr>
      </w:pPr>
      <w:r>
        <w:rPr>
          <w:rFonts w:ascii="仿宋_GB2312" w:eastAsia="仿宋_GB2312"/>
          <w:sz w:val="32"/>
          <w:szCs w:val="32"/>
        </w:rPr>
        <w:drawing>
          <wp:anchor distT="0" distB="0" distL="114300" distR="114300" simplePos="0" relativeHeight="251659264" behindDoc="0" locked="0" layoutInCell="1" allowOverlap="1">
            <wp:simplePos x="0" y="0"/>
            <wp:positionH relativeFrom="column">
              <wp:posOffset>82550</wp:posOffset>
            </wp:positionH>
            <wp:positionV relativeFrom="paragraph">
              <wp:posOffset>354330</wp:posOffset>
            </wp:positionV>
            <wp:extent cx="5298440" cy="2101215"/>
            <wp:effectExtent l="4445" t="4445" r="15875" b="1270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63B99465">
      <w:pPr>
        <w:spacing w:line="600" w:lineRule="exact"/>
        <w:ind w:firstLine="2520" w:firstLineChars="9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（图3：支出决算结构图）</w:t>
      </w:r>
    </w:p>
    <w:p w14:paraId="2CB9FED5">
      <w:pPr>
        <w:spacing w:line="600" w:lineRule="exact"/>
        <w:ind w:firstLine="640" w:firstLineChars="200"/>
        <w:rPr>
          <w:rFonts w:ascii="仿宋_GB2312" w:eastAsia="仿宋_GB2312"/>
          <w:color w:val="auto"/>
          <w:sz w:val="32"/>
          <w:szCs w:val="32"/>
          <w:highlight w:val="none"/>
        </w:rPr>
      </w:pPr>
    </w:p>
    <w:p w14:paraId="62D0219C">
      <w:pPr>
        <w:spacing w:line="600" w:lineRule="exact"/>
        <w:ind w:firstLine="640" w:firstLineChars="200"/>
        <w:outlineLvl w:val="1"/>
        <w:rPr>
          <w:rStyle w:val="28"/>
          <w:rFonts w:ascii="黑体" w:hAnsi="黑体" w:eastAsia="黑体"/>
          <w:b w:val="0"/>
          <w:color w:val="auto"/>
          <w:highlight w:val="none"/>
        </w:rPr>
      </w:pPr>
      <w:bookmarkStart w:id="19" w:name="_Toc15377208"/>
      <w:bookmarkStart w:id="20" w:name="_Toc15396606"/>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19"/>
      <w:bookmarkEnd w:id="20"/>
    </w:p>
    <w:p w14:paraId="24A9BE9B">
      <w:pPr>
        <w:snapToGrid w:val="0"/>
        <w:spacing w:line="560" w:lineRule="exact"/>
        <w:ind w:firstLine="840" w:firstLineChars="300"/>
        <w:rPr>
          <w:rFonts w:ascii="仿宋" w:hAnsi="仿宋" w:eastAsia="仿宋"/>
          <w:color w:val="auto"/>
          <w:sz w:val="32"/>
          <w:szCs w:val="32"/>
          <w:highlight w:val="none"/>
        </w:rPr>
      </w:pP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年财政拨款收、支总计</w:t>
      </w:r>
      <w:r>
        <w:rPr>
          <w:rFonts w:hint="eastAsia" w:ascii="宋体" w:hAnsi="宋体" w:cs="宋体"/>
          <w:color w:val="auto"/>
          <w:sz w:val="28"/>
          <w:szCs w:val="28"/>
          <w:highlight w:val="none"/>
          <w:lang w:val="en-US" w:eastAsia="zh-CN"/>
        </w:rPr>
        <w:t>2493.17</w:t>
      </w:r>
      <w:r>
        <w:rPr>
          <w:rFonts w:hint="eastAsia" w:ascii="宋体" w:hAnsi="宋体" w:eastAsia="宋体" w:cs="宋体"/>
          <w:color w:val="auto"/>
          <w:sz w:val="28"/>
          <w:szCs w:val="28"/>
          <w:highlight w:val="none"/>
        </w:rPr>
        <w:t>万元。与20</w:t>
      </w: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t>年相比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2668.76</w:t>
      </w:r>
      <w:r>
        <w:rPr>
          <w:rFonts w:hint="eastAsia" w:ascii="宋体" w:hAnsi="宋体" w:eastAsia="宋体" w:cs="宋体"/>
          <w:color w:val="auto"/>
          <w:sz w:val="28"/>
          <w:szCs w:val="28"/>
          <w:highlight w:val="none"/>
          <w:lang w:val="en-US" w:eastAsia="zh-CN"/>
        </w:rPr>
        <w:t>万元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，财政拨款收、支总计各减少</w:t>
      </w:r>
      <w:r>
        <w:rPr>
          <w:rFonts w:hint="eastAsia" w:ascii="宋体" w:hAnsi="宋体" w:cs="宋体"/>
          <w:color w:val="auto"/>
          <w:sz w:val="28"/>
          <w:szCs w:val="28"/>
          <w:highlight w:val="none"/>
          <w:lang w:val="en-US" w:eastAsia="zh-CN"/>
        </w:rPr>
        <w:t>175.59</w:t>
      </w:r>
      <w:r>
        <w:rPr>
          <w:rFonts w:hint="eastAsia" w:ascii="宋体" w:hAnsi="宋体" w:eastAsia="宋体" w:cs="宋体"/>
          <w:color w:val="auto"/>
          <w:sz w:val="28"/>
          <w:szCs w:val="28"/>
          <w:highlight w:val="none"/>
        </w:rPr>
        <w:t>万元，下降</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58</w:t>
      </w:r>
      <w:r>
        <w:rPr>
          <w:rFonts w:hint="eastAsia" w:ascii="宋体" w:hAnsi="宋体" w:eastAsia="宋体" w:cs="宋体"/>
          <w:color w:val="auto"/>
          <w:sz w:val="28"/>
          <w:szCs w:val="28"/>
          <w:highlight w:val="none"/>
        </w:rPr>
        <w:t>%。主要变动原因是</w:t>
      </w:r>
      <w:r>
        <w:rPr>
          <w:rFonts w:hint="eastAsia" w:ascii="宋体" w:hAnsi="宋体" w:eastAsia="宋体" w:cs="宋体"/>
          <w:color w:val="auto"/>
          <w:sz w:val="28"/>
          <w:szCs w:val="28"/>
          <w:highlight w:val="none"/>
          <w:lang w:val="en-US" w:eastAsia="zh-CN"/>
        </w:rPr>
        <w:t>项目预算减少</w:t>
      </w:r>
      <w:r>
        <w:rPr>
          <w:rFonts w:hint="eastAsia" w:ascii="宋体" w:hAnsi="宋体" w:eastAsia="宋体" w:cs="宋体"/>
          <w:color w:val="auto"/>
          <w:sz w:val="28"/>
          <w:szCs w:val="28"/>
          <w:highlight w:val="none"/>
        </w:rPr>
        <w:t>。</w:t>
      </w:r>
    </w:p>
    <w:p w14:paraId="51969412">
      <w:pPr>
        <w:spacing w:line="240" w:lineRule="auto"/>
        <w:ind w:firstLine="0" w:firstLineChars="0"/>
        <w:rPr>
          <w:rFonts w:hint="eastAsia" w:ascii="宋体" w:hAnsi="宋体" w:eastAsia="宋体" w:cs="宋体"/>
          <w:color w:val="auto"/>
          <w:sz w:val="28"/>
          <w:szCs w:val="28"/>
          <w:highlight w:val="none"/>
        </w:rPr>
      </w:pPr>
      <w:r>
        <w:rPr>
          <w:rFonts w:ascii="仿宋_GB2312" w:eastAsia="仿宋_GB2312"/>
          <w:sz w:val="32"/>
          <w:szCs w:val="32"/>
        </w:rPr>
        <w:drawing>
          <wp:anchor distT="0" distB="0" distL="114300" distR="114300" simplePos="0" relativeHeight="251662336" behindDoc="1" locked="0" layoutInCell="1" allowOverlap="1">
            <wp:simplePos x="0" y="0"/>
            <wp:positionH relativeFrom="column">
              <wp:posOffset>271780</wp:posOffset>
            </wp:positionH>
            <wp:positionV relativeFrom="paragraph">
              <wp:posOffset>347345</wp:posOffset>
            </wp:positionV>
            <wp:extent cx="4898390" cy="1713865"/>
            <wp:effectExtent l="4445" t="4445" r="50165" b="19050"/>
            <wp:wrapTight wrapText="bothSides">
              <wp:wrapPolygon>
                <wp:start x="-20" y="-56"/>
                <wp:lineTo x="-20" y="21456"/>
                <wp:lineTo x="21552" y="21456"/>
                <wp:lineTo x="21552" y="-56"/>
                <wp:lineTo x="-20" y="-5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9442727">
      <w:pPr>
        <w:pStyle w:val="8"/>
        <w:rPr>
          <w:rFonts w:hint="eastAsia" w:ascii="宋体" w:hAnsi="宋体" w:eastAsia="宋体" w:cs="宋体"/>
          <w:color w:val="auto"/>
          <w:sz w:val="28"/>
          <w:szCs w:val="28"/>
          <w:highlight w:val="none"/>
        </w:rPr>
      </w:pPr>
    </w:p>
    <w:p w14:paraId="2E888D77">
      <w:pPr>
        <w:pStyle w:val="8"/>
        <w:rPr>
          <w:rFonts w:hint="eastAsia" w:ascii="宋体" w:hAnsi="宋体" w:eastAsia="宋体" w:cs="宋体"/>
          <w:color w:val="auto"/>
          <w:sz w:val="28"/>
          <w:szCs w:val="28"/>
          <w:highlight w:val="none"/>
        </w:rPr>
      </w:pPr>
    </w:p>
    <w:p w14:paraId="79C69338">
      <w:pPr>
        <w:spacing w:line="240" w:lineRule="auto"/>
        <w:ind w:firstLine="1400" w:firstLineChars="500"/>
        <w:rPr>
          <w:rFonts w:ascii="仿宋" w:hAnsi="仿宋" w:eastAsia="仿宋"/>
          <w:b/>
          <w:color w:val="auto"/>
          <w:sz w:val="32"/>
          <w:szCs w:val="32"/>
          <w:highlight w:val="none"/>
        </w:rPr>
      </w:pPr>
      <w:r>
        <w:rPr>
          <w:rFonts w:hint="eastAsia" w:ascii="宋体" w:hAnsi="宋体" w:eastAsia="宋体" w:cs="宋体"/>
          <w:color w:val="auto"/>
          <w:sz w:val="28"/>
          <w:szCs w:val="28"/>
          <w:highlight w:val="none"/>
        </w:rPr>
        <w:t>（图4：财政拨款收、支决算总计变动情况）</w:t>
      </w:r>
    </w:p>
    <w:p w14:paraId="17AD7DDF">
      <w:pPr>
        <w:spacing w:line="600" w:lineRule="exact"/>
        <w:ind w:firstLine="640" w:firstLineChars="200"/>
        <w:outlineLvl w:val="1"/>
        <w:rPr>
          <w:rStyle w:val="28"/>
          <w:rFonts w:ascii="黑体" w:hAnsi="黑体" w:eastAsia="黑体"/>
          <w:b w:val="0"/>
          <w:color w:val="auto"/>
          <w:highlight w:val="none"/>
        </w:rPr>
      </w:pPr>
      <w:bookmarkStart w:id="21" w:name="_Toc15396607"/>
      <w:bookmarkStart w:id="22"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21"/>
      <w:bookmarkEnd w:id="22"/>
    </w:p>
    <w:p w14:paraId="6911F36B">
      <w:pPr>
        <w:spacing w:line="600" w:lineRule="exact"/>
        <w:ind w:firstLine="643" w:firstLineChars="200"/>
        <w:outlineLvl w:val="2"/>
        <w:rPr>
          <w:rFonts w:ascii="仿宋" w:hAnsi="仿宋" w:eastAsia="仿宋"/>
          <w:color w:val="auto"/>
          <w:sz w:val="32"/>
          <w:szCs w:val="32"/>
          <w:highlight w:val="none"/>
        </w:rPr>
      </w:pPr>
      <w:bookmarkStart w:id="23" w:name="_Toc15377210"/>
      <w:r>
        <w:rPr>
          <w:rFonts w:hint="eastAsia" w:ascii="仿宋" w:hAnsi="仿宋" w:eastAsia="仿宋"/>
          <w:b/>
          <w:color w:val="auto"/>
          <w:sz w:val="32"/>
          <w:szCs w:val="32"/>
          <w:highlight w:val="none"/>
        </w:rPr>
        <w:t>（一）一般公共预算财政拨款支出决算总体情况</w:t>
      </w:r>
      <w:bookmarkEnd w:id="23"/>
    </w:p>
    <w:p w14:paraId="027BB684">
      <w:pPr>
        <w:snapToGrid w:val="0"/>
        <w:spacing w:line="560" w:lineRule="exact"/>
        <w:ind w:firstLine="960" w:firstLineChars="300"/>
        <w:rPr>
          <w:rFonts w:hint="eastAsia" w:ascii="宋体" w:hAnsi="宋体" w:eastAsia="宋体" w:cs="宋体"/>
          <w:color w:val="auto"/>
          <w:sz w:val="28"/>
          <w:szCs w:val="28"/>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宋体" w:hAnsi="宋体" w:cs="宋体"/>
          <w:color w:val="auto"/>
          <w:sz w:val="28"/>
          <w:szCs w:val="28"/>
          <w:highlight w:val="none"/>
          <w:lang w:val="en-US" w:eastAsia="zh-CN"/>
        </w:rPr>
        <w:t>2493.17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83.82</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宋体" w:hAnsi="宋体" w:cs="宋体"/>
          <w:color w:val="auto"/>
          <w:sz w:val="28"/>
          <w:szCs w:val="28"/>
          <w:highlight w:val="none"/>
          <w:lang w:val="en-US" w:eastAsia="zh-CN"/>
        </w:rPr>
        <w:t>175.59</w:t>
      </w:r>
      <w:r>
        <w:rPr>
          <w:rFonts w:hint="eastAsia" w:ascii="仿宋" w:hAnsi="仿宋" w:eastAsia="仿宋"/>
          <w:color w:val="auto"/>
          <w:sz w:val="32"/>
          <w:szCs w:val="32"/>
          <w:highlight w:val="none"/>
        </w:rPr>
        <w:t>万元，下降</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58</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宋体" w:hAnsi="宋体" w:eastAsia="宋体" w:cs="宋体"/>
          <w:color w:val="auto"/>
          <w:sz w:val="28"/>
          <w:szCs w:val="28"/>
          <w:highlight w:val="none"/>
          <w:lang w:val="en-US" w:eastAsia="zh-CN"/>
        </w:rPr>
        <w:t>项目预算减少</w:t>
      </w:r>
      <w:r>
        <w:rPr>
          <w:rFonts w:hint="eastAsia" w:ascii="宋体" w:hAnsi="宋体" w:eastAsia="宋体" w:cs="宋体"/>
          <w:color w:val="auto"/>
          <w:sz w:val="28"/>
          <w:szCs w:val="28"/>
          <w:highlight w:val="none"/>
        </w:rPr>
        <w:t>。</w:t>
      </w:r>
    </w:p>
    <w:p w14:paraId="49C87120">
      <w:pPr>
        <w:spacing w:line="600" w:lineRule="exact"/>
        <w:rPr>
          <w:rFonts w:hint="eastAsia"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3360" behindDoc="1" locked="0" layoutInCell="1" allowOverlap="1">
            <wp:simplePos x="0" y="0"/>
            <wp:positionH relativeFrom="column">
              <wp:posOffset>147955</wp:posOffset>
            </wp:positionH>
            <wp:positionV relativeFrom="paragraph">
              <wp:posOffset>157480</wp:posOffset>
            </wp:positionV>
            <wp:extent cx="5105400" cy="1666875"/>
            <wp:effectExtent l="4445" t="4445" r="14605" b="5080"/>
            <wp:wrapTight wrapText="bothSides">
              <wp:wrapPolygon>
                <wp:start x="-19" y="-58"/>
                <wp:lineTo x="-19" y="21419"/>
                <wp:lineTo x="21581" y="21419"/>
                <wp:lineTo x="21581" y="-58"/>
                <wp:lineTo x="-19" y="-58"/>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483201A8">
      <w:pPr>
        <w:spacing w:line="600" w:lineRule="exact"/>
        <w:ind w:firstLine="640" w:firstLineChars="200"/>
        <w:rPr>
          <w:rFonts w:hint="eastAsia" w:ascii="仿宋" w:hAnsi="仿宋" w:eastAsia="仿宋"/>
          <w:b/>
          <w:color w:val="auto"/>
          <w:sz w:val="32"/>
          <w:szCs w:val="32"/>
          <w:highlight w:val="none"/>
        </w:rPr>
      </w:pPr>
      <w:r>
        <w:rPr>
          <w:rFonts w:hint="eastAsia" w:ascii="仿宋" w:hAnsi="仿宋" w:eastAsia="仿宋"/>
          <w:color w:val="auto"/>
          <w:sz w:val="32"/>
          <w:szCs w:val="32"/>
          <w:highlight w:val="none"/>
        </w:rPr>
        <w:t>（图5：一般公共预算财政拨款支出决算变动情况）</w:t>
      </w:r>
      <w:bookmarkStart w:id="24" w:name="_Toc15377211"/>
    </w:p>
    <w:p w14:paraId="0BA2DCB2">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24"/>
    </w:p>
    <w:p w14:paraId="7AB5A2B3">
      <w:pPr>
        <w:spacing w:line="600" w:lineRule="exact"/>
        <w:ind w:firstLine="640"/>
        <w:rPr>
          <w:rFonts w:hint="eastAsia" w:ascii="仿宋" w:hAnsi="仿宋" w:eastAsia="仿宋"/>
          <w:b w:val="0"/>
          <w:bCs/>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宋体" w:hAnsi="宋体" w:cs="宋体"/>
          <w:color w:val="auto"/>
          <w:sz w:val="28"/>
          <w:szCs w:val="28"/>
          <w:highlight w:val="none"/>
          <w:lang w:val="en-US" w:eastAsia="zh-CN"/>
        </w:rPr>
        <w:t>2493.17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一般公共服务支出</w:t>
      </w:r>
      <w:r>
        <w:rPr>
          <w:rFonts w:hint="eastAsia" w:ascii="仿宋" w:hAnsi="仿宋" w:eastAsia="仿宋"/>
          <w:b w:val="0"/>
          <w:bCs/>
          <w:color w:val="auto"/>
          <w:sz w:val="32"/>
          <w:szCs w:val="32"/>
          <w:highlight w:val="none"/>
          <w:lang w:val="en-US" w:eastAsia="zh-CN"/>
        </w:rPr>
        <w:t>0.00</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0.00</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；教育支出</w:t>
      </w:r>
      <w:r>
        <w:rPr>
          <w:rFonts w:hint="eastAsia" w:ascii="仿宋" w:hAnsi="仿宋" w:eastAsia="仿宋"/>
          <w:b w:val="0"/>
          <w:bCs/>
          <w:color w:val="auto"/>
          <w:sz w:val="32"/>
          <w:szCs w:val="32"/>
          <w:highlight w:val="none"/>
          <w:lang w:val="en-US" w:eastAsia="zh-CN"/>
        </w:rPr>
        <w:t>2461.01</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98.71</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；科学技术支出</w:t>
      </w:r>
      <w:r>
        <w:rPr>
          <w:rFonts w:hint="eastAsia" w:ascii="仿宋" w:hAnsi="仿宋" w:eastAsia="仿宋"/>
          <w:b w:val="0"/>
          <w:bCs/>
          <w:color w:val="auto"/>
          <w:sz w:val="32"/>
          <w:szCs w:val="32"/>
          <w:highlight w:val="none"/>
          <w:lang w:val="en-US" w:eastAsia="zh-CN"/>
        </w:rPr>
        <w:t>0.00</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0.00</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；文化旅游体育与传媒支出</w:t>
      </w:r>
      <w:r>
        <w:rPr>
          <w:rFonts w:hint="eastAsia" w:ascii="仿宋" w:hAnsi="仿宋" w:eastAsia="仿宋"/>
          <w:b w:val="0"/>
          <w:bCs/>
          <w:color w:val="auto"/>
          <w:sz w:val="32"/>
          <w:szCs w:val="32"/>
          <w:highlight w:val="none"/>
          <w:lang w:val="en-US" w:eastAsia="zh-CN"/>
        </w:rPr>
        <w:t>0.00</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0.00</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；社会保障和就业支出</w:t>
      </w:r>
      <w:r>
        <w:rPr>
          <w:rFonts w:hint="eastAsia" w:ascii="仿宋" w:hAnsi="仿宋" w:eastAsia="仿宋"/>
          <w:b w:val="0"/>
          <w:bCs/>
          <w:color w:val="auto"/>
          <w:sz w:val="32"/>
          <w:szCs w:val="32"/>
          <w:highlight w:val="none"/>
          <w:lang w:val="en-US" w:eastAsia="zh-CN"/>
        </w:rPr>
        <w:t>15.11</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0.61</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；卫生健康支出</w:t>
      </w:r>
      <w:r>
        <w:rPr>
          <w:rFonts w:hint="eastAsia" w:ascii="仿宋" w:hAnsi="仿宋" w:eastAsia="仿宋"/>
          <w:b w:val="0"/>
          <w:bCs/>
          <w:color w:val="auto"/>
          <w:sz w:val="32"/>
          <w:szCs w:val="32"/>
          <w:highlight w:val="none"/>
          <w:lang w:val="en-US" w:eastAsia="zh-CN"/>
        </w:rPr>
        <w:t>6.29</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0.25</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；住房保障支出</w:t>
      </w:r>
      <w:r>
        <w:rPr>
          <w:rFonts w:hint="eastAsia" w:ascii="仿宋" w:hAnsi="仿宋" w:eastAsia="仿宋"/>
          <w:b w:val="0"/>
          <w:bCs/>
          <w:color w:val="auto"/>
          <w:sz w:val="32"/>
          <w:szCs w:val="32"/>
          <w:highlight w:val="none"/>
          <w:lang w:val="en-US" w:eastAsia="zh-CN"/>
        </w:rPr>
        <w:t>10.75</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0.43</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p>
    <w:p w14:paraId="128DE0CC">
      <w:pPr>
        <w:spacing w:line="600" w:lineRule="exact"/>
        <w:ind w:firstLine="640" w:firstLineChars="200"/>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116840</wp:posOffset>
            </wp:positionH>
            <wp:positionV relativeFrom="paragraph">
              <wp:posOffset>129540</wp:posOffset>
            </wp:positionV>
            <wp:extent cx="4979035" cy="2123440"/>
            <wp:effectExtent l="4445" t="4445" r="15240" b="57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（图6：一般公共预算财政拨款支出决算结构）</w:t>
      </w:r>
    </w:p>
    <w:p w14:paraId="59E1F309">
      <w:pPr>
        <w:spacing w:line="600" w:lineRule="exact"/>
        <w:ind w:firstLine="640" w:firstLineChars="200"/>
        <w:rPr>
          <w:rFonts w:ascii="仿宋" w:hAnsi="仿宋" w:eastAsia="仿宋"/>
          <w:color w:val="auto"/>
          <w:sz w:val="32"/>
          <w:szCs w:val="32"/>
          <w:highlight w:val="none"/>
        </w:rPr>
      </w:pPr>
    </w:p>
    <w:p w14:paraId="0E3E220C">
      <w:pPr>
        <w:spacing w:line="600" w:lineRule="exact"/>
        <w:ind w:firstLine="643" w:firstLineChars="200"/>
        <w:outlineLvl w:val="2"/>
        <w:rPr>
          <w:rFonts w:ascii="仿宋" w:hAnsi="仿宋" w:eastAsia="仿宋"/>
          <w:b/>
          <w:color w:val="auto"/>
          <w:sz w:val="32"/>
          <w:szCs w:val="32"/>
          <w:highlight w:val="none"/>
        </w:rPr>
      </w:pPr>
      <w:bookmarkStart w:id="25" w:name="_Toc15377212"/>
      <w:r>
        <w:rPr>
          <w:rFonts w:hint="eastAsia" w:ascii="仿宋" w:hAnsi="仿宋" w:eastAsia="仿宋"/>
          <w:b/>
          <w:color w:val="auto"/>
          <w:sz w:val="32"/>
          <w:szCs w:val="32"/>
          <w:highlight w:val="none"/>
        </w:rPr>
        <w:t>（三）一般公共预算财政拨款支出决算具体情况</w:t>
      </w:r>
      <w:bookmarkEnd w:id="25"/>
    </w:p>
    <w:p w14:paraId="5E7C4734">
      <w:pPr>
        <w:spacing w:line="600" w:lineRule="exact"/>
        <w:ind w:firstLine="640" w:firstLineChars="200"/>
        <w:outlineLvl w:val="2"/>
        <w:rPr>
          <w:rFonts w:ascii="仿宋" w:hAnsi="仿宋" w:eastAsia="仿宋"/>
          <w:b w:val="0"/>
          <w:bCs/>
          <w:color w:val="auto"/>
          <w:sz w:val="32"/>
          <w:szCs w:val="32"/>
          <w:highlight w:val="none"/>
        </w:rPr>
      </w:pPr>
      <w:bookmarkStart w:id="26" w:name="_Toc15378460"/>
      <w:bookmarkStart w:id="27" w:name="_Toc15377444"/>
      <w:bookmarkStart w:id="28" w:name="_Toc15377213"/>
      <w:r>
        <w:rPr>
          <w:rFonts w:hint="eastAsia" w:ascii="仿宋" w:hAnsi="仿宋" w:eastAsia="仿宋"/>
          <w:b w:val="0"/>
          <w:bCs/>
          <w:color w:val="auto"/>
          <w:sz w:val="32"/>
          <w:szCs w:val="32"/>
          <w:highlight w:val="none"/>
        </w:rPr>
        <w:t>20</w:t>
      </w:r>
      <w:r>
        <w:rPr>
          <w:rFonts w:hint="eastAsia" w:ascii="仿宋" w:hAnsi="仿宋" w:eastAsia="仿宋"/>
          <w:b w:val="0"/>
          <w:bCs/>
          <w:color w:val="auto"/>
          <w:sz w:val="32"/>
          <w:szCs w:val="32"/>
          <w:highlight w:val="none"/>
          <w:lang w:val="en-US" w:eastAsia="zh-CN"/>
        </w:rPr>
        <w:t>23</w:t>
      </w:r>
      <w:r>
        <w:rPr>
          <w:rFonts w:hint="eastAsia" w:ascii="仿宋" w:hAnsi="仿宋" w:eastAsia="仿宋"/>
          <w:b w:val="0"/>
          <w:bCs/>
          <w:color w:val="auto"/>
          <w:sz w:val="32"/>
          <w:szCs w:val="32"/>
          <w:highlight w:val="none"/>
        </w:rPr>
        <w:t>年</w:t>
      </w:r>
      <w:r>
        <w:rPr>
          <w:rFonts w:hint="eastAsia" w:ascii="仿宋" w:hAnsi="仿宋" w:eastAsia="仿宋"/>
          <w:b w:val="0"/>
          <w:bCs/>
          <w:color w:val="auto"/>
          <w:sz w:val="32"/>
          <w:szCs w:val="32"/>
          <w:highlight w:val="none"/>
          <w:lang w:eastAsia="zh-CN"/>
        </w:rPr>
        <w:t>一</w:t>
      </w:r>
      <w:r>
        <w:rPr>
          <w:rFonts w:hint="eastAsia" w:ascii="仿宋" w:hAnsi="仿宋" w:eastAsia="仿宋"/>
          <w:b w:val="0"/>
          <w:bCs/>
          <w:color w:val="auto"/>
          <w:sz w:val="32"/>
          <w:szCs w:val="32"/>
          <w:highlight w:val="none"/>
        </w:rPr>
        <w:t>般公共预算支出决算数为</w:t>
      </w:r>
      <w:r>
        <w:rPr>
          <w:rFonts w:hint="eastAsia" w:ascii="宋体" w:hAnsi="宋体" w:cs="宋体"/>
          <w:color w:val="auto"/>
          <w:sz w:val="28"/>
          <w:szCs w:val="28"/>
          <w:highlight w:val="none"/>
          <w:lang w:val="en-US" w:eastAsia="zh-CN"/>
        </w:rPr>
        <w:t>2493.17</w:t>
      </w:r>
      <w:r>
        <w:rPr>
          <w:rFonts w:hint="eastAsia" w:ascii="仿宋" w:hAnsi="仿宋" w:eastAsia="仿宋"/>
          <w:b w:val="0"/>
          <w:bCs/>
          <w:color w:val="auto"/>
          <w:sz w:val="32"/>
          <w:szCs w:val="32"/>
          <w:highlight w:val="none"/>
          <w:lang w:val="en-US" w:eastAsia="zh-CN"/>
        </w:rPr>
        <w:t>万元</w:t>
      </w:r>
      <w:r>
        <w:rPr>
          <w:rFonts w:hint="eastAsia"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。其中：</w:t>
      </w:r>
      <w:bookmarkEnd w:id="26"/>
      <w:bookmarkEnd w:id="27"/>
      <w:bookmarkEnd w:id="28"/>
    </w:p>
    <w:p w14:paraId="1F463ED1">
      <w:pPr>
        <w:numPr>
          <w:ilvl w:val="0"/>
          <w:numId w:val="3"/>
        </w:numPr>
        <w:spacing w:line="600" w:lineRule="exact"/>
        <w:ind w:firstLine="640" w:firstLineChars="200"/>
        <w:rPr>
          <w:rStyle w:val="17"/>
          <w:rFonts w:hint="eastAsia" w:ascii="仿宋" w:hAnsi="仿宋" w:eastAsia="仿宋"/>
          <w:b w:val="0"/>
          <w:bCs/>
          <w:color w:val="auto"/>
          <w:sz w:val="32"/>
          <w:szCs w:val="32"/>
          <w:highlight w:val="none"/>
        </w:rPr>
      </w:pPr>
      <w:r>
        <w:rPr>
          <w:rStyle w:val="17"/>
          <w:rFonts w:hint="eastAsia" w:ascii="仿宋" w:hAnsi="仿宋" w:eastAsia="仿宋" w:cstheme="minorBidi"/>
          <w:b w:val="0"/>
          <w:bCs/>
          <w:color w:val="auto"/>
          <w:sz w:val="32"/>
          <w:szCs w:val="32"/>
          <w:highlight w:val="none"/>
        </w:rPr>
        <w:t>教育（类）普通教育（款）</w:t>
      </w:r>
      <w:r>
        <w:rPr>
          <w:rStyle w:val="17"/>
          <w:rFonts w:hint="eastAsia" w:ascii="仿宋" w:hAnsi="仿宋" w:eastAsia="仿宋"/>
          <w:b w:val="0"/>
          <w:bCs/>
          <w:color w:val="000000"/>
          <w:sz w:val="32"/>
          <w:szCs w:val="32"/>
          <w:highlight w:val="none"/>
        </w:rPr>
        <w:t>高中</w:t>
      </w:r>
      <w:r>
        <w:rPr>
          <w:rStyle w:val="17"/>
          <w:rFonts w:hint="eastAsia" w:ascii="仿宋" w:hAnsi="仿宋" w:eastAsia="仿宋"/>
          <w:b w:val="0"/>
          <w:bCs/>
          <w:color w:val="000000"/>
          <w:sz w:val="32"/>
          <w:szCs w:val="32"/>
        </w:rPr>
        <w:t>教育</w:t>
      </w:r>
      <w:r>
        <w:rPr>
          <w:rStyle w:val="17"/>
          <w:rFonts w:hint="eastAsia" w:ascii="仿宋" w:hAnsi="仿宋" w:eastAsia="仿宋" w:cstheme="minorBidi"/>
          <w:b w:val="0"/>
          <w:bCs/>
          <w:color w:val="auto"/>
          <w:sz w:val="32"/>
          <w:szCs w:val="32"/>
          <w:highlight w:val="none"/>
        </w:rPr>
        <w:t>（项）:</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2455.62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，决算数等于预算数。</w:t>
      </w:r>
    </w:p>
    <w:p w14:paraId="7C5052AB">
      <w:pPr>
        <w:numPr>
          <w:ilvl w:val="0"/>
          <w:numId w:val="3"/>
        </w:numPr>
        <w:spacing w:line="600" w:lineRule="exact"/>
        <w:ind w:firstLine="640" w:firstLineChars="200"/>
        <w:rPr>
          <w:rStyle w:val="17"/>
          <w:rFonts w:hint="eastAsia" w:ascii="仿宋" w:hAnsi="仿宋" w:eastAsia="仿宋"/>
          <w:b w:val="0"/>
          <w:bCs/>
          <w:color w:val="auto"/>
          <w:sz w:val="32"/>
          <w:szCs w:val="32"/>
          <w:highlight w:val="none"/>
        </w:rPr>
      </w:pPr>
      <w:r>
        <w:rPr>
          <w:rStyle w:val="17"/>
          <w:rFonts w:hint="eastAsia" w:ascii="仿宋" w:hAnsi="仿宋" w:eastAsia="仿宋" w:cstheme="minorBidi"/>
          <w:b w:val="0"/>
          <w:bCs/>
          <w:color w:val="auto"/>
          <w:sz w:val="32"/>
          <w:szCs w:val="32"/>
          <w:highlight w:val="none"/>
        </w:rPr>
        <w:t>教育（类）普通教育（款）</w:t>
      </w:r>
      <w:r>
        <w:rPr>
          <w:rStyle w:val="17"/>
          <w:rFonts w:hint="eastAsia" w:ascii="仿宋" w:hAnsi="仿宋" w:eastAsia="仿宋"/>
          <w:b w:val="0"/>
          <w:bCs/>
          <w:color w:val="000000"/>
          <w:sz w:val="32"/>
          <w:szCs w:val="32"/>
          <w:lang w:val="en-US" w:eastAsia="zh-CN"/>
        </w:rPr>
        <w:t>其他普通教育</w:t>
      </w:r>
      <w:r>
        <w:rPr>
          <w:rStyle w:val="17"/>
          <w:rFonts w:hint="eastAsia" w:ascii="仿宋" w:hAnsi="仿宋" w:eastAsia="仿宋" w:cstheme="minorBidi"/>
          <w:b w:val="0"/>
          <w:bCs/>
          <w:color w:val="auto"/>
          <w:sz w:val="32"/>
          <w:szCs w:val="32"/>
          <w:highlight w:val="none"/>
        </w:rPr>
        <w:t>（项）:</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3.4</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，决算数等于预算数。</w:t>
      </w:r>
    </w:p>
    <w:p w14:paraId="0E873C9A">
      <w:pPr>
        <w:numPr>
          <w:ilvl w:val="0"/>
          <w:numId w:val="3"/>
        </w:numPr>
        <w:spacing w:line="600" w:lineRule="exact"/>
        <w:ind w:firstLine="640" w:firstLineChars="200"/>
        <w:rPr>
          <w:rFonts w:ascii="仿宋" w:hAnsi="仿宋" w:eastAsia="仿宋"/>
          <w:b/>
          <w:color w:val="auto"/>
          <w:sz w:val="32"/>
          <w:szCs w:val="32"/>
          <w:highlight w:val="none"/>
        </w:rPr>
      </w:pPr>
      <w:r>
        <w:rPr>
          <w:rStyle w:val="17"/>
          <w:rFonts w:hint="eastAsia" w:ascii="仿宋" w:hAnsi="仿宋" w:eastAsia="仿宋" w:cstheme="minorBidi"/>
          <w:b w:val="0"/>
          <w:bCs/>
          <w:color w:val="auto"/>
          <w:sz w:val="32"/>
          <w:szCs w:val="32"/>
          <w:highlight w:val="none"/>
        </w:rPr>
        <w:t>教育（类）</w:t>
      </w:r>
      <w:r>
        <w:rPr>
          <w:rStyle w:val="17"/>
          <w:rFonts w:hint="eastAsia" w:ascii="仿宋" w:hAnsi="仿宋" w:eastAsia="仿宋" w:cstheme="minorBidi"/>
          <w:b w:val="0"/>
          <w:bCs/>
          <w:color w:val="auto"/>
          <w:sz w:val="32"/>
          <w:szCs w:val="32"/>
          <w:highlight w:val="none"/>
          <w:lang w:val="en-US" w:eastAsia="zh-CN"/>
        </w:rPr>
        <w:t>其他教育</w:t>
      </w:r>
      <w:r>
        <w:rPr>
          <w:rStyle w:val="17"/>
          <w:rFonts w:hint="eastAsia" w:ascii="仿宋" w:hAnsi="仿宋" w:eastAsia="仿宋" w:cstheme="minorBidi"/>
          <w:b w:val="0"/>
          <w:bCs/>
          <w:color w:val="auto"/>
          <w:sz w:val="32"/>
          <w:szCs w:val="32"/>
          <w:highlight w:val="none"/>
        </w:rPr>
        <w:t>（款）</w:t>
      </w:r>
      <w:r>
        <w:rPr>
          <w:rStyle w:val="17"/>
          <w:rFonts w:hint="eastAsia" w:ascii="仿宋" w:hAnsi="仿宋" w:eastAsia="仿宋" w:cstheme="minorBidi"/>
          <w:b w:val="0"/>
          <w:bCs/>
          <w:color w:val="auto"/>
          <w:sz w:val="32"/>
          <w:szCs w:val="32"/>
          <w:highlight w:val="none"/>
          <w:lang w:val="en-US" w:eastAsia="zh-CN"/>
        </w:rPr>
        <w:t>其他教育</w:t>
      </w:r>
      <w:r>
        <w:rPr>
          <w:rStyle w:val="17"/>
          <w:rFonts w:hint="eastAsia" w:ascii="仿宋" w:hAnsi="仿宋" w:eastAsia="仿宋" w:cstheme="minorBidi"/>
          <w:b w:val="0"/>
          <w:bCs/>
          <w:color w:val="auto"/>
          <w:sz w:val="32"/>
          <w:szCs w:val="32"/>
          <w:highlight w:val="none"/>
        </w:rPr>
        <w:t>（项）:</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2.0</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，决算数等于预算数。</w:t>
      </w:r>
    </w:p>
    <w:p w14:paraId="52DA20E5">
      <w:pPr>
        <w:numPr>
          <w:ilvl w:val="0"/>
          <w:numId w:val="3"/>
        </w:numPr>
        <w:spacing w:line="600" w:lineRule="exact"/>
        <w:ind w:firstLine="640" w:firstLineChars="200"/>
        <w:rPr>
          <w:rStyle w:val="17"/>
          <w:rFonts w:hint="eastAsia" w:ascii="仿宋" w:hAnsi="仿宋" w:eastAsia="仿宋" w:cstheme="minorBidi"/>
          <w:b w:val="0"/>
          <w:bCs/>
          <w:color w:val="auto"/>
          <w:sz w:val="32"/>
          <w:szCs w:val="32"/>
          <w:highlight w:val="none"/>
        </w:rPr>
      </w:pPr>
      <w:r>
        <w:rPr>
          <w:rStyle w:val="17"/>
          <w:rFonts w:hint="eastAsia" w:ascii="仿宋" w:hAnsi="仿宋" w:eastAsia="仿宋" w:cstheme="minorBidi"/>
          <w:b w:val="0"/>
          <w:bCs/>
          <w:color w:val="auto"/>
          <w:sz w:val="32"/>
          <w:szCs w:val="32"/>
          <w:highlight w:val="none"/>
        </w:rPr>
        <w:t>社会保障和就业（类）行政事业单位养老支出（款）机关事业单位基本养老保险缴支出（项）: 支出决算为</w:t>
      </w:r>
      <w:r>
        <w:rPr>
          <w:rStyle w:val="17"/>
          <w:rFonts w:hint="eastAsia" w:ascii="仿宋" w:hAnsi="仿宋" w:eastAsia="仿宋" w:cstheme="minorBidi"/>
          <w:b w:val="0"/>
          <w:bCs/>
          <w:color w:val="auto"/>
          <w:sz w:val="32"/>
          <w:szCs w:val="32"/>
          <w:highlight w:val="none"/>
          <w:lang w:val="en-US" w:eastAsia="zh-CN"/>
        </w:rPr>
        <w:t>14</w:t>
      </w:r>
      <w:r>
        <w:rPr>
          <w:rStyle w:val="17"/>
          <w:rFonts w:hint="eastAsia" w:ascii="仿宋" w:hAnsi="仿宋" w:eastAsia="仿宋" w:cstheme="minorBidi"/>
          <w:b w:val="0"/>
          <w:bCs/>
          <w:color w:val="auto"/>
          <w:sz w:val="32"/>
          <w:szCs w:val="32"/>
          <w:highlight w:val="none"/>
        </w:rPr>
        <w:t>.</w:t>
      </w:r>
      <w:r>
        <w:rPr>
          <w:rStyle w:val="17"/>
          <w:rFonts w:hint="eastAsia" w:ascii="仿宋" w:hAnsi="仿宋" w:eastAsia="仿宋" w:cstheme="minorBidi"/>
          <w:b w:val="0"/>
          <w:bCs/>
          <w:color w:val="auto"/>
          <w:sz w:val="32"/>
          <w:szCs w:val="32"/>
          <w:highlight w:val="none"/>
          <w:lang w:val="en-US" w:eastAsia="zh-CN"/>
        </w:rPr>
        <w:t>34</w:t>
      </w:r>
      <w:r>
        <w:rPr>
          <w:rStyle w:val="17"/>
          <w:rFonts w:hint="eastAsia" w:ascii="仿宋" w:hAnsi="仿宋" w:eastAsia="仿宋" w:cstheme="minorBidi"/>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100.00</w:t>
      </w:r>
      <w:r>
        <w:rPr>
          <w:rStyle w:val="17"/>
          <w:rFonts w:ascii="仿宋" w:hAnsi="仿宋" w:eastAsia="仿宋"/>
          <w:b w:val="0"/>
          <w:bCs/>
          <w:color w:val="auto"/>
          <w:sz w:val="32"/>
          <w:szCs w:val="32"/>
          <w:highlight w:val="none"/>
        </w:rPr>
        <w:t>%</w:t>
      </w:r>
      <w:r>
        <w:rPr>
          <w:rStyle w:val="17"/>
          <w:rFonts w:hint="eastAsia" w:ascii="仿宋" w:hAnsi="仿宋" w:eastAsia="仿宋" w:cstheme="minorBidi"/>
          <w:b w:val="0"/>
          <w:bCs/>
          <w:color w:val="auto"/>
          <w:sz w:val="32"/>
          <w:szCs w:val="32"/>
          <w:highlight w:val="none"/>
        </w:rPr>
        <w:t>，决算数等于预算数。</w:t>
      </w:r>
    </w:p>
    <w:p w14:paraId="61B59BEA">
      <w:pPr>
        <w:numPr>
          <w:ilvl w:val="0"/>
          <w:numId w:val="3"/>
        </w:numPr>
        <w:spacing w:line="600" w:lineRule="exact"/>
        <w:ind w:left="0" w:leftChars="0" w:firstLine="640" w:firstLineChars="200"/>
        <w:rPr>
          <w:rStyle w:val="17"/>
          <w:rFonts w:hint="eastAsia" w:ascii="仿宋" w:hAnsi="仿宋" w:eastAsia="仿宋" w:cstheme="minorBidi"/>
          <w:b w:val="0"/>
          <w:bCs/>
          <w:color w:val="auto"/>
          <w:sz w:val="32"/>
          <w:szCs w:val="32"/>
          <w:highlight w:val="none"/>
        </w:rPr>
      </w:pPr>
      <w:r>
        <w:rPr>
          <w:rStyle w:val="17"/>
          <w:rFonts w:hint="eastAsia" w:ascii="仿宋" w:hAnsi="仿宋" w:eastAsia="仿宋" w:cstheme="minorBidi"/>
          <w:b w:val="0"/>
          <w:bCs/>
          <w:color w:val="auto"/>
          <w:sz w:val="32"/>
          <w:szCs w:val="32"/>
          <w:highlight w:val="none"/>
        </w:rPr>
        <w:t>社会保障和就业（类） 其他社会保障和就业支出（款） 其他社会保障和就业支出（项）: 支出决算为</w:t>
      </w:r>
      <w:r>
        <w:rPr>
          <w:rStyle w:val="17"/>
          <w:rFonts w:hint="eastAsia" w:ascii="仿宋" w:hAnsi="仿宋" w:eastAsia="仿宋" w:cstheme="minorBidi"/>
          <w:b w:val="0"/>
          <w:bCs/>
          <w:color w:val="auto"/>
          <w:sz w:val="32"/>
          <w:szCs w:val="32"/>
          <w:highlight w:val="none"/>
          <w:lang w:val="en-US" w:eastAsia="zh-CN"/>
        </w:rPr>
        <w:t>0</w:t>
      </w:r>
      <w:r>
        <w:rPr>
          <w:rStyle w:val="17"/>
          <w:rFonts w:hint="eastAsia" w:ascii="仿宋" w:hAnsi="仿宋" w:eastAsia="仿宋" w:cstheme="minorBidi"/>
          <w:b w:val="0"/>
          <w:bCs/>
          <w:color w:val="auto"/>
          <w:sz w:val="32"/>
          <w:szCs w:val="32"/>
          <w:highlight w:val="none"/>
        </w:rPr>
        <w:t>.</w:t>
      </w:r>
      <w:r>
        <w:rPr>
          <w:rStyle w:val="17"/>
          <w:rFonts w:hint="eastAsia" w:ascii="仿宋" w:hAnsi="仿宋" w:eastAsia="仿宋" w:cstheme="minorBidi"/>
          <w:b w:val="0"/>
          <w:bCs/>
          <w:color w:val="auto"/>
          <w:sz w:val="32"/>
          <w:szCs w:val="32"/>
          <w:highlight w:val="none"/>
          <w:lang w:val="en-US" w:eastAsia="zh-CN"/>
        </w:rPr>
        <w:t>77</w:t>
      </w:r>
      <w:r>
        <w:rPr>
          <w:rStyle w:val="17"/>
          <w:rFonts w:hint="eastAsia" w:ascii="仿宋" w:hAnsi="仿宋" w:eastAsia="仿宋" w:cstheme="minorBidi"/>
          <w:b w:val="0"/>
          <w:bCs/>
          <w:color w:val="auto"/>
          <w:sz w:val="32"/>
          <w:szCs w:val="32"/>
          <w:highlight w:val="none"/>
        </w:rPr>
        <w:t>万元，完成预算</w:t>
      </w:r>
      <w:r>
        <w:rPr>
          <w:rStyle w:val="17"/>
          <w:rFonts w:hint="eastAsia" w:ascii="仿宋" w:hAnsi="仿宋" w:eastAsia="仿宋" w:cstheme="minorBidi"/>
          <w:b w:val="0"/>
          <w:bCs/>
          <w:color w:val="auto"/>
          <w:sz w:val="32"/>
          <w:szCs w:val="32"/>
          <w:highlight w:val="none"/>
          <w:lang w:val="en-US" w:eastAsia="zh-CN"/>
        </w:rPr>
        <w:t>100.00</w:t>
      </w:r>
      <w:r>
        <w:rPr>
          <w:rStyle w:val="17"/>
          <w:rFonts w:hint="eastAsia" w:ascii="仿宋" w:hAnsi="仿宋" w:eastAsia="仿宋" w:cstheme="minorBidi"/>
          <w:b w:val="0"/>
          <w:bCs/>
          <w:color w:val="auto"/>
          <w:sz w:val="32"/>
          <w:szCs w:val="32"/>
          <w:highlight w:val="none"/>
        </w:rPr>
        <w:t>%，决算数等于预算数。</w:t>
      </w:r>
    </w:p>
    <w:p w14:paraId="3AAAADD3">
      <w:pPr>
        <w:numPr>
          <w:ilvl w:val="0"/>
          <w:numId w:val="3"/>
        </w:numPr>
        <w:spacing w:line="600" w:lineRule="exact"/>
        <w:ind w:left="0" w:leftChars="0" w:firstLine="640" w:firstLineChars="200"/>
        <w:rPr>
          <w:rStyle w:val="17"/>
          <w:rFonts w:hint="eastAsia" w:ascii="仿宋" w:hAnsi="仿宋" w:eastAsia="仿宋" w:cstheme="minorBidi"/>
          <w:b w:val="0"/>
          <w:bCs/>
          <w:color w:val="auto"/>
          <w:sz w:val="32"/>
          <w:szCs w:val="32"/>
          <w:highlight w:val="none"/>
        </w:rPr>
      </w:pPr>
      <w:r>
        <w:rPr>
          <w:rStyle w:val="17"/>
          <w:rFonts w:hint="eastAsia" w:ascii="仿宋" w:hAnsi="仿宋" w:eastAsia="仿宋" w:cstheme="minorBidi"/>
          <w:b w:val="0"/>
          <w:bCs/>
          <w:color w:val="auto"/>
          <w:sz w:val="32"/>
          <w:szCs w:val="32"/>
          <w:highlight w:val="none"/>
        </w:rPr>
        <w:t>卫生健康（类）行政事业单位医疗（款）事业单位医疗（项）:支出决算为</w:t>
      </w:r>
      <w:r>
        <w:rPr>
          <w:rStyle w:val="17"/>
          <w:rFonts w:hint="eastAsia" w:ascii="仿宋" w:hAnsi="仿宋" w:eastAsia="仿宋" w:cstheme="minorBidi"/>
          <w:b w:val="0"/>
          <w:bCs/>
          <w:color w:val="auto"/>
          <w:sz w:val="32"/>
          <w:szCs w:val="32"/>
          <w:highlight w:val="none"/>
          <w:lang w:val="en-US" w:eastAsia="zh-CN"/>
        </w:rPr>
        <w:t>5</w:t>
      </w:r>
      <w:r>
        <w:rPr>
          <w:rStyle w:val="17"/>
          <w:rFonts w:hint="eastAsia" w:ascii="仿宋" w:hAnsi="仿宋" w:eastAsia="仿宋" w:cstheme="minorBidi"/>
          <w:b w:val="0"/>
          <w:bCs/>
          <w:color w:val="auto"/>
          <w:sz w:val="32"/>
          <w:szCs w:val="32"/>
          <w:highlight w:val="none"/>
        </w:rPr>
        <w:t>.</w:t>
      </w:r>
      <w:r>
        <w:rPr>
          <w:rStyle w:val="17"/>
          <w:rFonts w:hint="eastAsia" w:ascii="仿宋" w:hAnsi="仿宋" w:eastAsia="仿宋" w:cstheme="minorBidi"/>
          <w:b w:val="0"/>
          <w:bCs/>
          <w:color w:val="auto"/>
          <w:sz w:val="32"/>
          <w:szCs w:val="32"/>
          <w:highlight w:val="none"/>
          <w:lang w:val="en-US" w:eastAsia="zh-CN"/>
        </w:rPr>
        <w:t>63</w:t>
      </w:r>
      <w:r>
        <w:rPr>
          <w:rStyle w:val="17"/>
          <w:rFonts w:hint="eastAsia" w:ascii="仿宋" w:hAnsi="仿宋" w:eastAsia="仿宋" w:cstheme="minorBidi"/>
          <w:b w:val="0"/>
          <w:bCs/>
          <w:color w:val="auto"/>
          <w:sz w:val="32"/>
          <w:szCs w:val="32"/>
          <w:highlight w:val="none"/>
        </w:rPr>
        <w:t>万元，完成预算</w:t>
      </w:r>
      <w:r>
        <w:rPr>
          <w:rStyle w:val="17"/>
          <w:rFonts w:hint="eastAsia" w:ascii="仿宋" w:hAnsi="仿宋" w:eastAsia="仿宋" w:cstheme="minorBidi"/>
          <w:b w:val="0"/>
          <w:bCs/>
          <w:color w:val="auto"/>
          <w:sz w:val="32"/>
          <w:szCs w:val="32"/>
          <w:highlight w:val="none"/>
          <w:lang w:val="en-US" w:eastAsia="zh-CN"/>
        </w:rPr>
        <w:t>100.00</w:t>
      </w:r>
      <w:r>
        <w:rPr>
          <w:rStyle w:val="17"/>
          <w:rFonts w:hint="eastAsia" w:ascii="仿宋" w:hAnsi="仿宋" w:eastAsia="仿宋" w:cstheme="minorBidi"/>
          <w:b w:val="0"/>
          <w:bCs/>
          <w:color w:val="auto"/>
          <w:sz w:val="32"/>
          <w:szCs w:val="32"/>
          <w:highlight w:val="none"/>
        </w:rPr>
        <w:t>%，决算数等于预算数。</w:t>
      </w:r>
    </w:p>
    <w:p w14:paraId="25A2DCFC">
      <w:pPr>
        <w:numPr>
          <w:ilvl w:val="0"/>
          <w:numId w:val="3"/>
        </w:numPr>
        <w:spacing w:line="600" w:lineRule="exact"/>
        <w:ind w:left="0" w:leftChars="0" w:firstLine="640" w:firstLineChars="200"/>
        <w:rPr>
          <w:rStyle w:val="17"/>
          <w:rFonts w:hint="eastAsia" w:ascii="仿宋" w:hAnsi="仿宋" w:eastAsia="仿宋" w:cstheme="minorBidi"/>
          <w:b w:val="0"/>
          <w:bCs/>
          <w:color w:val="auto"/>
          <w:sz w:val="32"/>
          <w:szCs w:val="32"/>
          <w:highlight w:val="none"/>
        </w:rPr>
      </w:pPr>
      <w:r>
        <w:rPr>
          <w:rStyle w:val="17"/>
          <w:rFonts w:hint="eastAsia" w:ascii="仿宋" w:hAnsi="仿宋" w:eastAsia="仿宋" w:cstheme="minorBidi"/>
          <w:b w:val="0"/>
          <w:bCs/>
          <w:color w:val="auto"/>
          <w:sz w:val="32"/>
          <w:szCs w:val="32"/>
          <w:highlight w:val="none"/>
        </w:rPr>
        <w:t>卫生健康（类）</w:t>
      </w:r>
      <w:r>
        <w:rPr>
          <w:rStyle w:val="17"/>
          <w:rFonts w:hint="eastAsia" w:ascii="仿宋" w:hAnsi="仿宋" w:eastAsia="仿宋" w:cstheme="minorBidi"/>
          <w:b w:val="0"/>
          <w:bCs/>
          <w:color w:val="auto"/>
          <w:sz w:val="32"/>
          <w:szCs w:val="32"/>
          <w:highlight w:val="none"/>
          <w:lang w:val="en-US" w:eastAsia="zh-CN"/>
        </w:rPr>
        <w:t>其他卫生健康</w:t>
      </w:r>
      <w:r>
        <w:rPr>
          <w:rStyle w:val="17"/>
          <w:rFonts w:hint="eastAsia" w:ascii="仿宋" w:hAnsi="仿宋" w:eastAsia="仿宋" w:cstheme="minorBidi"/>
          <w:b w:val="0"/>
          <w:bCs/>
          <w:color w:val="auto"/>
          <w:sz w:val="32"/>
          <w:szCs w:val="32"/>
          <w:highlight w:val="none"/>
        </w:rPr>
        <w:t>（款）</w:t>
      </w:r>
      <w:r>
        <w:rPr>
          <w:rStyle w:val="17"/>
          <w:rFonts w:hint="eastAsia" w:ascii="仿宋" w:hAnsi="仿宋" w:eastAsia="仿宋" w:cstheme="minorBidi"/>
          <w:b w:val="0"/>
          <w:bCs/>
          <w:color w:val="auto"/>
          <w:sz w:val="32"/>
          <w:szCs w:val="32"/>
          <w:highlight w:val="none"/>
          <w:lang w:val="en-US" w:eastAsia="zh-CN"/>
        </w:rPr>
        <w:t>其他卫生健康</w:t>
      </w:r>
      <w:r>
        <w:rPr>
          <w:rStyle w:val="17"/>
          <w:rFonts w:hint="eastAsia" w:ascii="仿宋" w:hAnsi="仿宋" w:eastAsia="仿宋" w:cstheme="minorBidi"/>
          <w:b w:val="0"/>
          <w:bCs/>
          <w:color w:val="auto"/>
          <w:sz w:val="32"/>
          <w:szCs w:val="32"/>
          <w:highlight w:val="none"/>
        </w:rPr>
        <w:t>（项）:支出决算为</w:t>
      </w:r>
      <w:r>
        <w:rPr>
          <w:rStyle w:val="17"/>
          <w:rFonts w:hint="eastAsia" w:ascii="仿宋" w:hAnsi="仿宋" w:eastAsia="仿宋" w:cstheme="minorBidi"/>
          <w:b w:val="0"/>
          <w:bCs/>
          <w:color w:val="auto"/>
          <w:sz w:val="32"/>
          <w:szCs w:val="32"/>
          <w:highlight w:val="none"/>
          <w:lang w:val="en-US" w:eastAsia="zh-CN"/>
        </w:rPr>
        <w:t>0</w:t>
      </w:r>
      <w:r>
        <w:rPr>
          <w:rStyle w:val="17"/>
          <w:rFonts w:hint="eastAsia" w:ascii="仿宋" w:hAnsi="仿宋" w:eastAsia="仿宋" w:cstheme="minorBidi"/>
          <w:b w:val="0"/>
          <w:bCs/>
          <w:color w:val="auto"/>
          <w:sz w:val="32"/>
          <w:szCs w:val="32"/>
          <w:highlight w:val="none"/>
        </w:rPr>
        <w:t>.</w:t>
      </w:r>
      <w:r>
        <w:rPr>
          <w:rStyle w:val="17"/>
          <w:rFonts w:hint="eastAsia" w:ascii="仿宋" w:hAnsi="仿宋" w:eastAsia="仿宋" w:cstheme="minorBidi"/>
          <w:b w:val="0"/>
          <w:bCs/>
          <w:color w:val="auto"/>
          <w:sz w:val="32"/>
          <w:szCs w:val="32"/>
          <w:highlight w:val="none"/>
          <w:lang w:val="en-US" w:eastAsia="zh-CN"/>
        </w:rPr>
        <w:t>66</w:t>
      </w:r>
      <w:r>
        <w:rPr>
          <w:rStyle w:val="17"/>
          <w:rFonts w:hint="eastAsia" w:ascii="仿宋" w:hAnsi="仿宋" w:eastAsia="仿宋" w:cstheme="minorBidi"/>
          <w:b w:val="0"/>
          <w:bCs/>
          <w:color w:val="auto"/>
          <w:sz w:val="32"/>
          <w:szCs w:val="32"/>
          <w:highlight w:val="none"/>
        </w:rPr>
        <w:t>万元，完成预算</w:t>
      </w:r>
      <w:r>
        <w:rPr>
          <w:rStyle w:val="17"/>
          <w:rFonts w:hint="eastAsia" w:ascii="仿宋" w:hAnsi="仿宋" w:eastAsia="仿宋" w:cstheme="minorBidi"/>
          <w:b w:val="0"/>
          <w:bCs/>
          <w:color w:val="auto"/>
          <w:sz w:val="32"/>
          <w:szCs w:val="32"/>
          <w:highlight w:val="none"/>
          <w:lang w:val="en-US" w:eastAsia="zh-CN"/>
        </w:rPr>
        <w:t>100.00</w:t>
      </w:r>
      <w:r>
        <w:rPr>
          <w:rStyle w:val="17"/>
          <w:rFonts w:hint="eastAsia" w:ascii="仿宋" w:hAnsi="仿宋" w:eastAsia="仿宋" w:cstheme="minorBidi"/>
          <w:b w:val="0"/>
          <w:bCs/>
          <w:color w:val="auto"/>
          <w:sz w:val="32"/>
          <w:szCs w:val="32"/>
          <w:highlight w:val="none"/>
        </w:rPr>
        <w:t>%，决算数等于预算数。</w:t>
      </w:r>
    </w:p>
    <w:p w14:paraId="0B0575DD">
      <w:pPr>
        <w:numPr>
          <w:ilvl w:val="0"/>
          <w:numId w:val="3"/>
        </w:numPr>
        <w:spacing w:line="600" w:lineRule="exact"/>
        <w:ind w:left="0" w:leftChars="0" w:firstLine="640" w:firstLineChars="200"/>
        <w:rPr>
          <w:rFonts w:ascii="仿宋" w:hAnsi="仿宋" w:eastAsia="仿宋"/>
          <w:color w:val="auto"/>
          <w:sz w:val="32"/>
          <w:szCs w:val="32"/>
          <w:highlight w:val="none"/>
        </w:rPr>
      </w:pPr>
      <w:r>
        <w:rPr>
          <w:rStyle w:val="17"/>
          <w:rFonts w:hint="eastAsia" w:ascii="仿宋" w:hAnsi="仿宋" w:eastAsia="仿宋" w:cstheme="minorBidi"/>
          <w:b w:val="0"/>
          <w:bCs/>
          <w:color w:val="auto"/>
          <w:sz w:val="32"/>
          <w:szCs w:val="32"/>
          <w:highlight w:val="none"/>
        </w:rPr>
        <w:t>住房保障支出（类）住房改革支出（款）住房公积金</w:t>
      </w:r>
      <w:r>
        <w:rPr>
          <w:rStyle w:val="17"/>
          <w:rFonts w:hint="eastAsia" w:ascii="仿宋" w:hAnsi="仿宋" w:eastAsia="仿宋" w:cstheme="minorBidi"/>
          <w:b w:val="0"/>
          <w:bCs/>
          <w:color w:val="auto"/>
          <w:sz w:val="32"/>
          <w:szCs w:val="32"/>
          <w:highlight w:val="none"/>
          <w:lang w:eastAsia="zh-CN"/>
        </w:rPr>
        <w:t>（</w:t>
      </w:r>
      <w:r>
        <w:rPr>
          <w:rStyle w:val="17"/>
          <w:rFonts w:hint="eastAsia" w:ascii="仿宋" w:hAnsi="仿宋" w:eastAsia="仿宋" w:cstheme="minorBidi"/>
          <w:b w:val="0"/>
          <w:bCs/>
          <w:color w:val="auto"/>
          <w:sz w:val="32"/>
          <w:szCs w:val="32"/>
          <w:highlight w:val="none"/>
        </w:rPr>
        <w:t>项）:支出决算为1</w:t>
      </w:r>
      <w:r>
        <w:rPr>
          <w:rStyle w:val="17"/>
          <w:rFonts w:hint="eastAsia" w:ascii="仿宋" w:hAnsi="仿宋" w:eastAsia="仿宋" w:cstheme="minorBidi"/>
          <w:b w:val="0"/>
          <w:bCs/>
          <w:color w:val="auto"/>
          <w:sz w:val="32"/>
          <w:szCs w:val="32"/>
          <w:highlight w:val="none"/>
          <w:lang w:val="en-US" w:eastAsia="zh-CN"/>
        </w:rPr>
        <w:t>0.75</w:t>
      </w:r>
      <w:r>
        <w:rPr>
          <w:rStyle w:val="17"/>
          <w:rFonts w:hint="eastAsia" w:ascii="仿宋" w:hAnsi="仿宋" w:eastAsia="仿宋" w:cstheme="minorBidi"/>
          <w:b w:val="0"/>
          <w:bCs/>
          <w:color w:val="auto"/>
          <w:sz w:val="32"/>
          <w:szCs w:val="32"/>
          <w:highlight w:val="none"/>
        </w:rPr>
        <w:t>万元，完成预算</w:t>
      </w:r>
      <w:r>
        <w:rPr>
          <w:rStyle w:val="17"/>
          <w:rFonts w:hint="eastAsia" w:ascii="仿宋" w:hAnsi="仿宋" w:eastAsia="仿宋" w:cstheme="minorBidi"/>
          <w:b w:val="0"/>
          <w:bCs/>
          <w:color w:val="auto"/>
          <w:sz w:val="32"/>
          <w:szCs w:val="32"/>
          <w:highlight w:val="none"/>
          <w:lang w:val="en-US" w:eastAsia="zh-CN"/>
        </w:rPr>
        <w:t>100.00</w:t>
      </w:r>
      <w:r>
        <w:rPr>
          <w:rStyle w:val="17"/>
          <w:rFonts w:hint="eastAsia" w:ascii="仿宋" w:hAnsi="仿宋" w:eastAsia="仿宋" w:cstheme="minorBidi"/>
          <w:b w:val="0"/>
          <w:bCs/>
          <w:color w:val="auto"/>
          <w:sz w:val="32"/>
          <w:szCs w:val="32"/>
          <w:highlight w:val="none"/>
        </w:rPr>
        <w:t>%，决算数等于预算数。</w:t>
      </w:r>
    </w:p>
    <w:p w14:paraId="11211E7D">
      <w:pPr>
        <w:pStyle w:val="8"/>
        <w:rPr>
          <w:rFonts w:ascii="仿宋" w:hAnsi="仿宋" w:eastAsia="仿宋"/>
          <w:b/>
          <w:color w:val="auto"/>
          <w:sz w:val="32"/>
          <w:szCs w:val="32"/>
          <w:highlight w:val="none"/>
        </w:rPr>
      </w:pPr>
    </w:p>
    <w:p w14:paraId="7063246E">
      <w:pPr>
        <w:pStyle w:val="8"/>
        <w:rPr>
          <w:rFonts w:ascii="仿宋" w:hAnsi="仿宋" w:eastAsia="仿宋"/>
          <w:b/>
          <w:color w:val="auto"/>
          <w:sz w:val="32"/>
          <w:szCs w:val="32"/>
          <w:highlight w:val="none"/>
        </w:rPr>
      </w:pPr>
    </w:p>
    <w:p w14:paraId="48E60227">
      <w:pPr>
        <w:pStyle w:val="8"/>
        <w:rPr>
          <w:rFonts w:ascii="仿宋" w:hAnsi="仿宋" w:eastAsia="仿宋"/>
          <w:b/>
          <w:color w:val="auto"/>
          <w:sz w:val="32"/>
          <w:szCs w:val="32"/>
          <w:highlight w:val="none"/>
        </w:rPr>
      </w:pPr>
    </w:p>
    <w:p w14:paraId="4329F19F">
      <w:pPr>
        <w:pStyle w:val="8"/>
        <w:rPr>
          <w:rFonts w:ascii="仿宋" w:hAnsi="仿宋" w:eastAsia="仿宋"/>
          <w:b/>
          <w:color w:val="auto"/>
          <w:sz w:val="32"/>
          <w:szCs w:val="32"/>
          <w:highlight w:val="none"/>
        </w:rPr>
      </w:pPr>
    </w:p>
    <w:p w14:paraId="05E4DE98">
      <w:pPr>
        <w:pStyle w:val="8"/>
        <w:rPr>
          <w:rFonts w:ascii="仿宋" w:hAnsi="仿宋" w:eastAsia="仿宋"/>
          <w:b/>
          <w:color w:val="auto"/>
          <w:sz w:val="32"/>
          <w:szCs w:val="32"/>
          <w:highlight w:val="none"/>
        </w:rPr>
      </w:pPr>
    </w:p>
    <w:p w14:paraId="5875AB7D">
      <w:pPr>
        <w:tabs>
          <w:tab w:val="right" w:pos="8306"/>
        </w:tabs>
        <w:spacing w:line="600" w:lineRule="exact"/>
        <w:ind w:firstLine="640"/>
        <w:outlineLvl w:val="1"/>
        <w:rPr>
          <w:rStyle w:val="28"/>
          <w:color w:val="auto"/>
          <w:highlight w:val="none"/>
        </w:rPr>
      </w:pPr>
      <w:bookmarkStart w:id="29" w:name="_Toc15396608"/>
      <w:bookmarkStart w:id="30"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29"/>
      <w:bookmarkEnd w:id="30"/>
      <w:r>
        <w:rPr>
          <w:rStyle w:val="28"/>
          <w:rFonts w:ascii="黑体" w:hAnsi="黑体" w:eastAsia="黑体"/>
          <w:b w:val="0"/>
          <w:color w:val="auto"/>
          <w:highlight w:val="none"/>
        </w:rPr>
        <w:tab/>
      </w:r>
    </w:p>
    <w:p w14:paraId="43C3F60A">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年一般公共预算财政拨款基本支出1</w:t>
      </w:r>
      <w:r>
        <w:rPr>
          <w:rFonts w:hint="eastAsia" w:ascii="仿宋" w:hAnsi="仿宋" w:eastAsia="仿宋"/>
          <w:color w:val="auto"/>
          <w:sz w:val="32"/>
          <w:szCs w:val="32"/>
          <w:highlight w:val="none"/>
          <w:lang w:val="en-US" w:eastAsia="zh-CN"/>
        </w:rPr>
        <w:t>933.23</w:t>
      </w:r>
      <w:r>
        <w:rPr>
          <w:rFonts w:hint="eastAsia" w:ascii="仿宋" w:hAnsi="仿宋" w:eastAsia="仿宋"/>
          <w:color w:val="auto"/>
          <w:sz w:val="32"/>
          <w:szCs w:val="32"/>
          <w:highlight w:val="none"/>
        </w:rPr>
        <w:t>万元，其中：</w:t>
      </w:r>
    </w:p>
    <w:p w14:paraId="690FFF46">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1648.54</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生活补助、医疗费补助、奖励金、住房公积金、其他对个人和家庭的补助支出等。</w:t>
      </w:r>
    </w:p>
    <w:p w14:paraId="602D4BED">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284.69</w:t>
      </w:r>
      <w:r>
        <w:rPr>
          <w:rFonts w:hint="eastAsia" w:ascii="仿宋" w:hAnsi="仿宋" w:eastAsia="仿宋"/>
          <w:color w:val="auto"/>
          <w:sz w:val="32"/>
          <w:szCs w:val="32"/>
          <w:highlight w:val="none"/>
        </w:rPr>
        <w:t>万元，主要包括：办公费、印刷费、咨询费、手续费、水费、电费、邮电费、差旅费、维修（护）费、租赁费、会议费、培训费、公务接待费、劳务费、委托业务费、工会经费、福利费、其他交通费、税金及附加费用、其他商品和服务支出、办公设备购置、专用设备购置、信息网络及软件购置更新、其他资本性支出等。</w:t>
      </w:r>
    </w:p>
    <w:p w14:paraId="2F748727">
      <w:pPr>
        <w:spacing w:line="600" w:lineRule="exact"/>
        <w:ind w:firstLine="640" w:firstLineChars="200"/>
        <w:outlineLvl w:val="1"/>
        <w:rPr>
          <w:rStyle w:val="28"/>
          <w:rFonts w:ascii="黑体" w:hAnsi="黑体" w:eastAsia="黑体"/>
          <w:b w:val="0"/>
          <w:color w:val="auto"/>
          <w:highlight w:val="none"/>
        </w:rPr>
      </w:pPr>
      <w:bookmarkStart w:id="31" w:name="_Toc15377215"/>
      <w:bookmarkStart w:id="32" w:name="_Toc15396609"/>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31"/>
      <w:bookmarkEnd w:id="32"/>
    </w:p>
    <w:p w14:paraId="77274C13">
      <w:pPr>
        <w:spacing w:line="600" w:lineRule="exact"/>
        <w:ind w:firstLine="640"/>
        <w:outlineLvl w:val="2"/>
        <w:rPr>
          <w:rFonts w:ascii="仿宋" w:hAnsi="仿宋" w:eastAsia="仿宋"/>
          <w:b/>
          <w:color w:val="auto"/>
          <w:sz w:val="32"/>
          <w:szCs w:val="32"/>
          <w:highlight w:val="none"/>
        </w:rPr>
      </w:pPr>
      <w:bookmarkStart w:id="33" w:name="_Toc15377216"/>
      <w:r>
        <w:rPr>
          <w:rFonts w:hint="eastAsia" w:ascii="仿宋" w:hAnsi="仿宋" w:eastAsia="仿宋"/>
          <w:b/>
          <w:color w:val="auto"/>
          <w:sz w:val="32"/>
          <w:szCs w:val="32"/>
          <w:highlight w:val="none"/>
        </w:rPr>
        <w:t>（一）“三公”经费财政拨款支出决算总体情况说明</w:t>
      </w:r>
      <w:bookmarkEnd w:id="33"/>
    </w:p>
    <w:p w14:paraId="567502E2">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持平。</w:t>
      </w:r>
      <w:r>
        <w:rPr>
          <w:rFonts w:hint="eastAsia" w:ascii="仿宋" w:hAnsi="仿宋" w:eastAsia="仿宋"/>
          <w:color w:val="auto"/>
          <w:sz w:val="32"/>
          <w:szCs w:val="32"/>
          <w:highlight w:val="none"/>
        </w:rPr>
        <w:t>决算数与预算数持平。</w:t>
      </w:r>
    </w:p>
    <w:p w14:paraId="0A8A8CB8">
      <w:pPr>
        <w:spacing w:line="600" w:lineRule="exact"/>
        <w:ind w:firstLine="640"/>
        <w:outlineLvl w:val="2"/>
        <w:rPr>
          <w:rFonts w:ascii="仿宋" w:hAnsi="仿宋" w:eastAsia="仿宋"/>
          <w:b/>
          <w:color w:val="auto"/>
          <w:sz w:val="32"/>
          <w:szCs w:val="32"/>
          <w:highlight w:val="none"/>
        </w:rPr>
      </w:pPr>
      <w:bookmarkStart w:id="34" w:name="_Toc15377217"/>
      <w:r>
        <w:rPr>
          <w:rFonts w:hint="eastAsia" w:ascii="仿宋" w:hAnsi="仿宋" w:eastAsia="仿宋"/>
          <w:b/>
          <w:color w:val="auto"/>
          <w:sz w:val="32"/>
          <w:szCs w:val="32"/>
          <w:highlight w:val="none"/>
        </w:rPr>
        <w:t>（二）“三公”经费财政拨款支出决算具体情况说明</w:t>
      </w:r>
      <w:bookmarkEnd w:id="34"/>
    </w:p>
    <w:p w14:paraId="1BC72BFD">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14:paraId="3FB6C94E">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1.因公出国（境）经费支出0.00万元，完成预算0.00%。因公出国（境）支出决算比2022年增加0.00万元，增长0.00%。</w:t>
      </w:r>
    </w:p>
    <w:p w14:paraId="65494C7D">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2.公务用车购置及运行维护费支出0.00万元,完成预算0.00%。公务用车购置及运行维护费支出决算比2022年增加0.00万元，增长0.00%。</w:t>
      </w:r>
    </w:p>
    <w:p w14:paraId="79259636">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其中：公务用车购置支出0.00万元。全年按规定更新购置公务用车0.00辆，截至20223年12月底，单位共有公务用车0.00辆。</w:t>
      </w:r>
    </w:p>
    <w:p w14:paraId="26788B87">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公务用车运行维护费支出0.00万元。</w:t>
      </w:r>
    </w:p>
    <w:p w14:paraId="59A84B9F">
      <w:pPr>
        <w:numPr>
          <w:ilvl w:val="0"/>
          <w:numId w:val="4"/>
        </w:num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公务接待费支出0.00万元，完成预算0.00%。公务接待费支出决算比2022年增加0.00万元，增长0.00%。</w:t>
      </w:r>
      <w:bookmarkStart w:id="35" w:name="_Toc15377218"/>
      <w:bookmarkStart w:id="36" w:name="_Toc15396610"/>
    </w:p>
    <w:p w14:paraId="7195F5E3">
      <w:pPr>
        <w:numPr>
          <w:ilvl w:val="0"/>
          <w:numId w:val="0"/>
        </w:num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国内公务接待支出0.00万元。</w:t>
      </w:r>
    </w:p>
    <w:p w14:paraId="2320D003">
      <w:pPr>
        <w:numPr>
          <w:ilvl w:val="0"/>
          <w:numId w:val="0"/>
        </w:num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外事接待支出0.00万元。</w:t>
      </w:r>
    </w:p>
    <w:p w14:paraId="6B07B41F">
      <w:pPr>
        <w:spacing w:line="600" w:lineRule="exact"/>
        <w:ind w:firstLine="640"/>
        <w:outlineLvl w:val="1"/>
        <w:rPr>
          <w:rStyle w:val="28"/>
          <w:rFonts w:ascii="黑体" w:hAnsi="黑体" w:eastAsia="黑体"/>
          <w:color w:val="auto"/>
          <w:highlight w:val="none"/>
        </w:rPr>
      </w:pPr>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35"/>
      <w:bookmarkEnd w:id="36"/>
    </w:p>
    <w:p w14:paraId="159B9036">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0B784C36">
      <w:pPr>
        <w:numPr>
          <w:ilvl w:val="0"/>
          <w:numId w:val="5"/>
        </w:numPr>
        <w:spacing w:line="600" w:lineRule="exact"/>
        <w:ind w:firstLine="640"/>
        <w:outlineLvl w:val="1"/>
        <w:rPr>
          <w:rStyle w:val="28"/>
          <w:rFonts w:ascii="黑体" w:hAnsi="黑体" w:eastAsia="黑体"/>
          <w:b w:val="0"/>
          <w:color w:val="auto"/>
          <w:highlight w:val="none"/>
        </w:rPr>
      </w:pPr>
      <w:bookmarkStart w:id="37" w:name="_Toc15396611"/>
      <w:bookmarkStart w:id="38" w:name="_Toc15377219"/>
      <w:r>
        <w:rPr>
          <w:rStyle w:val="28"/>
          <w:rFonts w:hint="eastAsia" w:ascii="黑体" w:hAnsi="黑体" w:eastAsia="黑体"/>
          <w:b w:val="0"/>
          <w:color w:val="auto"/>
          <w:highlight w:val="none"/>
        </w:rPr>
        <w:t>国有资本经营预算支出决算情况说明</w:t>
      </w:r>
      <w:bookmarkEnd w:id="37"/>
      <w:bookmarkEnd w:id="38"/>
    </w:p>
    <w:p w14:paraId="04140CE3">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082FF1BA">
      <w:pPr>
        <w:numPr>
          <w:ilvl w:val="0"/>
          <w:numId w:val="5"/>
        </w:numPr>
        <w:spacing w:line="600" w:lineRule="exact"/>
        <w:ind w:firstLine="640"/>
        <w:outlineLvl w:val="1"/>
        <w:rPr>
          <w:rStyle w:val="28"/>
          <w:rFonts w:hint="eastAsia" w:ascii="黑体" w:hAnsi="黑体" w:eastAsia="黑体"/>
          <w:b w:val="0"/>
          <w:color w:val="auto"/>
          <w:highlight w:val="none"/>
        </w:rPr>
      </w:pPr>
      <w:bookmarkStart w:id="39" w:name="_Toc15377221"/>
      <w:bookmarkStart w:id="40" w:name="_Toc15396612"/>
      <w:r>
        <w:rPr>
          <w:rStyle w:val="28"/>
          <w:rFonts w:hint="eastAsia" w:ascii="黑体" w:hAnsi="黑体" w:eastAsia="黑体"/>
          <w:b w:val="0"/>
          <w:color w:val="auto"/>
          <w:highlight w:val="none"/>
        </w:rPr>
        <w:t>其他重要事项的情况说明</w:t>
      </w:r>
      <w:bookmarkEnd w:id="39"/>
      <w:bookmarkEnd w:id="40"/>
    </w:p>
    <w:p w14:paraId="1F07FC2C">
      <w:pPr>
        <w:spacing w:line="600" w:lineRule="exact"/>
        <w:ind w:firstLine="643" w:firstLineChars="200"/>
        <w:outlineLvl w:val="2"/>
        <w:rPr>
          <w:rFonts w:ascii="仿宋" w:hAnsi="仿宋" w:eastAsia="仿宋"/>
          <w:color w:val="auto"/>
          <w:sz w:val="32"/>
          <w:szCs w:val="32"/>
          <w:highlight w:val="none"/>
        </w:rPr>
      </w:pPr>
      <w:bookmarkStart w:id="41" w:name="_Toc15377222"/>
      <w:r>
        <w:rPr>
          <w:rFonts w:hint="eastAsia" w:ascii="仿宋" w:hAnsi="仿宋" w:eastAsia="仿宋"/>
          <w:b/>
          <w:color w:val="auto"/>
          <w:sz w:val="32"/>
          <w:szCs w:val="32"/>
          <w:highlight w:val="none"/>
        </w:rPr>
        <w:t>（一）机关运行经费支出情况</w:t>
      </w:r>
      <w:bookmarkEnd w:id="41"/>
    </w:p>
    <w:p w14:paraId="1D03C0C1">
      <w:pPr>
        <w:spacing w:line="600" w:lineRule="exact"/>
        <w:ind w:firstLine="640" w:firstLineChars="200"/>
        <w:rPr>
          <w:rFonts w:ascii="仿宋" w:hAnsi="仿宋" w:eastAsia="仿宋"/>
          <w:b/>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万达中学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0.00</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年决算数持平</w:t>
      </w:r>
      <w:r>
        <w:rPr>
          <w:rFonts w:hint="eastAsia" w:ascii="仿宋_GB2312" w:eastAsia="仿宋_GB2312"/>
          <w:color w:val="auto"/>
          <w:sz w:val="32"/>
          <w:szCs w:val="32"/>
          <w:highlight w:val="none"/>
          <w:lang w:eastAsia="zh-CN"/>
        </w:rPr>
        <w:t>。</w:t>
      </w:r>
    </w:p>
    <w:p w14:paraId="2897540C">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2" w:name="_Toc15377223"/>
      <w:r>
        <w:rPr>
          <w:rFonts w:hint="eastAsia" w:ascii="仿宋" w:hAnsi="仿宋" w:eastAsia="仿宋"/>
          <w:b/>
          <w:color w:val="auto"/>
          <w:sz w:val="32"/>
          <w:szCs w:val="32"/>
          <w:highlight w:val="none"/>
        </w:rPr>
        <w:t>（二）政府采购支出情况</w:t>
      </w:r>
      <w:bookmarkEnd w:id="42"/>
    </w:p>
    <w:p w14:paraId="043CEE1E">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万达中学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85.08</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14:paraId="571EE434">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3" w:name="_Toc15377224"/>
      <w:r>
        <w:rPr>
          <w:rFonts w:hint="eastAsia" w:ascii="仿宋" w:hAnsi="仿宋" w:eastAsia="仿宋"/>
          <w:b/>
          <w:color w:val="auto"/>
          <w:sz w:val="32"/>
          <w:szCs w:val="32"/>
          <w:highlight w:val="none"/>
        </w:rPr>
        <w:t>（三）国有资产占有使用情况</w:t>
      </w:r>
      <w:bookmarkEnd w:id="43"/>
    </w:p>
    <w:p w14:paraId="1A041278">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万达中学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7D9A0B5B">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2ED5290B">
      <w:pPr>
        <w:pStyle w:val="8"/>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w:t>
      </w:r>
      <w:r>
        <w:rPr>
          <w:rFonts w:hint="eastAsia" w:ascii="仿宋_GB2312" w:eastAsia="仿宋_GB2312"/>
          <w:color w:val="auto"/>
          <w:sz w:val="32"/>
          <w:szCs w:val="32"/>
          <w:highlight w:val="none"/>
          <w:lang w:val="en-US" w:eastAsia="zh-CN"/>
        </w:rPr>
        <w:t>万达中学</w:t>
      </w:r>
      <w:r>
        <w:rPr>
          <w:rFonts w:hint="eastAsia" w:ascii="仿宋_GB2312" w:hAnsi="仿宋_GB2312" w:eastAsia="仿宋_GB2312" w:cs="仿宋_GB2312"/>
          <w:color w:val="auto"/>
          <w:sz w:val="32"/>
          <w:szCs w:val="32"/>
          <w:highlight w:val="none"/>
        </w:rPr>
        <w:t>在202</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公用经费补助</w:t>
      </w:r>
      <w:r>
        <w:rPr>
          <w:rFonts w:hint="eastAsia" w:ascii="仿宋_GB2312" w:hAnsi="仿宋_GB2312" w:eastAsia="仿宋_GB2312" w:cs="仿宋_GB2312"/>
          <w:color w:val="auto"/>
          <w:sz w:val="32"/>
          <w:szCs w:val="32"/>
          <w:highlight w:val="none"/>
        </w:rPr>
        <w:t>项目（项目名称）等</w:t>
      </w:r>
      <w:r>
        <w:rPr>
          <w:rFonts w:hint="eastAsia" w:hAnsi="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14:paraId="7C3D96FE">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2E8738E2">
      <w:pPr>
        <w:numPr>
          <w:ilvl w:val="0"/>
          <w:numId w:val="6"/>
        </w:numPr>
        <w:spacing w:line="600" w:lineRule="exact"/>
        <w:ind w:firstLine="660" w:firstLineChars="150"/>
        <w:jc w:val="center"/>
        <w:outlineLvl w:val="0"/>
        <w:rPr>
          <w:rFonts w:ascii="宋体"/>
          <w:b/>
          <w:color w:val="auto"/>
          <w:sz w:val="44"/>
          <w:szCs w:val="44"/>
          <w:highlight w:val="none"/>
        </w:rPr>
      </w:pPr>
      <w:bookmarkStart w:id="44" w:name="_Toc15396613"/>
      <w:bookmarkStart w:id="45" w:name="_Toc15377225"/>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44"/>
      <w:bookmarkEnd w:id="45"/>
    </w:p>
    <w:p w14:paraId="0D54ACCA">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27E5B82E">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w:t>
      </w:r>
      <w:r>
        <w:rPr>
          <w:rFonts w:hint="eastAsia" w:ascii="仿宋_GB2312" w:eastAsia="仿宋_GB2312"/>
          <w:color w:val="auto"/>
          <w:sz w:val="32"/>
          <w:szCs w:val="32"/>
          <w:highlight w:val="none"/>
          <w:lang w:val="en-US" w:eastAsia="zh-CN"/>
        </w:rPr>
        <w:t>学费、住宿费</w:t>
      </w:r>
      <w:r>
        <w:rPr>
          <w:rFonts w:hint="eastAsia" w:ascii="仿宋_GB2312" w:eastAsia="仿宋_GB2312"/>
          <w:color w:val="auto"/>
          <w:sz w:val="32"/>
          <w:szCs w:val="32"/>
          <w:highlight w:val="none"/>
        </w:rPr>
        <w:t>（二级预算单位事业收入情况）等。</w:t>
      </w:r>
    </w:p>
    <w:p w14:paraId="50964C72">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w:t>
      </w:r>
    </w:p>
    <w:p w14:paraId="600BEBA0">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年末结转和结余：指单位按有关规定结转到下年或以后年度继续使用的资金。</w:t>
      </w:r>
    </w:p>
    <w:p w14:paraId="542A06E4">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 教育支出（类）普通教育（款）高中教育（项）: 反映各部门举办的高级中学教育支出。政府各部门对社会中介组织等举办的高级中学的资助，如捐赠、补贴等，也在本科目中反映。</w:t>
      </w:r>
    </w:p>
    <w:p w14:paraId="5B2E06CF">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 教育支出（类）普通教育（款）其它普通教育（项）: 反映除上述项目以外其他用于普通教育方面的支出。</w:t>
      </w:r>
    </w:p>
    <w:p w14:paraId="758515F0">
      <w:pPr>
        <w:pStyle w:val="25"/>
        <w:spacing w:line="560" w:lineRule="exact"/>
        <w:ind w:firstLine="640" w:firstLineChars="200"/>
        <w:rPr>
          <w:rFonts w:hint="eastAsia" w:ascii="仿宋_GB2312" w:eastAsia="仿宋_GB2312"/>
          <w:b/>
          <w:bCs/>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 教育支出（类）</w:t>
      </w:r>
      <w:r>
        <w:rPr>
          <w:rFonts w:hint="eastAsia" w:ascii="仿宋_GB2312" w:eastAsia="仿宋_GB2312"/>
          <w:color w:val="auto"/>
          <w:sz w:val="32"/>
          <w:szCs w:val="32"/>
          <w:highlight w:val="none"/>
          <w:lang w:val="en-US" w:eastAsia="zh-CN"/>
        </w:rPr>
        <w:t>其他教育</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其他教育</w:t>
      </w:r>
      <w:r>
        <w:rPr>
          <w:rFonts w:hint="eastAsia" w:ascii="仿宋_GB2312" w:eastAsia="仿宋_GB2312"/>
          <w:color w:val="auto"/>
          <w:sz w:val="32"/>
          <w:szCs w:val="32"/>
          <w:highlight w:val="none"/>
        </w:rPr>
        <w:t>（项）: 反映除上述项目以外其他用于教育方面的支出。</w:t>
      </w:r>
    </w:p>
    <w:p w14:paraId="4A9A168C">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 社会保障和就业支出（类）行政事业单位离退休（款）机关事业单位基本养老保险缴费支出（项）: 指机关事业单位实施养老保险制度由单位缴纳的基本养老保险费支出。</w:t>
      </w:r>
    </w:p>
    <w:p w14:paraId="615337B6">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 社会保障和就业支出（类）行政事业单位离退休（款）机关事业单位职业年金缴费支出（项）: 指机关事业单位实施养老保险制度由单位实际缴纳的职业年金支出。</w:t>
      </w:r>
    </w:p>
    <w:p w14:paraId="35543B84">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 社会保障和就业支出（类）抚恤（款）死亡抚恤（项）: 指按规定用于烈士和牺牲、病故人员家属的一次性和定期抚恤金以及丧葬补助费。</w:t>
      </w:r>
    </w:p>
    <w:p w14:paraId="371C5766">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 医疗卫生与计划生育（类）行政事业单位医疗（款）事业单位医疗（项）: 指财政部门安排的事业单位基本医疗保险缴费经费，未参加医疗保险的事业单位的公费医疗经费，按国家规定享受离休人员待遇的医疗经费。</w:t>
      </w:r>
    </w:p>
    <w:p w14:paraId="6B2A7D5E">
      <w:pPr>
        <w:pStyle w:val="25"/>
        <w:spacing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 住房保障支出（类）住房改革支出（款）住房公积金（项）: 指行政事业单位按人力资源和社会保障部、财政部规定的基本工资和津贴补贴以及规定比例为职工缴纳的住房公积金。</w:t>
      </w:r>
    </w:p>
    <w:p w14:paraId="52DF4ADE">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0BAFFBF0">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74110440">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2599BD5">
      <w:pPr>
        <w:spacing w:line="600" w:lineRule="exact"/>
        <w:jc w:val="center"/>
        <w:outlineLvl w:val="0"/>
        <w:rPr>
          <w:rStyle w:val="27"/>
          <w:rFonts w:ascii="黑体" w:hAnsi="黑体" w:eastAsia="黑体"/>
          <w:b w:val="0"/>
          <w:color w:val="auto"/>
          <w:highlight w:val="none"/>
        </w:rPr>
      </w:pPr>
      <w:bookmarkStart w:id="46" w:name="_Toc15377226"/>
      <w:r>
        <w:rPr>
          <w:rFonts w:ascii="宋体"/>
          <w:b/>
          <w:color w:val="auto"/>
          <w:sz w:val="44"/>
          <w:szCs w:val="44"/>
          <w:highlight w:val="none"/>
        </w:rPr>
        <w:br w:type="page"/>
      </w:r>
      <w:bookmarkStart w:id="47" w:name="_Toc15396614"/>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47"/>
    </w:p>
    <w:p w14:paraId="7C2D3A84">
      <w:pPr>
        <w:spacing w:line="600" w:lineRule="exact"/>
        <w:jc w:val="center"/>
        <w:rPr>
          <w:rFonts w:hint="eastAsia" w:ascii="方正小标宋简体" w:hAnsi="方正小标宋简体" w:eastAsia="方正小标宋简体" w:cs="方正小标宋简体"/>
          <w:color w:val="000000"/>
          <w:kern w:val="0"/>
          <w:sz w:val="40"/>
          <w:szCs w:val="40"/>
        </w:rPr>
      </w:pPr>
    </w:p>
    <w:p w14:paraId="20EFE9E1">
      <w:pPr>
        <w:spacing w:line="600" w:lineRule="exact"/>
        <w:jc w:val="center"/>
        <w:outlineLvl w:val="0"/>
        <w:rPr>
          <w:rFonts w:hint="eastAsia" w:ascii="黑体" w:hAnsi="黑体" w:eastAsia="黑体"/>
          <w:color w:val="FF0000"/>
          <w:sz w:val="44"/>
          <w:szCs w:val="44"/>
          <w:highlight w:val="none"/>
        </w:rPr>
      </w:pPr>
      <w:r>
        <w:rPr>
          <w:rFonts w:hint="eastAsia" w:hAnsi="Times New Roman" w:cs="Times New Roman"/>
          <w:sz w:val="32"/>
          <w:szCs w:val="32"/>
          <w:highlight w:val="none"/>
          <w:lang w:val="en-US" w:eastAsia="zh-CN"/>
        </w:rPr>
        <w:t>部门预算项目支出绩效自评表（202</w:t>
      </w:r>
      <w:r>
        <w:rPr>
          <w:rFonts w:hint="eastAsia" w:cs="Times New Roman"/>
          <w:sz w:val="32"/>
          <w:szCs w:val="32"/>
          <w:highlight w:val="none"/>
          <w:lang w:val="en-US" w:eastAsia="zh-CN"/>
        </w:rPr>
        <w:t>3</w:t>
      </w:r>
      <w:r>
        <w:rPr>
          <w:rFonts w:hint="eastAsia" w:hAnsi="Times New Roman" w:cs="Times New Roman"/>
          <w:sz w:val="32"/>
          <w:szCs w:val="32"/>
          <w:highlight w:val="none"/>
          <w:lang w:val="en-US" w:eastAsia="zh-CN"/>
        </w:rPr>
        <w:t>年度）</w:t>
      </w:r>
    </w:p>
    <w:p w14:paraId="0A4C3A94">
      <w:pPr>
        <w:spacing w:line="600" w:lineRule="exact"/>
        <w:jc w:val="center"/>
        <w:rPr>
          <w:rFonts w:hint="eastAsia" w:ascii="方正小标宋简体" w:hAnsi="方正小标宋简体" w:eastAsia="方正小标宋简体" w:cs="方正小标宋简体"/>
          <w:color w:val="000000"/>
          <w:kern w:val="0"/>
          <w:sz w:val="40"/>
          <w:szCs w:val="40"/>
        </w:rPr>
      </w:pPr>
    </w:p>
    <w:p w14:paraId="3200D2E0">
      <w:pPr>
        <w:pStyle w:val="8"/>
        <w:spacing w:before="93"/>
        <w:rPr>
          <w:rFonts w:ascii="仿宋" w:hAnsi="仿宋" w:eastAsia="仿宋"/>
          <w:sz w:val="28"/>
          <w:szCs w:val="28"/>
          <w:lang w:val="zh-CN"/>
        </w:rPr>
      </w:pPr>
    </w:p>
    <w:p w14:paraId="6B3B688F">
      <w:pPr>
        <w:pStyle w:val="8"/>
        <w:rPr>
          <w:rFonts w:hint="eastAsia" w:ascii="仿宋_GB2312" w:hAnsi="Calibri" w:eastAsia="仿宋_GB2312" w:cs="仿宋"/>
          <w:color w:val="auto"/>
          <w:kern w:val="0"/>
          <w:sz w:val="28"/>
          <w:szCs w:val="28"/>
          <w:highlight w:val="none"/>
          <w:lang w:val="en-US" w:eastAsia="zh-CN" w:bidi="ar-SA"/>
        </w:rPr>
      </w:pPr>
      <w:r>
        <w:rPr>
          <w:rFonts w:hint="eastAsia" w:ascii="黑体" w:hAnsi="黑体" w:eastAsia="黑体" w:cs="黑体"/>
          <w:color w:val="000000"/>
          <w:kern w:val="0"/>
          <w:sz w:val="40"/>
          <w:szCs w:val="40"/>
        </w:rPr>
        <w:br w:type="page"/>
      </w:r>
      <w:bookmarkStart w:id="48" w:name="_Toc15396618"/>
    </w:p>
    <w:p w14:paraId="4DD2B390">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46"/>
      <w:bookmarkEnd w:id="48"/>
      <w:bookmarkStart w:id="49" w:name="_Toc15396619"/>
    </w:p>
    <w:p w14:paraId="1442FD2E">
      <w:pPr>
        <w:pStyle w:val="6"/>
        <w:rPr>
          <w:rFonts w:ascii="仿宋" w:hAnsi="仿宋" w:eastAsia="仿宋"/>
          <w:color w:val="auto"/>
          <w:highlight w:val="none"/>
        </w:rPr>
      </w:pPr>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49"/>
    </w:p>
    <w:p w14:paraId="39A0B414">
      <w:pPr>
        <w:pStyle w:val="6"/>
        <w:rPr>
          <w:rFonts w:ascii="仿宋" w:hAnsi="仿宋" w:eastAsia="仿宋"/>
          <w:color w:val="auto"/>
          <w:highlight w:val="none"/>
        </w:rPr>
      </w:pPr>
      <w:bookmarkStart w:id="50"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50"/>
    </w:p>
    <w:p w14:paraId="5983B517">
      <w:pPr>
        <w:pStyle w:val="6"/>
        <w:rPr>
          <w:rFonts w:ascii="仿宋" w:hAnsi="仿宋" w:eastAsia="仿宋"/>
          <w:color w:val="auto"/>
          <w:highlight w:val="none"/>
        </w:rPr>
      </w:pPr>
      <w:bookmarkStart w:id="51"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51"/>
    </w:p>
    <w:p w14:paraId="16785784">
      <w:pPr>
        <w:pStyle w:val="6"/>
        <w:rPr>
          <w:rFonts w:ascii="仿宋" w:hAnsi="仿宋" w:eastAsia="仿宋"/>
          <w:b w:val="0"/>
          <w:color w:val="auto"/>
          <w:highlight w:val="none"/>
        </w:rPr>
      </w:pPr>
      <w:bookmarkStart w:id="52"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52"/>
    </w:p>
    <w:p w14:paraId="19E3E9EA">
      <w:pPr>
        <w:pStyle w:val="6"/>
        <w:rPr>
          <w:rStyle w:val="28"/>
          <w:rFonts w:ascii="仿宋" w:hAnsi="仿宋" w:eastAsia="仿宋"/>
          <w:b w:val="0"/>
          <w:bCs w:val="0"/>
          <w:color w:val="auto"/>
          <w:highlight w:val="none"/>
        </w:rPr>
      </w:pPr>
      <w:bookmarkStart w:id="53"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53"/>
      <w:bookmarkStart w:id="54" w:name="_Toc15396624"/>
    </w:p>
    <w:p w14:paraId="5F1FA975">
      <w:pPr>
        <w:pStyle w:val="6"/>
        <w:rPr>
          <w:rFonts w:ascii="仿宋" w:hAnsi="仿宋" w:eastAsia="仿宋"/>
          <w:color w:val="auto"/>
          <w:highlight w:val="none"/>
        </w:rPr>
      </w:pPr>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54"/>
    </w:p>
    <w:p w14:paraId="041CC743">
      <w:pPr>
        <w:pStyle w:val="6"/>
        <w:rPr>
          <w:rFonts w:ascii="仿宋" w:hAnsi="仿宋" w:eastAsia="仿宋"/>
          <w:color w:val="auto"/>
          <w:highlight w:val="none"/>
        </w:rPr>
      </w:pPr>
      <w:bookmarkStart w:id="55" w:name="_Toc15396625"/>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55"/>
    </w:p>
    <w:p w14:paraId="1C5327AA">
      <w:pPr>
        <w:pStyle w:val="6"/>
        <w:rPr>
          <w:rFonts w:ascii="仿宋" w:hAnsi="仿宋" w:eastAsia="仿宋"/>
          <w:color w:val="auto"/>
          <w:highlight w:val="none"/>
        </w:rPr>
      </w:pPr>
      <w:bookmarkStart w:id="56" w:name="_Toc15396626"/>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56"/>
    </w:p>
    <w:p w14:paraId="0BB999F1">
      <w:pPr>
        <w:pStyle w:val="6"/>
        <w:rPr>
          <w:rFonts w:ascii="仿宋" w:hAnsi="仿宋" w:eastAsia="仿宋"/>
          <w:color w:val="auto"/>
          <w:highlight w:val="none"/>
        </w:rPr>
      </w:pPr>
      <w:bookmarkStart w:id="57" w:name="_Toc15396627"/>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57"/>
    </w:p>
    <w:p w14:paraId="3B375B52">
      <w:pPr>
        <w:pStyle w:val="6"/>
        <w:rPr>
          <w:rFonts w:ascii="仿宋" w:hAnsi="仿宋" w:eastAsia="仿宋"/>
          <w:color w:val="auto"/>
          <w:highlight w:val="none"/>
        </w:rPr>
      </w:pPr>
      <w:bookmarkStart w:id="58" w:name="_Toc15396628"/>
      <w:r>
        <w:rPr>
          <w:rStyle w:val="28"/>
          <w:rFonts w:hint="eastAsia" w:ascii="仿宋" w:hAnsi="仿宋" w:eastAsia="仿宋"/>
          <w:b w:val="0"/>
          <w:bCs w:val="0"/>
          <w:color w:val="auto"/>
          <w:highlight w:val="none"/>
        </w:rPr>
        <w:t>十、</w:t>
      </w:r>
      <w:bookmarkEnd w:id="58"/>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p>
    <w:p w14:paraId="1C657265">
      <w:pPr>
        <w:pStyle w:val="6"/>
        <w:rPr>
          <w:rFonts w:ascii="仿宋" w:hAnsi="仿宋" w:eastAsia="仿宋"/>
          <w:color w:val="auto"/>
          <w:highlight w:val="none"/>
        </w:rPr>
      </w:pPr>
      <w:bookmarkStart w:id="59" w:name="_Toc15396629"/>
      <w:r>
        <w:rPr>
          <w:rStyle w:val="28"/>
          <w:rFonts w:hint="eastAsia" w:ascii="仿宋" w:hAnsi="仿宋" w:eastAsia="仿宋"/>
          <w:b w:val="0"/>
          <w:bCs w:val="0"/>
          <w:color w:val="auto"/>
          <w:highlight w:val="none"/>
        </w:rPr>
        <w:t>十一、</w:t>
      </w:r>
      <w:bookmarkEnd w:id="59"/>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p>
    <w:p w14:paraId="73B768EE">
      <w:pPr>
        <w:pStyle w:val="6"/>
        <w:rPr>
          <w:rFonts w:ascii="仿宋" w:hAnsi="仿宋" w:eastAsia="仿宋"/>
          <w:color w:val="auto"/>
          <w:highlight w:val="none"/>
        </w:rPr>
      </w:pPr>
      <w:bookmarkStart w:id="60" w:name="_Toc15396630"/>
      <w:r>
        <w:rPr>
          <w:rStyle w:val="28"/>
          <w:rFonts w:hint="eastAsia" w:ascii="仿宋" w:hAnsi="仿宋" w:eastAsia="仿宋"/>
          <w:b w:val="0"/>
          <w:bCs w:val="0"/>
          <w:color w:val="auto"/>
          <w:highlight w:val="none"/>
        </w:rPr>
        <w:t>十二、</w:t>
      </w:r>
      <w:bookmarkEnd w:id="60"/>
      <w:r>
        <w:rPr>
          <w:rStyle w:val="28"/>
          <w:rFonts w:hint="eastAsia" w:ascii="仿宋" w:hAnsi="仿宋" w:eastAsia="仿宋"/>
          <w:b w:val="0"/>
          <w:bCs w:val="0"/>
          <w:color w:val="auto"/>
          <w:highlight w:val="none"/>
          <w:lang w:eastAsia="zh-CN"/>
        </w:rPr>
        <w:t>国有资本经营预算财政拨款支出决算表</w:t>
      </w:r>
    </w:p>
    <w:p w14:paraId="52D40FD2">
      <w:pPr>
        <w:pStyle w:val="6"/>
        <w:rPr>
          <w:rFonts w:hint="eastAsia" w:eastAsia="仿宋"/>
          <w:color w:val="auto"/>
          <w:highlight w:val="none"/>
          <w:lang w:eastAsia="zh-CN"/>
        </w:rPr>
      </w:pPr>
      <w:bookmarkStart w:id="61" w:name="_Toc15396631"/>
      <w:r>
        <w:rPr>
          <w:rStyle w:val="28"/>
          <w:rFonts w:hint="eastAsia" w:ascii="仿宋" w:hAnsi="仿宋" w:eastAsia="仿宋"/>
          <w:b w:val="0"/>
          <w:bCs w:val="0"/>
          <w:color w:val="auto"/>
          <w:highlight w:val="none"/>
        </w:rPr>
        <w:t>十三、</w:t>
      </w:r>
      <w:bookmarkEnd w:id="61"/>
      <w:r>
        <w:rPr>
          <w:rStyle w:val="28"/>
          <w:rFonts w:hint="eastAsia" w:ascii="仿宋" w:hAnsi="仿宋" w:eastAsia="仿宋"/>
          <w:b w:val="0"/>
          <w:bCs w:val="0"/>
          <w:color w:val="auto"/>
          <w:highlight w:val="none"/>
          <w:lang w:eastAsia="zh-CN"/>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86837E6">
        <w:pPr>
          <w:pStyle w:val="11"/>
          <w:jc w:val="center"/>
        </w:pPr>
        <w:r>
          <w:fldChar w:fldCharType="begin"/>
        </w:r>
        <w:r>
          <w:instrText xml:space="preserve">PAGE   \* MERGEFORMAT</w:instrText>
        </w:r>
        <w:r>
          <w:fldChar w:fldCharType="separate"/>
        </w:r>
        <w:r>
          <w:rPr>
            <w:lang w:val="zh-CN"/>
          </w:rPr>
          <w:t>8</w:t>
        </w:r>
        <w:r>
          <w:fldChar w:fldCharType="end"/>
        </w:r>
      </w:p>
    </w:sdtContent>
  </w:sdt>
  <w:p w14:paraId="18907A91">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5A6C7">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0DD55"/>
    <w:multiLevelType w:val="singleLevel"/>
    <w:tmpl w:val="B4B0DD55"/>
    <w:lvl w:ilvl="0" w:tentative="0">
      <w:start w:val="1"/>
      <w:numFmt w:val="decimal"/>
      <w:lvlText w:val="%1."/>
      <w:lvlJc w:val="left"/>
      <w:pPr>
        <w:tabs>
          <w:tab w:val="left" w:pos="312"/>
        </w:tabs>
      </w:pPr>
      <w:rPr>
        <w:rFonts w:hint="default"/>
        <w:b w:val="0"/>
        <w:bCs w:val="0"/>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D9EE970"/>
    <w:multiLevelType w:val="singleLevel"/>
    <w:tmpl w:val="DD9EE970"/>
    <w:lvl w:ilvl="0" w:tentative="0">
      <w:start w:val="3"/>
      <w:numFmt w:val="decimal"/>
      <w:lvlText w:val="%1."/>
      <w:lvlJc w:val="left"/>
      <w:pPr>
        <w:tabs>
          <w:tab w:val="left" w:pos="312"/>
        </w:tabs>
      </w:pPr>
    </w:lvl>
  </w:abstractNum>
  <w:abstractNum w:abstractNumId="3">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3818A09A"/>
    <w:multiLevelType w:val="singleLevel"/>
    <w:tmpl w:val="3818A09A"/>
    <w:lvl w:ilvl="0" w:tentative="0">
      <w:start w:val="1"/>
      <w:numFmt w:val="chineseCounting"/>
      <w:suff w:val="nothing"/>
      <w:lvlText w:val="%1、"/>
      <w:lvlJc w:val="left"/>
      <w:rPr>
        <w:rFonts w:hint="eastAsia"/>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YzNjNGRmMGEwNjEzOGM4ZGMzYTIzNTExNDJlMGMifQ=="/>
  </w:docVars>
  <w:rsids>
    <w:rsidRoot w:val="00F1361C"/>
    <w:rsid w:val="000222C6"/>
    <w:rsid w:val="0002549F"/>
    <w:rsid w:val="00044EF2"/>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4B60"/>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1E35"/>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7EEA"/>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37DE5"/>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54D9"/>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A28B7"/>
    <w:rsid w:val="00FD3CC1"/>
    <w:rsid w:val="00FF1E02"/>
    <w:rsid w:val="00FF30B4"/>
    <w:rsid w:val="011078C7"/>
    <w:rsid w:val="01205D5C"/>
    <w:rsid w:val="01343FA0"/>
    <w:rsid w:val="018F6A3E"/>
    <w:rsid w:val="01993D60"/>
    <w:rsid w:val="01A831AC"/>
    <w:rsid w:val="01B82438"/>
    <w:rsid w:val="01FD42EF"/>
    <w:rsid w:val="01FD7E4B"/>
    <w:rsid w:val="01FF3BC3"/>
    <w:rsid w:val="021C29C7"/>
    <w:rsid w:val="02377801"/>
    <w:rsid w:val="025657AD"/>
    <w:rsid w:val="027A76EE"/>
    <w:rsid w:val="028C7D48"/>
    <w:rsid w:val="02ED7EC0"/>
    <w:rsid w:val="03195159"/>
    <w:rsid w:val="032F04D8"/>
    <w:rsid w:val="0332754E"/>
    <w:rsid w:val="036B7036"/>
    <w:rsid w:val="038500F8"/>
    <w:rsid w:val="03887BE8"/>
    <w:rsid w:val="03CA2A11"/>
    <w:rsid w:val="043B2EAD"/>
    <w:rsid w:val="04451A62"/>
    <w:rsid w:val="046643CE"/>
    <w:rsid w:val="047B6022"/>
    <w:rsid w:val="048C3708"/>
    <w:rsid w:val="04983E5B"/>
    <w:rsid w:val="04BC5D9C"/>
    <w:rsid w:val="04C70D83"/>
    <w:rsid w:val="04E2157A"/>
    <w:rsid w:val="050140F6"/>
    <w:rsid w:val="05184F9C"/>
    <w:rsid w:val="051931EE"/>
    <w:rsid w:val="053936AE"/>
    <w:rsid w:val="053A62B5"/>
    <w:rsid w:val="053B7B7A"/>
    <w:rsid w:val="0571302A"/>
    <w:rsid w:val="057A17B3"/>
    <w:rsid w:val="05B20F4D"/>
    <w:rsid w:val="05B60A3D"/>
    <w:rsid w:val="05C173E2"/>
    <w:rsid w:val="05D94904"/>
    <w:rsid w:val="05EE26C5"/>
    <w:rsid w:val="05EF3F4F"/>
    <w:rsid w:val="06287461"/>
    <w:rsid w:val="06532B03"/>
    <w:rsid w:val="06CD62C6"/>
    <w:rsid w:val="06DC2725"/>
    <w:rsid w:val="071A149F"/>
    <w:rsid w:val="07230354"/>
    <w:rsid w:val="072365A6"/>
    <w:rsid w:val="072A7934"/>
    <w:rsid w:val="075E313A"/>
    <w:rsid w:val="07852DBD"/>
    <w:rsid w:val="078828AD"/>
    <w:rsid w:val="07C02047"/>
    <w:rsid w:val="07DD595F"/>
    <w:rsid w:val="08395955"/>
    <w:rsid w:val="08A32C46"/>
    <w:rsid w:val="08B33959"/>
    <w:rsid w:val="08B374B6"/>
    <w:rsid w:val="08B9085A"/>
    <w:rsid w:val="08BA6A96"/>
    <w:rsid w:val="08DD0629"/>
    <w:rsid w:val="08E81855"/>
    <w:rsid w:val="08FD6362"/>
    <w:rsid w:val="090221EB"/>
    <w:rsid w:val="090917CB"/>
    <w:rsid w:val="09242161"/>
    <w:rsid w:val="099217C1"/>
    <w:rsid w:val="09954E0D"/>
    <w:rsid w:val="09A70CF2"/>
    <w:rsid w:val="09A80FE4"/>
    <w:rsid w:val="09DA2B0B"/>
    <w:rsid w:val="09E55D95"/>
    <w:rsid w:val="09FB55B8"/>
    <w:rsid w:val="0A03366B"/>
    <w:rsid w:val="0A053D41"/>
    <w:rsid w:val="0A2032A3"/>
    <w:rsid w:val="0A3E36F7"/>
    <w:rsid w:val="0A4800D1"/>
    <w:rsid w:val="0A51342A"/>
    <w:rsid w:val="0A5151D8"/>
    <w:rsid w:val="0A5C592B"/>
    <w:rsid w:val="0A911263"/>
    <w:rsid w:val="0AC459AA"/>
    <w:rsid w:val="0AC57914"/>
    <w:rsid w:val="0AF142C5"/>
    <w:rsid w:val="0B1741E4"/>
    <w:rsid w:val="0B2E72C7"/>
    <w:rsid w:val="0B786794"/>
    <w:rsid w:val="0B8A37D8"/>
    <w:rsid w:val="0BF422BF"/>
    <w:rsid w:val="0C112E71"/>
    <w:rsid w:val="0C136600"/>
    <w:rsid w:val="0C234952"/>
    <w:rsid w:val="0C540FAF"/>
    <w:rsid w:val="0C9E3391"/>
    <w:rsid w:val="0CC10939"/>
    <w:rsid w:val="0CF84031"/>
    <w:rsid w:val="0D103128"/>
    <w:rsid w:val="0D110C4F"/>
    <w:rsid w:val="0D222E5C"/>
    <w:rsid w:val="0D240982"/>
    <w:rsid w:val="0D272220"/>
    <w:rsid w:val="0DE819AF"/>
    <w:rsid w:val="0DF37019"/>
    <w:rsid w:val="0E0B7D94"/>
    <w:rsid w:val="0E1409F6"/>
    <w:rsid w:val="0E680D42"/>
    <w:rsid w:val="0E896CF0"/>
    <w:rsid w:val="0E8A0CB9"/>
    <w:rsid w:val="0EAD2BF9"/>
    <w:rsid w:val="0EBD2E3C"/>
    <w:rsid w:val="0EE73F4C"/>
    <w:rsid w:val="0F403A6D"/>
    <w:rsid w:val="0F5D63CD"/>
    <w:rsid w:val="0F64150A"/>
    <w:rsid w:val="0F864AAC"/>
    <w:rsid w:val="0F9022FF"/>
    <w:rsid w:val="0F9F69E6"/>
    <w:rsid w:val="0FD04DF1"/>
    <w:rsid w:val="0FD77F2D"/>
    <w:rsid w:val="10325593"/>
    <w:rsid w:val="104A6951"/>
    <w:rsid w:val="104F3F68"/>
    <w:rsid w:val="106043C7"/>
    <w:rsid w:val="107B1489"/>
    <w:rsid w:val="10A1053B"/>
    <w:rsid w:val="10B75C5D"/>
    <w:rsid w:val="10C055FF"/>
    <w:rsid w:val="10CC55B8"/>
    <w:rsid w:val="10D23013"/>
    <w:rsid w:val="10EA0134"/>
    <w:rsid w:val="10EC17B7"/>
    <w:rsid w:val="10FD39C4"/>
    <w:rsid w:val="11090198"/>
    <w:rsid w:val="110F7B9B"/>
    <w:rsid w:val="111005FC"/>
    <w:rsid w:val="11181FA7"/>
    <w:rsid w:val="11551A52"/>
    <w:rsid w:val="117D4B05"/>
    <w:rsid w:val="118107EC"/>
    <w:rsid w:val="11DA5AB3"/>
    <w:rsid w:val="11DD6519"/>
    <w:rsid w:val="121F5BBC"/>
    <w:rsid w:val="123878EF"/>
    <w:rsid w:val="124B4C03"/>
    <w:rsid w:val="12577104"/>
    <w:rsid w:val="125F6E0B"/>
    <w:rsid w:val="127C300E"/>
    <w:rsid w:val="12832ECF"/>
    <w:rsid w:val="12DB196E"/>
    <w:rsid w:val="12F55FE2"/>
    <w:rsid w:val="13165211"/>
    <w:rsid w:val="132536A6"/>
    <w:rsid w:val="13347445"/>
    <w:rsid w:val="13451652"/>
    <w:rsid w:val="13E56991"/>
    <w:rsid w:val="14124BFF"/>
    <w:rsid w:val="14207245"/>
    <w:rsid w:val="14902DA1"/>
    <w:rsid w:val="14B60A59"/>
    <w:rsid w:val="14E153AA"/>
    <w:rsid w:val="153320AA"/>
    <w:rsid w:val="154716B1"/>
    <w:rsid w:val="15512530"/>
    <w:rsid w:val="15A05265"/>
    <w:rsid w:val="15B17473"/>
    <w:rsid w:val="15B52128"/>
    <w:rsid w:val="15BB209F"/>
    <w:rsid w:val="161A0F05"/>
    <w:rsid w:val="163F05DA"/>
    <w:rsid w:val="164756E1"/>
    <w:rsid w:val="164C2CF7"/>
    <w:rsid w:val="164E7166"/>
    <w:rsid w:val="16731DD4"/>
    <w:rsid w:val="16757268"/>
    <w:rsid w:val="16B965DF"/>
    <w:rsid w:val="16BB723D"/>
    <w:rsid w:val="16BC60CF"/>
    <w:rsid w:val="16DE7DF3"/>
    <w:rsid w:val="16E91B23"/>
    <w:rsid w:val="16F2564D"/>
    <w:rsid w:val="17147CB9"/>
    <w:rsid w:val="17321EED"/>
    <w:rsid w:val="174A7237"/>
    <w:rsid w:val="177843DF"/>
    <w:rsid w:val="178564C1"/>
    <w:rsid w:val="17873594"/>
    <w:rsid w:val="17884203"/>
    <w:rsid w:val="18015F3F"/>
    <w:rsid w:val="1820443C"/>
    <w:rsid w:val="18434EDA"/>
    <w:rsid w:val="18587755"/>
    <w:rsid w:val="185F7A70"/>
    <w:rsid w:val="18860743"/>
    <w:rsid w:val="19087F0B"/>
    <w:rsid w:val="19120228"/>
    <w:rsid w:val="19143FA0"/>
    <w:rsid w:val="19193365"/>
    <w:rsid w:val="191A5CC2"/>
    <w:rsid w:val="193C385F"/>
    <w:rsid w:val="194A79C2"/>
    <w:rsid w:val="196D545F"/>
    <w:rsid w:val="19B65058"/>
    <w:rsid w:val="19EF056A"/>
    <w:rsid w:val="1A255D39"/>
    <w:rsid w:val="1A676352"/>
    <w:rsid w:val="1A733D2A"/>
    <w:rsid w:val="1A8E7D82"/>
    <w:rsid w:val="1AC441A6"/>
    <w:rsid w:val="1AE14356"/>
    <w:rsid w:val="1AE71241"/>
    <w:rsid w:val="1B5623CB"/>
    <w:rsid w:val="1B8D5D31"/>
    <w:rsid w:val="1B953A1A"/>
    <w:rsid w:val="1BB27AA1"/>
    <w:rsid w:val="1BC81072"/>
    <w:rsid w:val="1BE8440E"/>
    <w:rsid w:val="1C302E5D"/>
    <w:rsid w:val="1C4701E9"/>
    <w:rsid w:val="1C986C96"/>
    <w:rsid w:val="1CA078F9"/>
    <w:rsid w:val="1CA229F9"/>
    <w:rsid w:val="1CA94A00"/>
    <w:rsid w:val="1CAC44F0"/>
    <w:rsid w:val="1CD31A7D"/>
    <w:rsid w:val="1CE65C54"/>
    <w:rsid w:val="1D155CEE"/>
    <w:rsid w:val="1D28626C"/>
    <w:rsid w:val="1D322C47"/>
    <w:rsid w:val="1D48246B"/>
    <w:rsid w:val="1D4B1F5B"/>
    <w:rsid w:val="1D7E5E8C"/>
    <w:rsid w:val="1D8F1105"/>
    <w:rsid w:val="1DB418AE"/>
    <w:rsid w:val="1DC2393D"/>
    <w:rsid w:val="1DC55869"/>
    <w:rsid w:val="1E0208EF"/>
    <w:rsid w:val="1E2E78B2"/>
    <w:rsid w:val="1E401394"/>
    <w:rsid w:val="1E65704C"/>
    <w:rsid w:val="1EA6074D"/>
    <w:rsid w:val="1EA96F39"/>
    <w:rsid w:val="1ECB5F13"/>
    <w:rsid w:val="1ED3045A"/>
    <w:rsid w:val="1F070103"/>
    <w:rsid w:val="1F5B7CFA"/>
    <w:rsid w:val="1F703EFB"/>
    <w:rsid w:val="1F7E6617"/>
    <w:rsid w:val="1FB75686"/>
    <w:rsid w:val="1FE50445"/>
    <w:rsid w:val="1FE521F3"/>
    <w:rsid w:val="2007660D"/>
    <w:rsid w:val="20215A16"/>
    <w:rsid w:val="203C3DDD"/>
    <w:rsid w:val="204D7D98"/>
    <w:rsid w:val="20825C93"/>
    <w:rsid w:val="20851D0B"/>
    <w:rsid w:val="20BB058F"/>
    <w:rsid w:val="20C0056A"/>
    <w:rsid w:val="20F31E0F"/>
    <w:rsid w:val="20F57F95"/>
    <w:rsid w:val="211118B2"/>
    <w:rsid w:val="212550F3"/>
    <w:rsid w:val="213351E0"/>
    <w:rsid w:val="214967B1"/>
    <w:rsid w:val="214C004F"/>
    <w:rsid w:val="215C64E4"/>
    <w:rsid w:val="21893052"/>
    <w:rsid w:val="21A954A2"/>
    <w:rsid w:val="21AC0D0B"/>
    <w:rsid w:val="21D70261"/>
    <w:rsid w:val="21EA6789"/>
    <w:rsid w:val="21F4496F"/>
    <w:rsid w:val="21FB3F4F"/>
    <w:rsid w:val="22347461"/>
    <w:rsid w:val="225E628C"/>
    <w:rsid w:val="230C5CE8"/>
    <w:rsid w:val="232B7B18"/>
    <w:rsid w:val="233D5EA2"/>
    <w:rsid w:val="23490CEA"/>
    <w:rsid w:val="23563EDF"/>
    <w:rsid w:val="236E69A3"/>
    <w:rsid w:val="238E34ED"/>
    <w:rsid w:val="23BE2382"/>
    <w:rsid w:val="23E66539"/>
    <w:rsid w:val="23ED3D6C"/>
    <w:rsid w:val="23F549CE"/>
    <w:rsid w:val="23F5677C"/>
    <w:rsid w:val="240371BF"/>
    <w:rsid w:val="241F1A4B"/>
    <w:rsid w:val="24253506"/>
    <w:rsid w:val="2452597D"/>
    <w:rsid w:val="245C67FB"/>
    <w:rsid w:val="24617AF7"/>
    <w:rsid w:val="248314AC"/>
    <w:rsid w:val="24833D88"/>
    <w:rsid w:val="24B108F5"/>
    <w:rsid w:val="24D10F97"/>
    <w:rsid w:val="24E0742D"/>
    <w:rsid w:val="24F133E8"/>
    <w:rsid w:val="250C0222"/>
    <w:rsid w:val="251B0465"/>
    <w:rsid w:val="2551032A"/>
    <w:rsid w:val="25711CC6"/>
    <w:rsid w:val="257162D7"/>
    <w:rsid w:val="25755DC7"/>
    <w:rsid w:val="25816279"/>
    <w:rsid w:val="259721E1"/>
    <w:rsid w:val="25973F8F"/>
    <w:rsid w:val="25C428AA"/>
    <w:rsid w:val="25C741E6"/>
    <w:rsid w:val="25DA20CE"/>
    <w:rsid w:val="260158AC"/>
    <w:rsid w:val="26597496"/>
    <w:rsid w:val="26647BE9"/>
    <w:rsid w:val="268C004B"/>
    <w:rsid w:val="27223D2C"/>
    <w:rsid w:val="275A1718"/>
    <w:rsid w:val="276C4FA7"/>
    <w:rsid w:val="276C6D8F"/>
    <w:rsid w:val="27723D21"/>
    <w:rsid w:val="27842671"/>
    <w:rsid w:val="27962024"/>
    <w:rsid w:val="27B0758A"/>
    <w:rsid w:val="27EE00B2"/>
    <w:rsid w:val="2810627B"/>
    <w:rsid w:val="28243AD4"/>
    <w:rsid w:val="283C7070"/>
    <w:rsid w:val="284101E2"/>
    <w:rsid w:val="28506677"/>
    <w:rsid w:val="28844573"/>
    <w:rsid w:val="2890116A"/>
    <w:rsid w:val="289668FF"/>
    <w:rsid w:val="28996270"/>
    <w:rsid w:val="2920429C"/>
    <w:rsid w:val="292813A2"/>
    <w:rsid w:val="294855A0"/>
    <w:rsid w:val="294C5091"/>
    <w:rsid w:val="296879F1"/>
    <w:rsid w:val="298B6D36"/>
    <w:rsid w:val="29EC6874"/>
    <w:rsid w:val="29FD04D3"/>
    <w:rsid w:val="2A1E3465"/>
    <w:rsid w:val="2A3A138D"/>
    <w:rsid w:val="2A4B359A"/>
    <w:rsid w:val="2A8B7E3A"/>
    <w:rsid w:val="2AA902C1"/>
    <w:rsid w:val="2ABC7FF4"/>
    <w:rsid w:val="2ABE7A3E"/>
    <w:rsid w:val="2ABF0EFF"/>
    <w:rsid w:val="2B0025D7"/>
    <w:rsid w:val="2B255B99"/>
    <w:rsid w:val="2B277B63"/>
    <w:rsid w:val="2B585F6F"/>
    <w:rsid w:val="2B844FB6"/>
    <w:rsid w:val="2B852ADC"/>
    <w:rsid w:val="2BF8505C"/>
    <w:rsid w:val="2C077995"/>
    <w:rsid w:val="2C7548FE"/>
    <w:rsid w:val="2CA234A8"/>
    <w:rsid w:val="2CD86C3B"/>
    <w:rsid w:val="2CDE06F5"/>
    <w:rsid w:val="2D0619FA"/>
    <w:rsid w:val="2D0839C4"/>
    <w:rsid w:val="2D1E73A5"/>
    <w:rsid w:val="2D21532B"/>
    <w:rsid w:val="2D5C161A"/>
    <w:rsid w:val="2D7E77E3"/>
    <w:rsid w:val="2D9D410D"/>
    <w:rsid w:val="2DA51213"/>
    <w:rsid w:val="2DAD00C8"/>
    <w:rsid w:val="2DE27D71"/>
    <w:rsid w:val="2E0601C9"/>
    <w:rsid w:val="2E075A2A"/>
    <w:rsid w:val="2E093550"/>
    <w:rsid w:val="2E2C5491"/>
    <w:rsid w:val="2E9A4AF0"/>
    <w:rsid w:val="2E9C2616"/>
    <w:rsid w:val="2EB931C8"/>
    <w:rsid w:val="2EBA484A"/>
    <w:rsid w:val="2EBC7D67"/>
    <w:rsid w:val="2ED81174"/>
    <w:rsid w:val="2EEA09FA"/>
    <w:rsid w:val="2EF835C5"/>
    <w:rsid w:val="2EFA178C"/>
    <w:rsid w:val="2F164BCD"/>
    <w:rsid w:val="2F191EB9"/>
    <w:rsid w:val="2F1A178D"/>
    <w:rsid w:val="2F1C3757"/>
    <w:rsid w:val="2F1F0B51"/>
    <w:rsid w:val="2F642A08"/>
    <w:rsid w:val="2FAA48BF"/>
    <w:rsid w:val="2FC33BD3"/>
    <w:rsid w:val="2FDB2CCA"/>
    <w:rsid w:val="303643A5"/>
    <w:rsid w:val="307A24E3"/>
    <w:rsid w:val="30A65100"/>
    <w:rsid w:val="30B359F5"/>
    <w:rsid w:val="30B46D73"/>
    <w:rsid w:val="30B54058"/>
    <w:rsid w:val="30DD0CC4"/>
    <w:rsid w:val="30F229C1"/>
    <w:rsid w:val="3106021B"/>
    <w:rsid w:val="31210BB1"/>
    <w:rsid w:val="318E323E"/>
    <w:rsid w:val="3196159F"/>
    <w:rsid w:val="319F7F4E"/>
    <w:rsid w:val="31C64FD5"/>
    <w:rsid w:val="31E367AE"/>
    <w:rsid w:val="31EB0625"/>
    <w:rsid w:val="32186458"/>
    <w:rsid w:val="32335040"/>
    <w:rsid w:val="32382656"/>
    <w:rsid w:val="328A6C2A"/>
    <w:rsid w:val="32936470"/>
    <w:rsid w:val="32B31CDC"/>
    <w:rsid w:val="32CC1347"/>
    <w:rsid w:val="32D06D32"/>
    <w:rsid w:val="32D11119"/>
    <w:rsid w:val="32D57EA5"/>
    <w:rsid w:val="32F522F5"/>
    <w:rsid w:val="333C7F24"/>
    <w:rsid w:val="33541711"/>
    <w:rsid w:val="33743B62"/>
    <w:rsid w:val="33857B1D"/>
    <w:rsid w:val="33A51F6D"/>
    <w:rsid w:val="33A90CED"/>
    <w:rsid w:val="33DB773D"/>
    <w:rsid w:val="343155AF"/>
    <w:rsid w:val="350201A1"/>
    <w:rsid w:val="35106717"/>
    <w:rsid w:val="351A4295"/>
    <w:rsid w:val="35301300"/>
    <w:rsid w:val="3550415A"/>
    <w:rsid w:val="35ED7BFB"/>
    <w:rsid w:val="35F54CA0"/>
    <w:rsid w:val="36323860"/>
    <w:rsid w:val="366118FB"/>
    <w:rsid w:val="36806379"/>
    <w:rsid w:val="36B14785"/>
    <w:rsid w:val="36BB1AA7"/>
    <w:rsid w:val="36D6243D"/>
    <w:rsid w:val="36F079A3"/>
    <w:rsid w:val="370C40B1"/>
    <w:rsid w:val="3748158D"/>
    <w:rsid w:val="37647A49"/>
    <w:rsid w:val="379F4F25"/>
    <w:rsid w:val="37B704C1"/>
    <w:rsid w:val="37D03331"/>
    <w:rsid w:val="37E35BB6"/>
    <w:rsid w:val="37E62B54"/>
    <w:rsid w:val="37FA03AE"/>
    <w:rsid w:val="38033706"/>
    <w:rsid w:val="38241D8A"/>
    <w:rsid w:val="383D272C"/>
    <w:rsid w:val="384653A1"/>
    <w:rsid w:val="384B29B7"/>
    <w:rsid w:val="38966328"/>
    <w:rsid w:val="38AD5420"/>
    <w:rsid w:val="38EE7F12"/>
    <w:rsid w:val="39331DC9"/>
    <w:rsid w:val="39810D86"/>
    <w:rsid w:val="39AE70AB"/>
    <w:rsid w:val="39E84962"/>
    <w:rsid w:val="39F96B6F"/>
    <w:rsid w:val="39FD5F33"/>
    <w:rsid w:val="3AB962FE"/>
    <w:rsid w:val="3AD250BD"/>
    <w:rsid w:val="3AD66EB0"/>
    <w:rsid w:val="3AEE244B"/>
    <w:rsid w:val="3B0F5F1E"/>
    <w:rsid w:val="3B3D0CDD"/>
    <w:rsid w:val="3B44426B"/>
    <w:rsid w:val="3B4F0A10"/>
    <w:rsid w:val="3B64270E"/>
    <w:rsid w:val="3B8E1539"/>
    <w:rsid w:val="3B8F28F9"/>
    <w:rsid w:val="3BD145FC"/>
    <w:rsid w:val="3BDD0ED8"/>
    <w:rsid w:val="3BF84CC8"/>
    <w:rsid w:val="3C0C0783"/>
    <w:rsid w:val="3C177780"/>
    <w:rsid w:val="3C343BFA"/>
    <w:rsid w:val="3C623DA1"/>
    <w:rsid w:val="3C6329C5"/>
    <w:rsid w:val="3C7626F9"/>
    <w:rsid w:val="3CA32DC2"/>
    <w:rsid w:val="3CAC536B"/>
    <w:rsid w:val="3CFE26EE"/>
    <w:rsid w:val="3D0D2931"/>
    <w:rsid w:val="3D385C00"/>
    <w:rsid w:val="3DD60F75"/>
    <w:rsid w:val="3DFB09DB"/>
    <w:rsid w:val="3E55633E"/>
    <w:rsid w:val="3E8D1F7B"/>
    <w:rsid w:val="3EB70208"/>
    <w:rsid w:val="3EBC460F"/>
    <w:rsid w:val="3EC534C3"/>
    <w:rsid w:val="3ED6747E"/>
    <w:rsid w:val="3EFE69D5"/>
    <w:rsid w:val="3F010273"/>
    <w:rsid w:val="3F057D64"/>
    <w:rsid w:val="3F1F0E9D"/>
    <w:rsid w:val="3F397A0D"/>
    <w:rsid w:val="3F5D5151"/>
    <w:rsid w:val="3F5E7474"/>
    <w:rsid w:val="3F7722E4"/>
    <w:rsid w:val="3F7C0483"/>
    <w:rsid w:val="3F7D5B4C"/>
    <w:rsid w:val="3F9F3A96"/>
    <w:rsid w:val="3FEE07F8"/>
    <w:rsid w:val="401D4686"/>
    <w:rsid w:val="40210BCD"/>
    <w:rsid w:val="40356427"/>
    <w:rsid w:val="40491ED2"/>
    <w:rsid w:val="40554C35"/>
    <w:rsid w:val="40AF61D9"/>
    <w:rsid w:val="40C506C7"/>
    <w:rsid w:val="41036525"/>
    <w:rsid w:val="410C1742"/>
    <w:rsid w:val="41265306"/>
    <w:rsid w:val="41432DC5"/>
    <w:rsid w:val="41605725"/>
    <w:rsid w:val="4177481D"/>
    <w:rsid w:val="418A4550"/>
    <w:rsid w:val="418D4040"/>
    <w:rsid w:val="41AC2719"/>
    <w:rsid w:val="41EA1401"/>
    <w:rsid w:val="41FD2F74"/>
    <w:rsid w:val="41FD569A"/>
    <w:rsid w:val="4209129B"/>
    <w:rsid w:val="42521512"/>
    <w:rsid w:val="4259518B"/>
    <w:rsid w:val="427C658F"/>
    <w:rsid w:val="42876CE2"/>
    <w:rsid w:val="42884F34"/>
    <w:rsid w:val="42935686"/>
    <w:rsid w:val="42B5384F"/>
    <w:rsid w:val="42D26FC6"/>
    <w:rsid w:val="42ED123B"/>
    <w:rsid w:val="42F00D2B"/>
    <w:rsid w:val="432A7D99"/>
    <w:rsid w:val="434C41B3"/>
    <w:rsid w:val="43560B8E"/>
    <w:rsid w:val="4374370A"/>
    <w:rsid w:val="43827BD5"/>
    <w:rsid w:val="439F0F11"/>
    <w:rsid w:val="43AD2778"/>
    <w:rsid w:val="43B65AD0"/>
    <w:rsid w:val="43BD6E5F"/>
    <w:rsid w:val="43D9531B"/>
    <w:rsid w:val="44022AC4"/>
    <w:rsid w:val="440A677A"/>
    <w:rsid w:val="440E3217"/>
    <w:rsid w:val="444A6219"/>
    <w:rsid w:val="444E7AB7"/>
    <w:rsid w:val="44667DDF"/>
    <w:rsid w:val="446A2417"/>
    <w:rsid w:val="449F47B6"/>
    <w:rsid w:val="44E67CEF"/>
    <w:rsid w:val="44FA379B"/>
    <w:rsid w:val="450D34CE"/>
    <w:rsid w:val="45637592"/>
    <w:rsid w:val="45A33E32"/>
    <w:rsid w:val="45B918A8"/>
    <w:rsid w:val="45EC57D9"/>
    <w:rsid w:val="46144D30"/>
    <w:rsid w:val="46396545"/>
    <w:rsid w:val="46472607"/>
    <w:rsid w:val="46682F99"/>
    <w:rsid w:val="469A4A55"/>
    <w:rsid w:val="46A71700"/>
    <w:rsid w:val="46DB2D69"/>
    <w:rsid w:val="46DC2BC3"/>
    <w:rsid w:val="46F96400"/>
    <w:rsid w:val="47217705"/>
    <w:rsid w:val="47355FE4"/>
    <w:rsid w:val="47552F4D"/>
    <w:rsid w:val="479363C5"/>
    <w:rsid w:val="47AA76FA"/>
    <w:rsid w:val="47D429C9"/>
    <w:rsid w:val="47E86474"/>
    <w:rsid w:val="481B05F8"/>
    <w:rsid w:val="48474F49"/>
    <w:rsid w:val="48981C49"/>
    <w:rsid w:val="48B12D0A"/>
    <w:rsid w:val="48B84099"/>
    <w:rsid w:val="48BF60AB"/>
    <w:rsid w:val="48E21116"/>
    <w:rsid w:val="492E435B"/>
    <w:rsid w:val="493C27E9"/>
    <w:rsid w:val="49505F56"/>
    <w:rsid w:val="495913D8"/>
    <w:rsid w:val="49690EEF"/>
    <w:rsid w:val="496F39ED"/>
    <w:rsid w:val="49B20AE8"/>
    <w:rsid w:val="49B760FE"/>
    <w:rsid w:val="49F31A11"/>
    <w:rsid w:val="49FF41D3"/>
    <w:rsid w:val="4A1452FF"/>
    <w:rsid w:val="4A3D2AA8"/>
    <w:rsid w:val="4A5610DC"/>
    <w:rsid w:val="4A62250E"/>
    <w:rsid w:val="4A7A01D8"/>
    <w:rsid w:val="4A7F2538"/>
    <w:rsid w:val="4A8C758B"/>
    <w:rsid w:val="4A91694F"/>
    <w:rsid w:val="4AA952DB"/>
    <w:rsid w:val="4AB64608"/>
    <w:rsid w:val="4ADA20A4"/>
    <w:rsid w:val="4B685902"/>
    <w:rsid w:val="4B83098E"/>
    <w:rsid w:val="4B904E59"/>
    <w:rsid w:val="4BA601D9"/>
    <w:rsid w:val="4BB548C0"/>
    <w:rsid w:val="4BBC4867"/>
    <w:rsid w:val="4BE068DB"/>
    <w:rsid w:val="4BF6002B"/>
    <w:rsid w:val="4C0010D8"/>
    <w:rsid w:val="4C2E2B97"/>
    <w:rsid w:val="4C39104D"/>
    <w:rsid w:val="4CB85809"/>
    <w:rsid w:val="4CEE62DB"/>
    <w:rsid w:val="4D1B69A4"/>
    <w:rsid w:val="4D4B6A9F"/>
    <w:rsid w:val="4D616AAD"/>
    <w:rsid w:val="4D8C33FE"/>
    <w:rsid w:val="4DCB03CA"/>
    <w:rsid w:val="4DCE1C69"/>
    <w:rsid w:val="4DCF52CC"/>
    <w:rsid w:val="4DD70B1D"/>
    <w:rsid w:val="4DDA060D"/>
    <w:rsid w:val="4DE84AD8"/>
    <w:rsid w:val="4E3715BC"/>
    <w:rsid w:val="4E557C94"/>
    <w:rsid w:val="4EA13E1D"/>
    <w:rsid w:val="4EAA6232"/>
    <w:rsid w:val="4EB86BA1"/>
    <w:rsid w:val="4ECE2238"/>
    <w:rsid w:val="4F0040A4"/>
    <w:rsid w:val="4F082F58"/>
    <w:rsid w:val="4F1B712F"/>
    <w:rsid w:val="4F506DD9"/>
    <w:rsid w:val="4F716D4F"/>
    <w:rsid w:val="4F7A085A"/>
    <w:rsid w:val="4F9C217A"/>
    <w:rsid w:val="4FEF7D98"/>
    <w:rsid w:val="4FF0236A"/>
    <w:rsid w:val="501C4F0D"/>
    <w:rsid w:val="50285660"/>
    <w:rsid w:val="504A7CCC"/>
    <w:rsid w:val="50615016"/>
    <w:rsid w:val="506D7517"/>
    <w:rsid w:val="50EA500B"/>
    <w:rsid w:val="511D718F"/>
    <w:rsid w:val="51361FFF"/>
    <w:rsid w:val="51385D77"/>
    <w:rsid w:val="5153670D"/>
    <w:rsid w:val="515D57DD"/>
    <w:rsid w:val="5164091A"/>
    <w:rsid w:val="51763829"/>
    <w:rsid w:val="51B05321"/>
    <w:rsid w:val="51C13FBE"/>
    <w:rsid w:val="51DB4B86"/>
    <w:rsid w:val="51EE4687"/>
    <w:rsid w:val="51F7178E"/>
    <w:rsid w:val="521D6D1B"/>
    <w:rsid w:val="52302EF2"/>
    <w:rsid w:val="52491C87"/>
    <w:rsid w:val="52651237"/>
    <w:rsid w:val="52A1019F"/>
    <w:rsid w:val="52BE22AC"/>
    <w:rsid w:val="52D27B05"/>
    <w:rsid w:val="52EE0DA3"/>
    <w:rsid w:val="5303073E"/>
    <w:rsid w:val="531445C2"/>
    <w:rsid w:val="53193986"/>
    <w:rsid w:val="53334A48"/>
    <w:rsid w:val="53603363"/>
    <w:rsid w:val="536C61AC"/>
    <w:rsid w:val="537137C2"/>
    <w:rsid w:val="53780B65"/>
    <w:rsid w:val="53AF6B6F"/>
    <w:rsid w:val="53CC27A6"/>
    <w:rsid w:val="53F1045F"/>
    <w:rsid w:val="540C3BAA"/>
    <w:rsid w:val="541008E5"/>
    <w:rsid w:val="54A13C33"/>
    <w:rsid w:val="54AA6B53"/>
    <w:rsid w:val="54D45DB6"/>
    <w:rsid w:val="54F14BBA"/>
    <w:rsid w:val="55230AEC"/>
    <w:rsid w:val="55264138"/>
    <w:rsid w:val="55333C3E"/>
    <w:rsid w:val="5560589C"/>
    <w:rsid w:val="557D5963"/>
    <w:rsid w:val="5583158B"/>
    <w:rsid w:val="55AF412E"/>
    <w:rsid w:val="55CE2806"/>
    <w:rsid w:val="55F10BEA"/>
    <w:rsid w:val="56097CE2"/>
    <w:rsid w:val="564C4FCF"/>
    <w:rsid w:val="56574EF1"/>
    <w:rsid w:val="565B41B0"/>
    <w:rsid w:val="569752EE"/>
    <w:rsid w:val="56A93273"/>
    <w:rsid w:val="56B068EA"/>
    <w:rsid w:val="56D46542"/>
    <w:rsid w:val="56E322E1"/>
    <w:rsid w:val="56E85B49"/>
    <w:rsid w:val="5714693E"/>
    <w:rsid w:val="57452F9B"/>
    <w:rsid w:val="575136EE"/>
    <w:rsid w:val="575C4034"/>
    <w:rsid w:val="57833AC4"/>
    <w:rsid w:val="578A30A4"/>
    <w:rsid w:val="57BF49AE"/>
    <w:rsid w:val="57CE2F91"/>
    <w:rsid w:val="57D367F9"/>
    <w:rsid w:val="57FA1FD8"/>
    <w:rsid w:val="57FF139C"/>
    <w:rsid w:val="580D0400"/>
    <w:rsid w:val="58134E48"/>
    <w:rsid w:val="582B03E3"/>
    <w:rsid w:val="58353010"/>
    <w:rsid w:val="58586CFE"/>
    <w:rsid w:val="58675193"/>
    <w:rsid w:val="589E2D7F"/>
    <w:rsid w:val="59233321"/>
    <w:rsid w:val="592941F7"/>
    <w:rsid w:val="5960230F"/>
    <w:rsid w:val="598F04FE"/>
    <w:rsid w:val="59AD2CE7"/>
    <w:rsid w:val="59CE54CA"/>
    <w:rsid w:val="5A04713E"/>
    <w:rsid w:val="5A596A7B"/>
    <w:rsid w:val="5A5B0DA9"/>
    <w:rsid w:val="5A985AD8"/>
    <w:rsid w:val="5AA84A0F"/>
    <w:rsid w:val="5AE468D4"/>
    <w:rsid w:val="5B1C04B7"/>
    <w:rsid w:val="5B1E422F"/>
    <w:rsid w:val="5B296DA0"/>
    <w:rsid w:val="5B351579"/>
    <w:rsid w:val="5B4F56E0"/>
    <w:rsid w:val="5BAD3523"/>
    <w:rsid w:val="5BBB382C"/>
    <w:rsid w:val="5BC326E1"/>
    <w:rsid w:val="5BD4669C"/>
    <w:rsid w:val="5BD62414"/>
    <w:rsid w:val="5BE51692"/>
    <w:rsid w:val="5BEF1728"/>
    <w:rsid w:val="5C25514A"/>
    <w:rsid w:val="5C292E8C"/>
    <w:rsid w:val="5C2F421A"/>
    <w:rsid w:val="5C381321"/>
    <w:rsid w:val="5C700ABB"/>
    <w:rsid w:val="5C7D6D34"/>
    <w:rsid w:val="5C8F6A67"/>
    <w:rsid w:val="5CA249EC"/>
    <w:rsid w:val="5CD31049"/>
    <w:rsid w:val="5CDC6150"/>
    <w:rsid w:val="5CF77F7E"/>
    <w:rsid w:val="5D041203"/>
    <w:rsid w:val="5D1C02FB"/>
    <w:rsid w:val="5D417D61"/>
    <w:rsid w:val="5D6B74D4"/>
    <w:rsid w:val="5D8F31C2"/>
    <w:rsid w:val="5D902A97"/>
    <w:rsid w:val="5DAA5DBF"/>
    <w:rsid w:val="5E070FAB"/>
    <w:rsid w:val="5E3D49CC"/>
    <w:rsid w:val="5E6E102A"/>
    <w:rsid w:val="5E7D44EB"/>
    <w:rsid w:val="5E9D36BD"/>
    <w:rsid w:val="5EAB639B"/>
    <w:rsid w:val="5EDD1D0C"/>
    <w:rsid w:val="5EE96902"/>
    <w:rsid w:val="5EEC01A1"/>
    <w:rsid w:val="5EF17565"/>
    <w:rsid w:val="5F593A88"/>
    <w:rsid w:val="5FAB005C"/>
    <w:rsid w:val="5FAD16DE"/>
    <w:rsid w:val="5FE33352"/>
    <w:rsid w:val="605B3830"/>
    <w:rsid w:val="606A75CF"/>
    <w:rsid w:val="607E12CC"/>
    <w:rsid w:val="61135EB8"/>
    <w:rsid w:val="611A2DA3"/>
    <w:rsid w:val="61300818"/>
    <w:rsid w:val="6131633F"/>
    <w:rsid w:val="613227E3"/>
    <w:rsid w:val="61831B7E"/>
    <w:rsid w:val="618C17C7"/>
    <w:rsid w:val="619D1807"/>
    <w:rsid w:val="61B425F9"/>
    <w:rsid w:val="61BD7BD2"/>
    <w:rsid w:val="61CD6067"/>
    <w:rsid w:val="61E3588B"/>
    <w:rsid w:val="61F77588"/>
    <w:rsid w:val="622D4D58"/>
    <w:rsid w:val="624157A0"/>
    <w:rsid w:val="627668F2"/>
    <w:rsid w:val="628D57F7"/>
    <w:rsid w:val="62A518B4"/>
    <w:rsid w:val="62B64D4D"/>
    <w:rsid w:val="62D41677"/>
    <w:rsid w:val="62FC79CB"/>
    <w:rsid w:val="631A1780"/>
    <w:rsid w:val="63220635"/>
    <w:rsid w:val="634B514E"/>
    <w:rsid w:val="6353510B"/>
    <w:rsid w:val="636522D0"/>
    <w:rsid w:val="636775D6"/>
    <w:rsid w:val="636C365E"/>
    <w:rsid w:val="6372336A"/>
    <w:rsid w:val="638957C1"/>
    <w:rsid w:val="63B36F9D"/>
    <w:rsid w:val="63EB4ECB"/>
    <w:rsid w:val="63ED479F"/>
    <w:rsid w:val="63F44780"/>
    <w:rsid w:val="64047D3A"/>
    <w:rsid w:val="6424218B"/>
    <w:rsid w:val="64287ECD"/>
    <w:rsid w:val="64607667"/>
    <w:rsid w:val="64CA39A1"/>
    <w:rsid w:val="64E42046"/>
    <w:rsid w:val="652C579B"/>
    <w:rsid w:val="652C7549"/>
    <w:rsid w:val="652E506F"/>
    <w:rsid w:val="65402A43"/>
    <w:rsid w:val="65402FF4"/>
    <w:rsid w:val="6565085D"/>
    <w:rsid w:val="657A4758"/>
    <w:rsid w:val="658253BB"/>
    <w:rsid w:val="65842EE1"/>
    <w:rsid w:val="65B03CD6"/>
    <w:rsid w:val="65ED4F2A"/>
    <w:rsid w:val="65F31E15"/>
    <w:rsid w:val="66210017"/>
    <w:rsid w:val="662326FA"/>
    <w:rsid w:val="66373E26"/>
    <w:rsid w:val="663A3EE7"/>
    <w:rsid w:val="66427B3E"/>
    <w:rsid w:val="66642D82"/>
    <w:rsid w:val="667747F4"/>
    <w:rsid w:val="66884C53"/>
    <w:rsid w:val="668D04BB"/>
    <w:rsid w:val="670F4D2F"/>
    <w:rsid w:val="674429A2"/>
    <w:rsid w:val="675B77B9"/>
    <w:rsid w:val="675D530E"/>
    <w:rsid w:val="67915D89"/>
    <w:rsid w:val="67B41091"/>
    <w:rsid w:val="67C223E6"/>
    <w:rsid w:val="67DB0DB2"/>
    <w:rsid w:val="685E210F"/>
    <w:rsid w:val="687A05CB"/>
    <w:rsid w:val="688F22C8"/>
    <w:rsid w:val="68AA5354"/>
    <w:rsid w:val="68C61A62"/>
    <w:rsid w:val="68D4417F"/>
    <w:rsid w:val="68DB72BC"/>
    <w:rsid w:val="68DC3034"/>
    <w:rsid w:val="68EA74FF"/>
    <w:rsid w:val="68FC652F"/>
    <w:rsid w:val="68FD76EB"/>
    <w:rsid w:val="69344C1E"/>
    <w:rsid w:val="693C3AD3"/>
    <w:rsid w:val="69630ADE"/>
    <w:rsid w:val="698A44F2"/>
    <w:rsid w:val="69981651"/>
    <w:rsid w:val="699E3448"/>
    <w:rsid w:val="69A2427D"/>
    <w:rsid w:val="69BD4C13"/>
    <w:rsid w:val="69FF522C"/>
    <w:rsid w:val="6A162576"/>
    <w:rsid w:val="6A1D3904"/>
    <w:rsid w:val="6A4A4AB9"/>
    <w:rsid w:val="6A6B0B13"/>
    <w:rsid w:val="6A742471"/>
    <w:rsid w:val="6AEF4C45"/>
    <w:rsid w:val="6AF02DC7"/>
    <w:rsid w:val="6B2F38EF"/>
    <w:rsid w:val="6B3233DF"/>
    <w:rsid w:val="6B563571"/>
    <w:rsid w:val="6B712B27"/>
    <w:rsid w:val="6B7458F1"/>
    <w:rsid w:val="6B7B4D86"/>
    <w:rsid w:val="6B9D6AAA"/>
    <w:rsid w:val="6BA53BB1"/>
    <w:rsid w:val="6BBB5183"/>
    <w:rsid w:val="6BD2201D"/>
    <w:rsid w:val="6BE566A3"/>
    <w:rsid w:val="6C270A6A"/>
    <w:rsid w:val="6C4A05C8"/>
    <w:rsid w:val="6CB565B3"/>
    <w:rsid w:val="6CC14A1B"/>
    <w:rsid w:val="6D3B1A89"/>
    <w:rsid w:val="6D3C6797"/>
    <w:rsid w:val="6D45389E"/>
    <w:rsid w:val="6D515B2D"/>
    <w:rsid w:val="6D667370"/>
    <w:rsid w:val="6D7101EF"/>
    <w:rsid w:val="6D7837E4"/>
    <w:rsid w:val="6D800432"/>
    <w:rsid w:val="6D9E6B0A"/>
    <w:rsid w:val="6DA02882"/>
    <w:rsid w:val="6DC87723"/>
    <w:rsid w:val="6DD16EDF"/>
    <w:rsid w:val="6DD30EA9"/>
    <w:rsid w:val="6E3631E6"/>
    <w:rsid w:val="6E3D27C7"/>
    <w:rsid w:val="6E677844"/>
    <w:rsid w:val="6E77770F"/>
    <w:rsid w:val="6E8A17C8"/>
    <w:rsid w:val="6EA36ACE"/>
    <w:rsid w:val="6F411E43"/>
    <w:rsid w:val="6F5A2F04"/>
    <w:rsid w:val="6FA04DBB"/>
    <w:rsid w:val="6FBB1BF5"/>
    <w:rsid w:val="6FC7059A"/>
    <w:rsid w:val="6FD809F9"/>
    <w:rsid w:val="6FE335BD"/>
    <w:rsid w:val="7003534A"/>
    <w:rsid w:val="703419A7"/>
    <w:rsid w:val="703D260A"/>
    <w:rsid w:val="70812E3F"/>
    <w:rsid w:val="70BF3967"/>
    <w:rsid w:val="70EF3D6B"/>
    <w:rsid w:val="70F73101"/>
    <w:rsid w:val="70FF3D63"/>
    <w:rsid w:val="713C4FB8"/>
    <w:rsid w:val="71431EA2"/>
    <w:rsid w:val="71445C1A"/>
    <w:rsid w:val="71722787"/>
    <w:rsid w:val="71725993"/>
    <w:rsid w:val="71BF4EC2"/>
    <w:rsid w:val="72050415"/>
    <w:rsid w:val="72071122"/>
    <w:rsid w:val="722A6BC0"/>
    <w:rsid w:val="722F68CA"/>
    <w:rsid w:val="7258197D"/>
    <w:rsid w:val="725B76BF"/>
    <w:rsid w:val="726C5429"/>
    <w:rsid w:val="72734D90"/>
    <w:rsid w:val="7276115D"/>
    <w:rsid w:val="729841E0"/>
    <w:rsid w:val="72AA7CFF"/>
    <w:rsid w:val="72EE408F"/>
    <w:rsid w:val="739F055D"/>
    <w:rsid w:val="73D17C39"/>
    <w:rsid w:val="73F76F74"/>
    <w:rsid w:val="73FC0A2E"/>
    <w:rsid w:val="7412278C"/>
    <w:rsid w:val="741B5358"/>
    <w:rsid w:val="74324C48"/>
    <w:rsid w:val="743B3304"/>
    <w:rsid w:val="744C34E1"/>
    <w:rsid w:val="747D1B6F"/>
    <w:rsid w:val="74CE4179"/>
    <w:rsid w:val="74D774D1"/>
    <w:rsid w:val="75306BE1"/>
    <w:rsid w:val="7577036C"/>
    <w:rsid w:val="758D193E"/>
    <w:rsid w:val="75D82963"/>
    <w:rsid w:val="76320737"/>
    <w:rsid w:val="76391AC6"/>
    <w:rsid w:val="765B5EE0"/>
    <w:rsid w:val="76852CEA"/>
    <w:rsid w:val="769530A5"/>
    <w:rsid w:val="76973DCE"/>
    <w:rsid w:val="76B705D3"/>
    <w:rsid w:val="76D0242A"/>
    <w:rsid w:val="76E61C4D"/>
    <w:rsid w:val="76FA74A7"/>
    <w:rsid w:val="773B361B"/>
    <w:rsid w:val="773B7AF1"/>
    <w:rsid w:val="774C5829"/>
    <w:rsid w:val="777A4144"/>
    <w:rsid w:val="77AF64E3"/>
    <w:rsid w:val="77B91110"/>
    <w:rsid w:val="77B92EBE"/>
    <w:rsid w:val="77BC29AE"/>
    <w:rsid w:val="78014865"/>
    <w:rsid w:val="7819395D"/>
    <w:rsid w:val="78397B5B"/>
    <w:rsid w:val="789314F2"/>
    <w:rsid w:val="78A27DF6"/>
    <w:rsid w:val="78B83176"/>
    <w:rsid w:val="78C733B9"/>
    <w:rsid w:val="78EA354B"/>
    <w:rsid w:val="78F65A4C"/>
    <w:rsid w:val="79091C23"/>
    <w:rsid w:val="790E7239"/>
    <w:rsid w:val="791B3704"/>
    <w:rsid w:val="791D30A5"/>
    <w:rsid w:val="793622EC"/>
    <w:rsid w:val="794A5A1C"/>
    <w:rsid w:val="796450AB"/>
    <w:rsid w:val="798C015E"/>
    <w:rsid w:val="79960FDD"/>
    <w:rsid w:val="79984D55"/>
    <w:rsid w:val="799F60E4"/>
    <w:rsid w:val="79B871A5"/>
    <w:rsid w:val="79E7B28D"/>
    <w:rsid w:val="7A0F3269"/>
    <w:rsid w:val="7A17211E"/>
    <w:rsid w:val="7A2A00A3"/>
    <w:rsid w:val="7A356A48"/>
    <w:rsid w:val="7A482EFC"/>
    <w:rsid w:val="7A5A200A"/>
    <w:rsid w:val="7A7C6425"/>
    <w:rsid w:val="7A8157E9"/>
    <w:rsid w:val="7A8363CF"/>
    <w:rsid w:val="7AAD4830"/>
    <w:rsid w:val="7AAF05A8"/>
    <w:rsid w:val="7AB12572"/>
    <w:rsid w:val="7ABE2599"/>
    <w:rsid w:val="7ACD0E64"/>
    <w:rsid w:val="7AD95625"/>
    <w:rsid w:val="7B255EE6"/>
    <w:rsid w:val="7BD32074"/>
    <w:rsid w:val="7BE40725"/>
    <w:rsid w:val="7C1F350C"/>
    <w:rsid w:val="7C4116D4"/>
    <w:rsid w:val="7C4A67DB"/>
    <w:rsid w:val="7C686C61"/>
    <w:rsid w:val="7C7B2E38"/>
    <w:rsid w:val="7C8810B1"/>
    <w:rsid w:val="7CAA54CB"/>
    <w:rsid w:val="7CC540B3"/>
    <w:rsid w:val="7CDA4A22"/>
    <w:rsid w:val="7CEA1D6C"/>
    <w:rsid w:val="7D006E99"/>
    <w:rsid w:val="7D0C3A90"/>
    <w:rsid w:val="7D33726F"/>
    <w:rsid w:val="7D5E1E12"/>
    <w:rsid w:val="7D60202E"/>
    <w:rsid w:val="7D627B54"/>
    <w:rsid w:val="7D847ACA"/>
    <w:rsid w:val="7D9677FD"/>
    <w:rsid w:val="7DE22A43"/>
    <w:rsid w:val="7DF24E2F"/>
    <w:rsid w:val="7E2B427A"/>
    <w:rsid w:val="7E3C03A5"/>
    <w:rsid w:val="7E590F57"/>
    <w:rsid w:val="7EB4618D"/>
    <w:rsid w:val="7EC319FB"/>
    <w:rsid w:val="7ECA59B1"/>
    <w:rsid w:val="7EDC3936"/>
    <w:rsid w:val="7F323556"/>
    <w:rsid w:val="7F3D2627"/>
    <w:rsid w:val="7F567244"/>
    <w:rsid w:val="7F6F6558"/>
    <w:rsid w:val="7F702DC9"/>
    <w:rsid w:val="7F840255"/>
    <w:rsid w:val="7F9F20EE"/>
    <w:rsid w:val="7FC76394"/>
    <w:rsid w:val="7FD94B7F"/>
    <w:rsid w:val="7FDD5B6B"/>
    <w:rsid w:val="7FEC7BA9"/>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4"/>
    <w:qFormat/>
    <w:uiPriority w:val="99"/>
    <w:pPr>
      <w:spacing w:beforeLines="30"/>
    </w:pPr>
    <w:rPr>
      <w:rFonts w:ascii="仿宋_GB2312" w:eastAsia="仿宋_GB2312"/>
      <w:kern w:val="0"/>
      <w:sz w:val="30"/>
    </w:rPr>
  </w:style>
  <w:style w:type="paragraph" w:styleId="9">
    <w:name w:val="toc 3"/>
    <w:basedOn w:val="1"/>
    <w:next w:val="1"/>
    <w:autoRedefine/>
    <w:unhideWhenUsed/>
    <w:qFormat/>
    <w:uiPriority w:val="39"/>
    <w:pPr>
      <w:tabs>
        <w:tab w:val="right" w:leader="dot" w:pos="8296"/>
      </w:tabs>
      <w:ind w:left="840" w:leftChars="400"/>
    </w:pPr>
  </w:style>
  <w:style w:type="paragraph" w:styleId="10">
    <w:name w:val="Balloon Text"/>
    <w:basedOn w:val="1"/>
    <w:link w:val="30"/>
    <w:autoRedefine/>
    <w:semiHidden/>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1"/>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8"/>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5"/>
    <w:qFormat/>
    <w:uiPriority w:val="9"/>
    <w:rPr>
      <w:rFonts w:ascii="Times New Roman" w:hAnsi="Times New Roman"/>
      <w:b/>
      <w:bCs/>
      <w:kern w:val="44"/>
      <w:sz w:val="44"/>
      <w:szCs w:val="44"/>
    </w:rPr>
  </w:style>
  <w:style w:type="character" w:customStyle="1" w:styleId="28">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29">
    <w:name w:val="TOC 标题1"/>
    <w:basedOn w:val="5"/>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10"/>
    <w:semiHidden/>
    <w:qFormat/>
    <w:uiPriority w:val="99"/>
    <w:rPr>
      <w:rFonts w:ascii="Times New Roman" w:hAnsi="Times New Roman"/>
      <w:kern w:val="2"/>
      <w:sz w:val="18"/>
      <w:szCs w:val="18"/>
    </w:rPr>
  </w:style>
  <w:style w:type="character" w:customStyle="1" w:styleId="31">
    <w:name w:val="标题 3 Char"/>
    <w:basedOn w:val="16"/>
    <w:link w:val="7"/>
    <w:autoRedefine/>
    <w:qFormat/>
    <w:uiPriority w:val="9"/>
    <w:rPr>
      <w:rFonts w:ascii="Times New Roman" w:hAnsi="Times New Roman"/>
      <w:b/>
      <w:bCs/>
      <w:kern w:val="2"/>
      <w:sz w:val="32"/>
      <w:szCs w:val="32"/>
    </w:rPr>
  </w:style>
  <w:style w:type="paragraph" w:customStyle="1" w:styleId="32">
    <w:name w:val="TOC Heading"/>
    <w:basedOn w:val="5"/>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标题 2 字符"/>
    <w:basedOn w:val="16"/>
    <w:link w:val="6"/>
    <w:autoRedefine/>
    <w:qFormat/>
    <w:locked/>
    <w:uiPriority w:val="9"/>
    <w:rPr>
      <w:rFonts w:ascii="Cambria" w:hAnsi="Cambria" w:eastAsia="宋体" w:cs="Times New Roman"/>
      <w:b/>
      <w:bCs/>
      <w:kern w:val="2"/>
      <w:sz w:val="32"/>
      <w:szCs w:val="32"/>
    </w:rPr>
  </w:style>
  <w:style w:type="character" w:customStyle="1" w:styleId="34">
    <w:name w:val="Char Char6"/>
    <w:basedOn w:val="16"/>
    <w:qFormat/>
    <w:locked/>
    <w:uiPriority w:val="9"/>
    <w:rPr>
      <w:rFonts w:ascii="Times New Roman" w:hAnsi="Times New Roman" w:cs="Times New Roman"/>
      <w:b/>
      <w:bCs/>
      <w:kern w:val="44"/>
      <w:sz w:val="44"/>
      <w:szCs w:val="44"/>
    </w:rPr>
  </w:style>
  <w:style w:type="paragraph" w:customStyle="1" w:styleId="35">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350305498982"/>
          <c:y val="0.0404500401821591"/>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dLbl>
              <c:idx val="1"/>
              <c:layout>
                <c:manualLayout>
                  <c:x val="0"/>
                  <c:y val="0.006060606060606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2903.8</c:v>
                </c:pt>
                <c:pt idx="1">
                  <c:v>2974.6</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25579934729132"/>
          <c:y val="0.064582979505416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139822320932815"/>
          <c:y val="0.111931330472103"/>
          <c:w val="0.40164353137146"/>
          <c:h val="0.776137339055794"/>
        </c:manualLayout>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0"/>
              <c:layout>
                <c:manualLayout>
                  <c:x val="-0.361469627483781"/>
                  <c:y val="-0.113813630263491"/>
                </c:manualLayout>
              </c:layout>
              <c:dLblPos val="bestFit"/>
              <c:showLegendKey val="1"/>
              <c:showVal val="1"/>
              <c:showCatName val="1"/>
              <c:showSerName val="0"/>
              <c:showPercent val="1"/>
              <c:showBubbleSize val="0"/>
              <c:separator>
</c:separator>
              <c:extLst>
                <c:ext xmlns:c15="http://schemas.microsoft.com/office/drawing/2012/chart" uri="{CE6537A1-D6FC-4f65-9D91-7224C49458BB}">
                  <c15:layout>
                    <c:manualLayout>
                      <c:w val="0.248606329816768"/>
                      <c:h val="0.339860515021459"/>
                    </c:manualLayout>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2493.17</c:v>
                </c:pt>
                <c:pt idx="1">
                  <c:v>186.3</c:v>
                </c:pt>
                <c:pt idx="2">
                  <c:v>295.14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4625208217657"/>
          <c:y val="0.0869098712446352"/>
          <c:w val="0.237368128817324"/>
          <c:h val="0.880633047210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71548418024928"/>
          <c:y val="0.0498640072529465"/>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0850533087503594"/>
                  <c:y val="0.187865008357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23913896462115"/>
                  <c:y val="-0.22066776989791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2414.68</c:v>
                </c:pt>
                <c:pt idx="1">
                  <c:v>559.94</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财政拨款支出决算总计（万元）</c:v>
                </c:pt>
              </c:strCache>
            </c:strRef>
          </c:tx>
          <c:spPr>
            <a:solidFill>
              <a:schemeClr val="accent2">
                <a:lumMod val="40000"/>
                <a:lumOff val="60000"/>
              </a:schemeClr>
            </a:solidFill>
          </c:spPr>
          <c:invertIfNegative val="0"/>
          <c:dLbls>
            <c:dLbl>
              <c:idx val="0"/>
              <c:layout>
                <c:manualLayout>
                  <c:x val="-0.00143523501973448"/>
                  <c:y val="0.05290227773695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43523501973448"/>
                  <c:y val="0.02204261572373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2668.76</c:v>
                </c:pt>
                <c:pt idx="1">
                  <c:v>2493.17</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39825833715601"/>
          <c:y val="0.0220343126512418"/>
          <c:w val="0.391101542877646"/>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753498385360603"/>
          <c:y val="0.0554739162380603"/>
          <c:w val="0.802166349721575"/>
          <c:h val="0.847475195631506"/>
        </c:manualLayout>
      </c:layout>
      <c:barChart>
        <c:barDir val="col"/>
        <c:grouping val="clustered"/>
        <c:varyColors val="0"/>
        <c:ser>
          <c:idx val="2"/>
          <c:order val="2"/>
          <c:tx>
            <c:strRef>
              <c:f>Sheet1!$B$1</c:f>
              <c:strCache>
                <c:ptCount val="1"/>
                <c:pt idx="0">
                  <c:v>一般公共预算财政拨款支出（万元）</c:v>
                </c:pt>
              </c:strCache>
            </c:strRef>
          </c:tx>
          <c:invertIfNegative val="0"/>
          <c:dLbls>
            <c:dLbl>
              <c:idx val="0"/>
              <c:layout>
                <c:manualLayout>
                  <c:x val="0"/>
                  <c:y val="0.04763795156808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48404650012367"/>
                  <c:y val="0.045506319495712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2668.76</c:v>
                </c:pt>
                <c:pt idx="1">
                  <c:v>2493.17</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crossAx val="415577472"/>
        <c:crosses val="autoZero"/>
        <c:crossBetween val="between"/>
      </c:valAx>
    </c:plotArea>
    <c:legend>
      <c:legendPos val="r"/>
      <c:layout>
        <c:manualLayout>
          <c:xMode val="edge"/>
          <c:yMode val="edge"/>
          <c:x val="0.53177822762756"/>
          <c:y val="0.0116804870368426"/>
          <c:w val="0.41430450903002"/>
          <c:h val="0.224467303453343"/>
        </c:manualLayout>
      </c:layout>
      <c:overlay val="0"/>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Lbls>
            <c:dLbl>
              <c:idx val="0"/>
              <c:layout>
                <c:manualLayout>
                  <c:x val="-0.00128053789705162"/>
                  <c:y val="-0.257177394983378"/>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194271332694151"/>
                      <c:h val="0.163795708673315"/>
                    </c:manualLayout>
                  </c15:layout>
                </c:ext>
              </c:extLst>
            </c:dLbl>
            <c:dLbl>
              <c:idx val="1"/>
              <c:layout>
                <c:manualLayout>
                  <c:x val="-0.0365088563874958"/>
                  <c:y val="0.25747960108794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ysClr val="windowText" lastClr="000000"/>
                        </a:solidFill>
                        <a:latin typeface="+mn-lt"/>
                        <a:ea typeface="+mn-ea"/>
                        <a:cs typeface="+mn-cs"/>
                      </a:defRPr>
                    </a:pPr>
                    <a:r>
                      <a:t>社会保障和就业支出, </a:t>
                    </a:r>
                    <a:r>
                      <a:rPr lang="en-US" altLang="zh-CN"/>
                      <a:t>15.11</a:t>
                    </a:r>
                    <a:r>
                      <a:t>, </a:t>
                    </a:r>
                    <a:r>
                      <a:rPr lang="en-US" altLang="zh-CN"/>
                      <a:t>0</a:t>
                    </a:r>
                    <a:r>
                      <a:t>.</a:t>
                    </a:r>
                    <a:r>
                      <a:rPr lang="en-US" altLang="zh-CN"/>
                      <a:t>61</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dLbl>
              <c:idx val="2"/>
              <c:layout>
                <c:manualLayout>
                  <c:x val="0.0289338373697356"/>
                  <c:y val="0.039435727702178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ysClr val="windowText" lastClr="000000"/>
                        </a:solidFill>
                        <a:latin typeface="+mn-lt"/>
                        <a:ea typeface="+mn-ea"/>
                        <a:cs typeface="+mn-cs"/>
                      </a:defRPr>
                    </a:pPr>
                    <a:r>
                      <a:t>卫生健康支出, </a:t>
                    </a:r>
                    <a:r>
                      <a:rPr lang="en-US" altLang="zh-CN"/>
                      <a:t>6.29,0.25</a:t>
                    </a:r>
                    <a:r>
                      <a:t>%</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350910834132311"/>
                      <c:h val="0.119975823511635"/>
                    </c:manualLayout>
                  </c15:layout>
                </c:ext>
              </c:extLst>
            </c:dLbl>
            <c:dLbl>
              <c:idx val="3"/>
              <c:layout>
                <c:manualLayout>
                  <c:x val="0.143584649581228"/>
                  <c:y val="0.16662798717720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ysClr val="windowText" lastClr="000000"/>
                        </a:solidFill>
                        <a:latin typeface="+mn-lt"/>
                        <a:ea typeface="+mn-ea"/>
                        <a:cs typeface="+mn-cs"/>
                      </a:defRPr>
                    </a:pPr>
                    <a:r>
                      <a:t>住房保障支出, </a:t>
                    </a:r>
                    <a:r>
                      <a:rPr lang="en-US" altLang="zh-CN"/>
                      <a:t>10.75</a:t>
                    </a:r>
                    <a:r>
                      <a:t>, </a:t>
                    </a:r>
                    <a:r>
                      <a:rPr lang="en-US" altLang="zh-CN"/>
                      <a:t>0.43</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2461.01</c:v>
                </c:pt>
                <c:pt idx="1">
                  <c:v>15.11</c:v>
                </c:pt>
                <c:pt idx="2">
                  <c:v>6.29</c:v>
                </c:pt>
                <c:pt idx="3">
                  <c:v>10.75</c:v>
                </c:pt>
              </c:numCache>
            </c:numRef>
          </c:val>
        </c:ser>
        <c:ser>
          <c:idx val="1"/>
          <c:order val="1"/>
          <c:tx>
            <c:strRef>
              <c:f>Sheet1!$C$1</c:f>
              <c:strCache>
                <c:ptCount val="1"/>
                <c:pt idx="0">
                  <c:v/>
                </c:pt>
              </c:strCache>
            </c:strRef>
          </c:tx>
          <c:explosion val="0"/>
          <c:dPt>
            <c:idx val="0"/>
            <c:bubble3D val="0"/>
          </c:dPt>
          <c:dPt>
            <c:idx val="1"/>
            <c:bubble3D val="0"/>
          </c:dPt>
          <c:dPt>
            <c:idx val="2"/>
            <c:bubble3D val="0"/>
          </c:dPt>
          <c:dPt>
            <c:idx val="3"/>
            <c:bubble3D val="0"/>
          </c:dPt>
          <c:dLbls>
            <c:delete val="1"/>
          </c:dLbls>
          <c:cat>
            <c:strRef>
              <c:f>Sheet1!$A$2:$A$5</c:f>
              <c:strCache>
                <c:ptCount val="4"/>
                <c:pt idx="0">
                  <c:v>教育支出</c:v>
                </c:pt>
                <c:pt idx="1">
                  <c:v>社会保障和就业支出</c:v>
                </c:pt>
                <c:pt idx="2">
                  <c:v>卫生健康支出</c:v>
                </c:pt>
                <c:pt idx="3">
                  <c:v>住房保障支出</c:v>
                </c:pt>
              </c:strCache>
            </c:strRef>
          </c:cat>
          <c:val>
            <c:numRef>
              <c:f>Sheet1!$C$2:$C$5</c:f>
              <c:numCache>
                <c:formatCode>General</c:formatCode>
                <c:ptCount val="4"/>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4341</Words>
  <Characters>4915</Characters>
  <Lines>61</Lines>
  <Paragraphs>17</Paragraphs>
  <TotalTime>3</TotalTime>
  <ScaleCrop>false</ScaleCrop>
  <LinksUpToDate>false</LinksUpToDate>
  <CharactersWithSpaces>4951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天意1369058890</cp:lastModifiedBy>
  <cp:lastPrinted>2023-07-31T02:35:00Z</cp:lastPrinted>
  <dcterms:modified xsi:type="dcterms:W3CDTF">2024-10-13T10:24:48Z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E142F494A9684AA78C4618728314A9A4_12</vt:lpwstr>
  </property>
</Properties>
</file>