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283D6">
      <w:pPr>
        <w:suppressAutoHyphens/>
        <w:bidi w:val="0"/>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p>
    <w:p w14:paraId="7AC39429">
      <w:pPr>
        <w:suppressAutoHyphens/>
        <w:bidi w:val="0"/>
        <w:adjustRightInd w:val="0"/>
        <w:snapToGrid w:val="0"/>
        <w:spacing w:line="360" w:lineRule="auto"/>
        <w:jc w:val="center"/>
        <w:outlineLvl w:val="0"/>
        <w:rPr>
          <w:rFonts w:hint="eastAsia" w:ascii="方正小标宋简体" w:hAnsi="方正小标宋简体" w:eastAsia="方正小标宋简体" w:cs="方正小标宋简体"/>
          <w:color w:val="auto"/>
          <w:sz w:val="52"/>
          <w:szCs w:val="52"/>
          <w:highlight w:val="none"/>
          <w:lang w:val="en-US" w:eastAsia="zh-CN"/>
        </w:rPr>
      </w:pPr>
      <w:r>
        <w:rPr>
          <w:rFonts w:hint="eastAsia" w:ascii="方正小标宋简体" w:hAnsi="方正小标宋简体" w:eastAsia="方正小标宋简体" w:cs="方正小标宋简体"/>
          <w:color w:val="auto"/>
          <w:sz w:val="52"/>
          <w:szCs w:val="52"/>
          <w:highlight w:val="none"/>
          <w:lang w:val="en-US" w:eastAsia="zh-CN"/>
        </w:rPr>
        <w:t>2023年度</w:t>
      </w:r>
    </w:p>
    <w:p w14:paraId="48C82667">
      <w:pPr>
        <w:suppressAutoHyphens/>
        <w:bidi w:val="0"/>
        <w:adjustRightInd w:val="0"/>
        <w:snapToGrid w:val="0"/>
        <w:spacing w:line="360" w:lineRule="auto"/>
        <w:jc w:val="center"/>
        <w:outlineLvl w:val="0"/>
        <w:rPr>
          <w:rFonts w:hint="eastAsia" w:ascii="方正小标宋简体" w:hAnsi="方正小标宋简体" w:eastAsia="方正小标宋简体" w:cs="方正小标宋简体"/>
          <w:color w:val="auto"/>
          <w:sz w:val="52"/>
          <w:szCs w:val="52"/>
          <w:highlight w:val="none"/>
          <w:lang w:val="en-US" w:eastAsia="zh-CN"/>
        </w:rPr>
      </w:pPr>
      <w:r>
        <w:rPr>
          <w:rFonts w:hint="eastAsia" w:ascii="方正小标宋简体" w:hAnsi="方正小标宋简体" w:eastAsia="方正小标宋简体" w:cs="方正小标宋简体"/>
          <w:color w:val="auto"/>
          <w:sz w:val="52"/>
          <w:szCs w:val="52"/>
          <w:highlight w:val="none"/>
          <w:lang w:val="en-US" w:eastAsia="zh-CN"/>
        </w:rPr>
        <w:t>广元市利州区大石第二幼儿园</w:t>
      </w:r>
    </w:p>
    <w:p w14:paraId="61B4BD23">
      <w:pPr>
        <w:suppressAutoHyphens/>
        <w:bidi w:val="0"/>
        <w:adjustRightInd w:val="0"/>
        <w:snapToGrid w:val="0"/>
        <w:spacing w:line="360" w:lineRule="auto"/>
        <w:jc w:val="center"/>
        <w:outlineLvl w:val="0"/>
        <w:rPr>
          <w:rFonts w:hint="eastAsia" w:ascii="方正小标宋简体" w:hAnsi="方正小标宋简体" w:eastAsia="方正小标宋简体" w:cs="方正小标宋简体"/>
          <w:color w:val="auto"/>
          <w:sz w:val="52"/>
          <w:szCs w:val="52"/>
          <w:highlight w:val="none"/>
          <w:lang w:val="en-US" w:eastAsia="zh-CN"/>
        </w:rPr>
      </w:pPr>
      <w:r>
        <w:rPr>
          <w:rFonts w:hint="eastAsia" w:ascii="方正小标宋简体" w:hAnsi="方正小标宋简体" w:eastAsia="方正小标宋简体" w:cs="方正小标宋简体"/>
          <w:color w:val="auto"/>
          <w:sz w:val="52"/>
          <w:szCs w:val="52"/>
          <w:highlight w:val="none"/>
          <w:lang w:val="en-US" w:eastAsia="zh-CN"/>
        </w:rPr>
        <w:t>部门决算</w:t>
      </w:r>
    </w:p>
    <w:p w14:paraId="06767610">
      <w:pPr>
        <w:widowControl/>
        <w:jc w:val="center"/>
        <w:rPr>
          <w:rFonts w:hint="eastAsia" w:ascii="黑体" w:hAnsi="黑体" w:eastAsia="黑体"/>
          <w:color w:val="auto"/>
          <w:sz w:val="48"/>
          <w:szCs w:val="48"/>
          <w:highlight w:val="none"/>
        </w:rPr>
        <w:sectPr>
          <w:pgSz w:w="11906" w:h="16838"/>
          <w:pgMar w:top="1440" w:right="1800" w:bottom="1440" w:left="1800" w:header="851" w:footer="992" w:gutter="0"/>
          <w:cols w:space="425" w:num="1"/>
          <w:docGrid w:type="lines" w:linePitch="312" w:charSpace="0"/>
        </w:sectPr>
      </w:pPr>
    </w:p>
    <w:p w14:paraId="091F4639">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14:paraId="5F49C4D6">
      <w:pPr>
        <w:widowControl/>
        <w:jc w:val="center"/>
        <w:rPr>
          <w:rFonts w:ascii="黑体" w:hAnsi="黑体" w:eastAsia="黑体" w:cs="Times New Roman"/>
          <w:color w:val="auto"/>
          <w:sz w:val="28"/>
          <w:szCs w:val="28"/>
          <w:highlight w:val="none"/>
        </w:rPr>
      </w:pPr>
    </w:p>
    <w:p w14:paraId="0F28DFC1">
      <w:pPr>
        <w:pStyle w:val="9"/>
        <w:rPr>
          <w:color w:val="auto"/>
          <w:highlight w:val="none"/>
        </w:rPr>
      </w:pPr>
      <w:r>
        <w:rPr>
          <w:rFonts w:hint="eastAsia"/>
          <w:color w:val="auto"/>
          <w:highlight w:val="none"/>
        </w:rPr>
        <w:t>公开时间：20</w:t>
      </w:r>
      <w:r>
        <w:rPr>
          <w:rFonts w:hint="eastAsia"/>
          <w:color w:val="auto"/>
          <w:highlight w:val="none"/>
          <w:lang w:val="en-US" w:eastAsia="zh-CN"/>
        </w:rPr>
        <w:t>24</w:t>
      </w:r>
      <w:bookmarkStart w:id="13" w:name="_GoBack"/>
      <w:bookmarkEnd w:id="13"/>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 xml:space="preserve">14 </w:t>
      </w:r>
      <w:r>
        <w:rPr>
          <w:rFonts w:hint="eastAsia"/>
          <w:color w:val="auto"/>
          <w:highlight w:val="none"/>
        </w:rPr>
        <w:t>日</w:t>
      </w:r>
    </w:p>
    <w:p w14:paraId="4366F555">
      <w:pPr>
        <w:rPr>
          <w:color w:val="auto"/>
          <w:highlight w:val="none"/>
        </w:rPr>
      </w:pPr>
    </w:p>
    <w:p w14:paraId="754C0E2B">
      <w:pPr>
        <w:pStyle w:val="9"/>
        <w:adjustRightInd w:val="0"/>
        <w:snapToGrid w:val="0"/>
        <w:spacing w:before="0" w:line="440" w:lineRule="exact"/>
        <w:jc w:val="left"/>
        <w:rPr>
          <w:rFonts w:hint="default" w:cs="Times New Roman"/>
          <w:color w:val="auto"/>
          <w:sz w:val="24"/>
          <w:szCs w:val="24"/>
          <w:highlight w:val="none"/>
          <w:lang w:val="en-US"/>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eastAsia"/>
          <w:color w:val="auto"/>
          <w:sz w:val="24"/>
          <w:highlight w:val="none"/>
          <w:lang w:val="en-US" w:eastAsia="zh-CN"/>
        </w:rPr>
        <w:tab/>
      </w:r>
      <w:r>
        <w:rPr>
          <w:rFonts w:hint="eastAsia"/>
          <w:color w:val="auto"/>
          <w:sz w:val="24"/>
          <w:highlight w:val="none"/>
          <w:lang w:val="en-US" w:eastAsia="zh-CN"/>
        </w:rPr>
        <w:t>1</w:t>
      </w:r>
    </w:p>
    <w:p w14:paraId="201D7E25">
      <w:pPr>
        <w:pStyle w:val="10"/>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w:t>
      </w:r>
      <w:r>
        <w:rPr>
          <w:rFonts w:hint="eastAsia"/>
          <w:color w:val="auto"/>
          <w:sz w:val="24"/>
          <w:highlight w:val="none"/>
          <w:lang w:eastAsia="zh-CN"/>
        </w:rPr>
        <w:t>主要职责</w:t>
      </w:r>
      <w:r>
        <w:rPr>
          <w:rFonts w:hint="eastAsia"/>
          <w:color w:val="auto"/>
          <w:sz w:val="24"/>
          <w:highlight w:val="none"/>
          <w:lang w:val="en-US" w:eastAsia="zh-CN"/>
        </w:rPr>
        <w:tab/>
      </w:r>
      <w:r>
        <w:rPr>
          <w:rFonts w:hint="eastAsia"/>
          <w:color w:val="auto"/>
          <w:sz w:val="24"/>
          <w:highlight w:val="none"/>
          <w:lang w:val="en-US" w:eastAsia="zh-CN"/>
        </w:rPr>
        <w:t>1</w:t>
      </w:r>
    </w:p>
    <w:p w14:paraId="4234EB65">
      <w:pPr>
        <w:pStyle w:val="10"/>
        <w:adjustRightInd w:val="0"/>
        <w:snapToGrid w:val="0"/>
        <w:spacing w:line="440" w:lineRule="exact"/>
        <w:jc w:val="left"/>
        <w:rPr>
          <w:rFonts w:hint="default" w:eastAsia="宋体"/>
          <w:color w:val="auto"/>
          <w:lang w:val="en-US"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r>
        <w:rPr>
          <w:rFonts w:hint="eastAsia"/>
          <w:color w:val="auto"/>
          <w:sz w:val="24"/>
          <w:highlight w:val="none"/>
          <w:lang w:val="en-US" w:eastAsia="zh-CN"/>
        </w:rPr>
        <w:tab/>
      </w:r>
      <w:r>
        <w:rPr>
          <w:rFonts w:hint="eastAsia"/>
          <w:color w:val="auto"/>
          <w:sz w:val="24"/>
          <w:highlight w:val="none"/>
          <w:lang w:val="en-US" w:eastAsia="zh-CN"/>
        </w:rPr>
        <w:t>2</w:t>
      </w:r>
    </w:p>
    <w:p w14:paraId="34500E22">
      <w:pPr>
        <w:pStyle w:val="9"/>
        <w:adjustRightInd w:val="0"/>
        <w:snapToGrid w:val="0"/>
        <w:spacing w:before="0" w:line="440" w:lineRule="exact"/>
        <w:jc w:val="left"/>
        <w:rPr>
          <w:rFonts w:hint="default"/>
          <w:color w:val="auto"/>
          <w:sz w:val="24"/>
          <w:szCs w:val="24"/>
          <w:highlight w:val="none"/>
          <w:lang w:val="en-US"/>
        </w:rPr>
      </w:pPr>
      <w:r>
        <w:rPr>
          <w:rFonts w:hint="eastAsia"/>
          <w:color w:val="auto"/>
          <w:sz w:val="24"/>
          <w:highlight w:val="none"/>
        </w:rPr>
        <w:t>第二部分</w:t>
      </w:r>
      <w:r>
        <w:rPr>
          <w:rFonts w:hint="eastAsia"/>
          <w:color w:val="auto"/>
          <w:sz w:val="24"/>
          <w:highlight w:val="none"/>
          <w:lang w:val="en-US" w:eastAsia="zh-CN"/>
        </w:rPr>
        <w:t xml:space="preserve"> 2023年度</w:t>
      </w:r>
      <w:r>
        <w:rPr>
          <w:rFonts w:hint="eastAsia"/>
          <w:color w:val="auto"/>
          <w:sz w:val="24"/>
          <w:highlight w:val="none"/>
          <w:lang w:eastAsia="zh-CN"/>
        </w:rPr>
        <w:t>单位</w:t>
      </w:r>
      <w:r>
        <w:rPr>
          <w:rFonts w:hint="eastAsia"/>
          <w:color w:val="auto"/>
          <w:sz w:val="24"/>
          <w:highlight w:val="none"/>
        </w:rPr>
        <w:t>决算情况说明</w:t>
      </w:r>
      <w:r>
        <w:rPr>
          <w:rFonts w:hint="eastAsia"/>
          <w:color w:val="auto"/>
          <w:sz w:val="24"/>
          <w:highlight w:val="none"/>
          <w:lang w:val="en-US" w:eastAsia="zh-CN"/>
        </w:rPr>
        <w:tab/>
      </w:r>
      <w:r>
        <w:rPr>
          <w:rFonts w:hint="eastAsia"/>
          <w:color w:val="auto"/>
          <w:sz w:val="24"/>
          <w:highlight w:val="none"/>
          <w:lang w:val="en-US" w:eastAsia="zh-CN"/>
        </w:rPr>
        <w:t>3</w:t>
      </w:r>
    </w:p>
    <w:p w14:paraId="0453D904">
      <w:pPr>
        <w:pStyle w:val="10"/>
        <w:adjustRightInd w:val="0"/>
        <w:snapToGrid w:val="0"/>
        <w:spacing w:line="440" w:lineRule="exact"/>
        <w:jc w:val="left"/>
        <w:rPr>
          <w:rFonts w:hint="default" w:ascii="仿宋" w:hAnsi="仿宋" w:eastAsia="仿宋" w:cs="Times New Roman"/>
          <w:color w:val="auto"/>
          <w:sz w:val="24"/>
          <w:highlight w:val="none"/>
          <w:lang w:val="en-US"/>
        </w:rPr>
      </w:pPr>
      <w:r>
        <w:rPr>
          <w:rFonts w:hint="eastAsia"/>
          <w:color w:val="auto"/>
          <w:sz w:val="24"/>
          <w:highlight w:val="none"/>
        </w:rPr>
        <w:t>一、收入支出决算总体情况说明</w:t>
      </w:r>
      <w:r>
        <w:rPr>
          <w:rFonts w:hint="eastAsia"/>
          <w:color w:val="auto"/>
          <w:sz w:val="24"/>
          <w:highlight w:val="none"/>
          <w:lang w:val="en-US" w:eastAsia="zh-CN"/>
        </w:rPr>
        <w:tab/>
      </w:r>
      <w:r>
        <w:rPr>
          <w:rFonts w:hint="eastAsia"/>
          <w:color w:val="auto"/>
          <w:sz w:val="24"/>
          <w:highlight w:val="none"/>
          <w:lang w:val="en-US" w:eastAsia="zh-CN"/>
        </w:rPr>
        <w:t>3</w:t>
      </w:r>
    </w:p>
    <w:p w14:paraId="2E17160E">
      <w:pPr>
        <w:pStyle w:val="10"/>
        <w:adjustRightInd w:val="0"/>
        <w:snapToGrid w:val="0"/>
        <w:spacing w:line="440" w:lineRule="exact"/>
        <w:jc w:val="left"/>
        <w:rPr>
          <w:rFonts w:hint="default" w:ascii="仿宋" w:hAnsi="仿宋" w:eastAsia="仿宋" w:cs="Times New Roman"/>
          <w:color w:val="auto"/>
          <w:sz w:val="24"/>
          <w:highlight w:val="none"/>
          <w:lang w:val="en-US"/>
        </w:rPr>
      </w:pPr>
      <w:r>
        <w:rPr>
          <w:rFonts w:hint="eastAsia"/>
          <w:color w:val="auto"/>
          <w:sz w:val="24"/>
          <w:highlight w:val="none"/>
        </w:rPr>
        <w:t>二、收入决算情况说明</w:t>
      </w:r>
      <w:r>
        <w:rPr>
          <w:rFonts w:hint="eastAsia"/>
          <w:color w:val="auto"/>
          <w:sz w:val="24"/>
          <w:highlight w:val="none"/>
          <w:lang w:val="en-US" w:eastAsia="zh-CN"/>
        </w:rPr>
        <w:tab/>
      </w:r>
      <w:r>
        <w:rPr>
          <w:rFonts w:hint="eastAsia"/>
          <w:color w:val="auto"/>
          <w:sz w:val="24"/>
          <w:highlight w:val="none"/>
          <w:lang w:val="en-US" w:eastAsia="zh-CN"/>
        </w:rPr>
        <w:t>3</w:t>
      </w:r>
    </w:p>
    <w:p w14:paraId="5320FB43">
      <w:pPr>
        <w:pStyle w:val="10"/>
        <w:adjustRightInd w:val="0"/>
        <w:snapToGrid w:val="0"/>
        <w:spacing w:line="440" w:lineRule="exact"/>
        <w:jc w:val="left"/>
        <w:rPr>
          <w:rFonts w:hint="default" w:ascii="仿宋" w:hAnsi="仿宋" w:eastAsia="仿宋" w:cs="Times New Roman"/>
          <w:color w:val="auto"/>
          <w:sz w:val="24"/>
          <w:highlight w:val="none"/>
          <w:lang w:val="en-US"/>
        </w:rPr>
      </w:pPr>
      <w:r>
        <w:rPr>
          <w:rFonts w:hint="eastAsia"/>
          <w:color w:val="auto"/>
          <w:sz w:val="24"/>
          <w:highlight w:val="none"/>
        </w:rPr>
        <w:t>三、支出决算情况说明</w:t>
      </w:r>
      <w:r>
        <w:rPr>
          <w:rFonts w:hint="eastAsia"/>
          <w:color w:val="auto"/>
          <w:sz w:val="24"/>
          <w:highlight w:val="none"/>
          <w:lang w:val="en-US" w:eastAsia="zh-CN"/>
        </w:rPr>
        <w:tab/>
      </w:r>
      <w:r>
        <w:rPr>
          <w:rFonts w:hint="eastAsia"/>
          <w:color w:val="auto"/>
          <w:sz w:val="24"/>
          <w:highlight w:val="none"/>
          <w:lang w:val="en-US" w:eastAsia="zh-CN"/>
        </w:rPr>
        <w:t>4</w:t>
      </w:r>
    </w:p>
    <w:p w14:paraId="3C1601EF">
      <w:pPr>
        <w:pStyle w:val="10"/>
        <w:adjustRightInd w:val="0"/>
        <w:snapToGrid w:val="0"/>
        <w:spacing w:line="440" w:lineRule="exact"/>
        <w:jc w:val="left"/>
        <w:rPr>
          <w:rFonts w:hint="default" w:ascii="仿宋" w:hAnsi="仿宋" w:eastAsia="仿宋" w:cs="Times New Roman"/>
          <w:color w:val="auto"/>
          <w:sz w:val="24"/>
          <w:highlight w:val="none"/>
          <w:lang w:val="en-US"/>
        </w:rPr>
      </w:pPr>
      <w:r>
        <w:rPr>
          <w:rFonts w:hint="eastAsia"/>
          <w:color w:val="auto"/>
          <w:sz w:val="24"/>
          <w:highlight w:val="none"/>
        </w:rPr>
        <w:t>四、财政拨款收入支出决算总体情况说明</w:t>
      </w:r>
      <w:r>
        <w:rPr>
          <w:rFonts w:hint="eastAsia"/>
          <w:color w:val="auto"/>
          <w:sz w:val="24"/>
          <w:highlight w:val="none"/>
          <w:lang w:val="en-US" w:eastAsia="zh-CN"/>
        </w:rPr>
        <w:tab/>
      </w:r>
      <w:r>
        <w:rPr>
          <w:rFonts w:hint="eastAsia"/>
          <w:color w:val="auto"/>
          <w:sz w:val="24"/>
          <w:highlight w:val="none"/>
          <w:lang w:val="en-US" w:eastAsia="zh-CN"/>
        </w:rPr>
        <w:t>5</w:t>
      </w:r>
    </w:p>
    <w:p w14:paraId="30A57B25">
      <w:pPr>
        <w:pStyle w:val="10"/>
        <w:adjustRightInd w:val="0"/>
        <w:snapToGrid w:val="0"/>
        <w:spacing w:line="440" w:lineRule="exact"/>
        <w:jc w:val="left"/>
        <w:rPr>
          <w:rFonts w:hint="default" w:ascii="仿宋" w:hAnsi="仿宋" w:eastAsia="仿宋" w:cs="Times New Roman"/>
          <w:color w:val="auto"/>
          <w:sz w:val="24"/>
          <w:highlight w:val="none"/>
          <w:lang w:val="en-US"/>
        </w:rPr>
      </w:pPr>
      <w:r>
        <w:rPr>
          <w:rFonts w:hint="eastAsia"/>
          <w:color w:val="auto"/>
          <w:sz w:val="24"/>
          <w:highlight w:val="none"/>
        </w:rPr>
        <w:t>五、一般公共预算财政拨款支出决算情况说明</w:t>
      </w:r>
      <w:r>
        <w:rPr>
          <w:rFonts w:hint="eastAsia"/>
          <w:color w:val="auto"/>
          <w:sz w:val="24"/>
          <w:highlight w:val="none"/>
          <w:lang w:val="en-US" w:eastAsia="zh-CN"/>
        </w:rPr>
        <w:tab/>
      </w:r>
      <w:r>
        <w:rPr>
          <w:rFonts w:hint="eastAsia"/>
          <w:color w:val="auto"/>
          <w:sz w:val="24"/>
          <w:highlight w:val="none"/>
          <w:lang w:val="en-US" w:eastAsia="zh-CN"/>
        </w:rPr>
        <w:t>6</w:t>
      </w:r>
    </w:p>
    <w:p w14:paraId="153A2689">
      <w:pPr>
        <w:pStyle w:val="10"/>
        <w:adjustRightInd w:val="0"/>
        <w:snapToGrid w:val="0"/>
        <w:spacing w:line="440" w:lineRule="exact"/>
        <w:jc w:val="left"/>
        <w:rPr>
          <w:rFonts w:hint="default" w:ascii="仿宋" w:hAnsi="仿宋" w:eastAsia="仿宋" w:cs="Times New Roman"/>
          <w:color w:val="auto"/>
          <w:sz w:val="24"/>
          <w:highlight w:val="none"/>
          <w:lang w:val="en-US"/>
        </w:rPr>
      </w:pPr>
      <w:r>
        <w:rPr>
          <w:rFonts w:hint="eastAsia"/>
          <w:color w:val="auto"/>
          <w:sz w:val="24"/>
          <w:highlight w:val="none"/>
        </w:rPr>
        <w:t>六、一般公共预算财政拨款基本支出决算情况说明</w:t>
      </w:r>
      <w:r>
        <w:rPr>
          <w:rFonts w:hint="eastAsia"/>
          <w:color w:val="auto"/>
          <w:sz w:val="24"/>
          <w:highlight w:val="none"/>
          <w:lang w:val="en-US" w:eastAsia="zh-CN"/>
        </w:rPr>
        <w:tab/>
      </w:r>
      <w:r>
        <w:rPr>
          <w:rFonts w:hint="eastAsia"/>
          <w:color w:val="auto"/>
          <w:sz w:val="24"/>
          <w:highlight w:val="none"/>
          <w:lang w:val="en-US" w:eastAsia="zh-CN"/>
        </w:rPr>
        <w:t>7</w:t>
      </w:r>
    </w:p>
    <w:p w14:paraId="75460A60">
      <w:pPr>
        <w:pStyle w:val="10"/>
        <w:adjustRightInd w:val="0"/>
        <w:snapToGrid w:val="0"/>
        <w:spacing w:line="440" w:lineRule="exact"/>
        <w:jc w:val="left"/>
        <w:rPr>
          <w:rFonts w:hint="default" w:ascii="仿宋" w:hAnsi="仿宋" w:eastAsia="仿宋" w:cs="Times New Roman"/>
          <w:color w:val="auto"/>
          <w:sz w:val="24"/>
          <w:highlight w:val="none"/>
          <w:lang w:val="en-US"/>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color w:val="auto"/>
          <w:sz w:val="24"/>
          <w:highlight w:val="none"/>
          <w:lang w:val="en-US" w:eastAsia="zh-CN"/>
        </w:rPr>
        <w:tab/>
      </w:r>
      <w:r>
        <w:rPr>
          <w:rFonts w:hint="eastAsia"/>
          <w:color w:val="auto"/>
          <w:sz w:val="24"/>
          <w:highlight w:val="none"/>
          <w:lang w:val="en-US" w:eastAsia="zh-CN"/>
        </w:rPr>
        <w:t>8</w:t>
      </w:r>
    </w:p>
    <w:p w14:paraId="75E24B3B">
      <w:pPr>
        <w:pStyle w:val="10"/>
        <w:adjustRightInd w:val="0"/>
        <w:snapToGrid w:val="0"/>
        <w:spacing w:line="440" w:lineRule="exact"/>
        <w:jc w:val="left"/>
        <w:rPr>
          <w:rFonts w:hint="default" w:ascii="仿宋" w:hAnsi="仿宋" w:eastAsia="仿宋" w:cs="Times New Roman"/>
          <w:color w:val="auto"/>
          <w:sz w:val="24"/>
          <w:highlight w:val="none"/>
          <w:lang w:val="en-US"/>
        </w:rPr>
      </w:pPr>
      <w:r>
        <w:rPr>
          <w:rFonts w:hint="eastAsia"/>
          <w:color w:val="auto"/>
          <w:sz w:val="24"/>
          <w:highlight w:val="none"/>
        </w:rPr>
        <w:t>八、政府性基金预算支出决算情况说明</w:t>
      </w:r>
      <w:r>
        <w:rPr>
          <w:rFonts w:hint="eastAsia"/>
          <w:color w:val="auto"/>
          <w:sz w:val="24"/>
          <w:highlight w:val="none"/>
          <w:lang w:val="en-US" w:eastAsia="zh-CN"/>
        </w:rPr>
        <w:tab/>
      </w:r>
      <w:r>
        <w:rPr>
          <w:rFonts w:hint="eastAsia"/>
          <w:color w:val="auto"/>
          <w:sz w:val="24"/>
          <w:highlight w:val="none"/>
          <w:lang w:val="en-US" w:eastAsia="zh-CN"/>
        </w:rPr>
        <w:t>9</w:t>
      </w:r>
    </w:p>
    <w:p w14:paraId="2996479E">
      <w:pPr>
        <w:pStyle w:val="10"/>
        <w:adjustRightInd w:val="0"/>
        <w:snapToGrid w:val="0"/>
        <w:spacing w:line="440" w:lineRule="exact"/>
        <w:jc w:val="left"/>
        <w:rPr>
          <w:rFonts w:hint="default"/>
          <w:color w:val="auto"/>
          <w:sz w:val="24"/>
          <w:highlight w:val="none"/>
          <w:lang w:val="en-US"/>
        </w:rPr>
      </w:pPr>
      <w:r>
        <w:rPr>
          <w:rFonts w:hint="eastAsia"/>
          <w:color w:val="auto"/>
          <w:sz w:val="24"/>
          <w:highlight w:val="none"/>
        </w:rPr>
        <w:t>九、国有资本经营预算支出决算情况说明</w:t>
      </w:r>
      <w:r>
        <w:rPr>
          <w:rFonts w:hint="eastAsia"/>
          <w:color w:val="auto"/>
          <w:sz w:val="24"/>
          <w:highlight w:val="none"/>
          <w:lang w:val="en-US" w:eastAsia="zh-CN"/>
        </w:rPr>
        <w:tab/>
      </w:r>
      <w:r>
        <w:rPr>
          <w:rFonts w:hint="eastAsia"/>
          <w:color w:val="auto"/>
          <w:sz w:val="24"/>
          <w:highlight w:val="none"/>
          <w:lang w:val="en-US" w:eastAsia="zh-CN"/>
        </w:rPr>
        <w:t>9</w:t>
      </w:r>
    </w:p>
    <w:p w14:paraId="703F6623">
      <w:pPr>
        <w:pStyle w:val="10"/>
        <w:adjustRightInd w:val="0"/>
        <w:snapToGrid w:val="0"/>
        <w:spacing w:line="440" w:lineRule="exact"/>
        <w:jc w:val="left"/>
        <w:rPr>
          <w:rFonts w:hint="default"/>
          <w:color w:val="auto"/>
          <w:sz w:val="24"/>
          <w:highlight w:val="none"/>
          <w:lang w:val="en-US" w:eastAsia="zh-CN"/>
        </w:rPr>
      </w:pPr>
      <w:r>
        <w:rPr>
          <w:rFonts w:hint="eastAsia"/>
          <w:color w:val="auto"/>
          <w:sz w:val="24"/>
          <w:highlight w:val="none"/>
        </w:rPr>
        <w:t>十、其他重要事项的情况说明</w:t>
      </w:r>
      <w:r>
        <w:rPr>
          <w:rFonts w:hint="eastAsia"/>
          <w:color w:val="auto"/>
          <w:sz w:val="24"/>
          <w:highlight w:val="none"/>
          <w:lang w:val="en-US" w:eastAsia="zh-CN"/>
        </w:rPr>
        <w:tab/>
      </w:r>
      <w:r>
        <w:rPr>
          <w:rFonts w:hint="eastAsia"/>
          <w:color w:val="auto"/>
          <w:sz w:val="24"/>
          <w:highlight w:val="none"/>
          <w:lang w:val="en-US" w:eastAsia="zh-CN"/>
        </w:rPr>
        <w:t>9</w:t>
      </w:r>
    </w:p>
    <w:p w14:paraId="23AA979F">
      <w:pPr>
        <w:pStyle w:val="9"/>
        <w:adjustRightInd w:val="0"/>
        <w:snapToGrid w:val="0"/>
        <w:spacing w:before="0" w:line="440" w:lineRule="exact"/>
        <w:jc w:val="left"/>
        <w:rPr>
          <w:rFonts w:hint="default" w:cs="Times New Roman"/>
          <w:color w:val="auto"/>
          <w:sz w:val="24"/>
          <w:szCs w:val="24"/>
          <w:highlight w:val="none"/>
          <w:lang w:val="en-US"/>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highlight w:val="none"/>
          <w:lang w:val="en-US" w:eastAsia="zh-CN"/>
        </w:rPr>
        <w:tab/>
      </w:r>
      <w:r>
        <w:rPr>
          <w:rFonts w:hint="eastAsia"/>
          <w:color w:val="auto"/>
          <w:sz w:val="24"/>
          <w:highlight w:val="none"/>
          <w:lang w:val="en-US" w:eastAsia="zh-CN"/>
        </w:rPr>
        <w:t>11</w:t>
      </w:r>
    </w:p>
    <w:p w14:paraId="6D54D3AB">
      <w:pPr>
        <w:pStyle w:val="9"/>
        <w:adjustRightInd w:val="0"/>
        <w:snapToGrid w:val="0"/>
        <w:spacing w:before="0" w:line="440" w:lineRule="exact"/>
        <w:jc w:val="left"/>
        <w:rPr>
          <w:rFonts w:hint="default" w:cs="Times New Roman"/>
          <w:color w:val="auto"/>
          <w:sz w:val="24"/>
          <w:szCs w:val="24"/>
          <w:highlight w:val="none"/>
          <w:lang w:val="en-US"/>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olor w:val="auto"/>
          <w:sz w:val="24"/>
          <w:highlight w:val="none"/>
          <w:lang w:val="en-US" w:eastAsia="zh-CN"/>
        </w:rPr>
        <w:tab/>
      </w:r>
      <w:r>
        <w:rPr>
          <w:rFonts w:hint="eastAsia"/>
          <w:color w:val="auto"/>
          <w:sz w:val="24"/>
          <w:highlight w:val="none"/>
          <w:lang w:val="en-US" w:eastAsia="zh-CN"/>
        </w:rPr>
        <w:t>14</w:t>
      </w:r>
    </w:p>
    <w:p w14:paraId="44F3B7F7">
      <w:pPr>
        <w:pStyle w:val="9"/>
        <w:adjustRightInd w:val="0"/>
        <w:snapToGrid w:val="0"/>
        <w:spacing w:before="0" w:line="440" w:lineRule="exact"/>
        <w:jc w:val="left"/>
        <w:rPr>
          <w:rFonts w:hint="default" w:cs="Times New Roman"/>
          <w:color w:val="auto"/>
          <w:sz w:val="24"/>
          <w:szCs w:val="24"/>
          <w:highlight w:val="none"/>
          <w:lang w:val="en-US"/>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olor w:val="auto"/>
          <w:sz w:val="24"/>
          <w:highlight w:val="none"/>
          <w:lang w:val="en-US" w:eastAsia="zh-CN"/>
        </w:rPr>
        <w:tab/>
      </w:r>
      <w:r>
        <w:rPr>
          <w:rFonts w:hint="eastAsia"/>
          <w:color w:val="auto"/>
          <w:sz w:val="24"/>
          <w:highlight w:val="none"/>
          <w:lang w:val="en-US" w:eastAsia="zh-CN"/>
        </w:rPr>
        <w:t>15</w:t>
      </w:r>
    </w:p>
    <w:p w14:paraId="45658FF8">
      <w:pPr>
        <w:pStyle w:val="10"/>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14:paraId="567EE6FF">
      <w:pPr>
        <w:pStyle w:val="10"/>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14:paraId="309E3084">
      <w:pPr>
        <w:pStyle w:val="10"/>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14:paraId="6DC14F1C">
      <w:pPr>
        <w:pStyle w:val="10"/>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14:paraId="7BF49035">
      <w:pPr>
        <w:pStyle w:val="10"/>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14:paraId="153A2368">
      <w:pPr>
        <w:pStyle w:val="10"/>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14:paraId="069C163A">
      <w:pPr>
        <w:pStyle w:val="10"/>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14:paraId="6F6FBCA7">
      <w:pPr>
        <w:pStyle w:val="10"/>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14:paraId="24897BA0">
      <w:pPr>
        <w:pStyle w:val="10"/>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14:paraId="2C53858B">
      <w:pPr>
        <w:pStyle w:val="10"/>
        <w:adjustRightInd w:val="0"/>
        <w:snapToGrid w:val="0"/>
        <w:spacing w:line="440" w:lineRule="exact"/>
        <w:jc w:val="left"/>
        <w:rPr>
          <w:rFonts w:hint="eastAsia"/>
          <w:color w:val="auto"/>
          <w:sz w:val="24"/>
          <w:highlight w:val="none"/>
        </w:rPr>
        <w:sectPr>
          <w:footerReference r:id="rId3" w:type="default"/>
          <w:pgSz w:w="11906" w:h="16838"/>
          <w:pgMar w:top="1440" w:right="1800" w:bottom="1440" w:left="1800" w:header="851" w:footer="992" w:gutter="0"/>
          <w:pgNumType w:start="1"/>
          <w:cols w:space="425" w:num="1"/>
          <w:docGrid w:type="lines" w:linePitch="312" w:charSpace="0"/>
        </w:sectPr>
      </w:pPr>
    </w:p>
    <w:p w14:paraId="54EACE08">
      <w:pPr>
        <w:pStyle w:val="10"/>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r>
        <w:rPr>
          <w:rFonts w:hint="eastAsia"/>
          <w:color w:val="auto"/>
          <w:sz w:val="24"/>
          <w:highlight w:val="none"/>
          <w:lang w:eastAsia="zh-CN"/>
        </w:rPr>
        <w:t>（</w:t>
      </w:r>
      <w:r>
        <w:rPr>
          <w:rFonts w:hint="eastAsia"/>
          <w:color w:val="auto"/>
          <w:sz w:val="24"/>
          <w:highlight w:val="none"/>
          <w:lang w:val="en-US" w:eastAsia="zh-CN"/>
        </w:rPr>
        <w:t>此表无数据</w:t>
      </w:r>
      <w:r>
        <w:rPr>
          <w:rFonts w:hint="eastAsia"/>
          <w:color w:val="auto"/>
          <w:sz w:val="24"/>
          <w:highlight w:val="none"/>
          <w:lang w:eastAsia="zh-CN"/>
        </w:rPr>
        <w:t>）</w:t>
      </w:r>
    </w:p>
    <w:p w14:paraId="7E9B1700">
      <w:pPr>
        <w:pStyle w:val="10"/>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r>
        <w:rPr>
          <w:rFonts w:hint="eastAsia"/>
          <w:color w:val="auto"/>
          <w:sz w:val="24"/>
          <w:highlight w:val="none"/>
          <w:lang w:eastAsia="zh-CN"/>
        </w:rPr>
        <w:t>（</w:t>
      </w:r>
      <w:r>
        <w:rPr>
          <w:rFonts w:hint="eastAsia"/>
          <w:color w:val="auto"/>
          <w:sz w:val="24"/>
          <w:highlight w:val="none"/>
          <w:lang w:val="en-US" w:eastAsia="zh-CN"/>
        </w:rPr>
        <w:t>此表无数据</w:t>
      </w:r>
      <w:r>
        <w:rPr>
          <w:rFonts w:hint="eastAsia"/>
          <w:color w:val="auto"/>
          <w:sz w:val="24"/>
          <w:highlight w:val="none"/>
          <w:lang w:eastAsia="zh-CN"/>
        </w:rPr>
        <w:t>）</w:t>
      </w:r>
    </w:p>
    <w:p w14:paraId="55C93B25">
      <w:pPr>
        <w:pStyle w:val="10"/>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r>
        <w:rPr>
          <w:rFonts w:hint="eastAsia"/>
          <w:color w:val="auto"/>
          <w:sz w:val="24"/>
          <w:highlight w:val="none"/>
          <w:lang w:eastAsia="zh-CN"/>
        </w:rPr>
        <w:t>（</w:t>
      </w:r>
      <w:r>
        <w:rPr>
          <w:rFonts w:hint="eastAsia"/>
          <w:color w:val="auto"/>
          <w:sz w:val="24"/>
          <w:highlight w:val="none"/>
          <w:lang w:val="en-US" w:eastAsia="zh-CN"/>
        </w:rPr>
        <w:t>此表无数据</w:t>
      </w:r>
      <w:r>
        <w:rPr>
          <w:rFonts w:hint="eastAsia"/>
          <w:color w:val="auto"/>
          <w:sz w:val="24"/>
          <w:highlight w:val="none"/>
          <w:lang w:eastAsia="zh-CN"/>
        </w:rPr>
        <w:t>）</w:t>
      </w:r>
    </w:p>
    <w:p w14:paraId="6AE908C2">
      <w:pPr>
        <w:pStyle w:val="10"/>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r>
        <w:rPr>
          <w:rFonts w:hint="eastAsia"/>
          <w:color w:val="auto"/>
          <w:sz w:val="24"/>
          <w:highlight w:val="none"/>
          <w:lang w:eastAsia="zh-CN"/>
        </w:rPr>
        <w:t>（</w:t>
      </w:r>
      <w:r>
        <w:rPr>
          <w:rFonts w:hint="eastAsia"/>
          <w:color w:val="auto"/>
          <w:sz w:val="24"/>
          <w:highlight w:val="none"/>
          <w:lang w:val="en-US" w:eastAsia="zh-CN"/>
        </w:rPr>
        <w:t>此表无数据</w:t>
      </w:r>
      <w:r>
        <w:rPr>
          <w:rFonts w:hint="eastAsia"/>
          <w:color w:val="auto"/>
          <w:sz w:val="24"/>
          <w:highlight w:val="none"/>
          <w:lang w:eastAsia="zh-CN"/>
        </w:rPr>
        <w:t>）</w:t>
      </w:r>
    </w:p>
    <w:p w14:paraId="759F57B5">
      <w:pPr>
        <w:pStyle w:val="3"/>
        <w:jc w:val="center"/>
        <w:rPr>
          <w:rFonts w:hint="eastAsia" w:ascii="黑体" w:hAnsi="黑体" w:eastAsia="黑体"/>
          <w:b w:val="0"/>
          <w:color w:val="auto"/>
          <w:highlight w:val="none"/>
        </w:rPr>
        <w:sectPr>
          <w:footerReference r:id="rId4" w:type="default"/>
          <w:pgSz w:w="11906" w:h="16838"/>
          <w:pgMar w:top="1440" w:right="1800" w:bottom="1440" w:left="1800" w:header="851" w:footer="992" w:gutter="0"/>
          <w:pgNumType w:start="1"/>
          <w:cols w:space="425" w:num="1"/>
          <w:docGrid w:type="lines" w:linePitch="312" w:charSpace="0"/>
        </w:sectPr>
      </w:pPr>
    </w:p>
    <w:p w14:paraId="31061EFC">
      <w:pPr>
        <w:pStyle w:val="3"/>
        <w:jc w:val="center"/>
        <w:rPr>
          <w:rStyle w:val="1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14"/>
          <w:rFonts w:hint="eastAsia" w:ascii="黑体" w:hAnsi="黑体" w:eastAsia="黑体"/>
          <w:b w:val="0"/>
          <w:bCs w:val="0"/>
          <w:color w:val="auto"/>
          <w:highlight w:val="none"/>
        </w:rPr>
        <w:t>概况</w:t>
      </w:r>
    </w:p>
    <w:p w14:paraId="5B1F2DB4">
      <w:pPr>
        <w:widowControl/>
        <w:jc w:val="left"/>
        <w:rPr>
          <w:rFonts w:ascii="黑体" w:eastAsia="黑体"/>
          <w:color w:val="auto"/>
          <w:sz w:val="32"/>
          <w:szCs w:val="32"/>
          <w:highlight w:val="none"/>
        </w:rPr>
      </w:pPr>
    </w:p>
    <w:p w14:paraId="70813F43">
      <w:pPr>
        <w:pStyle w:val="4"/>
        <w:numPr>
          <w:ilvl w:val="0"/>
          <w:numId w:val="1"/>
        </w:numPr>
        <w:rPr>
          <w:rStyle w:val="15"/>
          <w:rFonts w:hint="eastAsia" w:ascii="黑体" w:hAnsi="黑体" w:eastAsia="黑体"/>
          <w:b w:val="0"/>
          <w:bCs w:val="0"/>
          <w:color w:val="auto"/>
          <w:highlight w:val="none"/>
          <w:lang w:eastAsia="zh-CN"/>
        </w:rPr>
      </w:pPr>
      <w:r>
        <w:rPr>
          <w:rStyle w:val="15"/>
          <w:rFonts w:hint="eastAsia" w:ascii="黑体" w:hAnsi="黑体" w:eastAsia="黑体"/>
          <w:b w:val="0"/>
          <w:bCs w:val="0"/>
          <w:color w:val="auto"/>
          <w:highlight w:val="none"/>
          <w:lang w:eastAsia="zh-CN"/>
        </w:rPr>
        <w:t>主要职责</w:t>
      </w:r>
    </w:p>
    <w:p w14:paraId="4B9F20C2">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贯彻执行党和国家有关幼儿教育的方针、政策以及教育法规、规章，坚持正确的办园方向。</w:t>
      </w:r>
    </w:p>
    <w:p w14:paraId="2EBB9FAF">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执行上级的指示和决议；贯彻执行《幼儿教育纲要》和《幼儿园工作规程》，深化改革，强化管理，使各项工作程序化，规范化，制度化，不断提高保教水平。</w:t>
      </w:r>
    </w:p>
    <w:p w14:paraId="259061C7">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严格执行上级部门关于教育经费、教育拨款、教育基建的办法和方案；贯彻执行上级部门有关学生资助工作方针和政策，落实本园贫困家庭幼儿的资助工作。</w:t>
      </w:r>
    </w:p>
    <w:p w14:paraId="317DC52B">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实行保育和教育相结合的原则，对幼儿实施体、智、德、美等方面全面发展的教育，促进其身心和谐发展。为家长解除后顾之忧，热忱为家长服务。</w:t>
      </w:r>
    </w:p>
    <w:p w14:paraId="74BF88B3">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5.严格执行幼儿园教师资格证书制度；统筹规划幼儿园教师和管理人员队伍建设；负责幼儿园全体教师的继续教育和培训工作，加强幼儿园人才队伍建设。</w:t>
      </w:r>
    </w:p>
    <w:p w14:paraId="46B781E9">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6.严格执行幼儿园安全、卫生保健制度，保证幼儿身心健康和生命安全。充分利用幼儿和社区的资源优势，面向家长开展多种形式的早期教育宣传、指导等服务，促进家庭教育质量的不断提高。</w:t>
      </w:r>
    </w:p>
    <w:p w14:paraId="5DF82BA1">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7.以《幼儿园教育指导纲要》、《幼儿园工作规程》、《3-6岁儿童学习与发展指南》为依据，结合幼儿的年龄特点、发展经验和需要制定适合幼儿身心健康发展的教育活动。</w:t>
      </w:r>
    </w:p>
    <w:p w14:paraId="2D334A78">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8.尊重幼儿的人格尊严和基本权利，尊重幼儿身心发展的特点和规律，为幼儿提供健康、丰富的生活和活动环境。合理组织幼儿一日生活活动和其它活动，促进幼儿体智德美等和谐发展，全面实施素质教育。</w:t>
      </w:r>
    </w:p>
    <w:p w14:paraId="76A8EBE7">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lang w:eastAsia="zh-CN"/>
        </w:rPr>
      </w:pPr>
      <w:r>
        <w:rPr>
          <w:rFonts w:hint="eastAsia" w:ascii="仿宋" w:hAnsi="仿宋" w:eastAsia="仿宋" w:cs="Times New Roman"/>
          <w:b w:val="0"/>
          <w:bCs w:val="0"/>
          <w:kern w:val="2"/>
          <w:sz w:val="32"/>
          <w:szCs w:val="32"/>
          <w:lang w:val="en-US" w:eastAsia="zh-CN" w:bidi="ar-SA"/>
        </w:rPr>
        <w:t>9.贯彻幼儿教育法规、传播科学教育理念、开展教育科学研究、培训师资，推动学前教育的良性发展。</w:t>
      </w:r>
    </w:p>
    <w:p w14:paraId="3D99B5A4">
      <w:pPr>
        <w:pStyle w:val="4"/>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p w14:paraId="6DE299CF">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本单位为广元市利州区教育局所属二级预算单位，单位性质为财政补助事业单位，内设部门6个（园长办公室、安办、园务处、财务部、人事部、党建处）。正式在职教职工年初5人，年末6人（其中2023年2月调入1人）。临聘教职工27人，安保人员2人。退休教师0人。教学班9个（托班3个，小班3个，中班2个，大班1个），在园幼儿246人。</w:t>
      </w:r>
    </w:p>
    <w:p w14:paraId="750D4C12">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14:paraId="0808F448">
      <w:pPr>
        <w:pStyle w:val="3"/>
        <w:ind w:right="440"/>
        <w:jc w:val="center"/>
        <w:rPr>
          <w:rStyle w:val="14"/>
          <w:rFonts w:ascii="黑体" w:hAnsi="黑体" w:eastAsia="黑体"/>
          <w:b w:val="0"/>
          <w:bCs/>
          <w:color w:val="auto"/>
          <w:highlight w:val="none"/>
        </w:rPr>
      </w:pP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14"/>
          <w:rFonts w:hint="eastAsia" w:ascii="黑体" w:hAnsi="黑体" w:eastAsia="黑体"/>
          <w:b w:val="0"/>
          <w:bCs/>
          <w:color w:val="auto"/>
          <w:highlight w:val="none"/>
          <w:lang w:eastAsia="zh-CN"/>
        </w:rPr>
        <w:t>单位</w:t>
      </w:r>
      <w:r>
        <w:rPr>
          <w:rStyle w:val="14"/>
          <w:rFonts w:hint="eastAsia" w:ascii="黑体" w:hAnsi="黑体" w:eastAsia="黑体"/>
          <w:b w:val="0"/>
          <w:bCs/>
          <w:color w:val="auto"/>
          <w:highlight w:val="none"/>
        </w:rPr>
        <w:t>决算情况说明</w:t>
      </w:r>
    </w:p>
    <w:p w14:paraId="187CF437">
      <w:pPr>
        <w:rPr>
          <w:color w:val="auto"/>
          <w:highlight w:val="none"/>
        </w:rPr>
      </w:pPr>
    </w:p>
    <w:p w14:paraId="1E9E995A">
      <w:pPr>
        <w:pStyle w:val="16"/>
        <w:numPr>
          <w:ilvl w:val="0"/>
          <w:numId w:val="0"/>
        </w:numPr>
        <w:spacing w:line="600" w:lineRule="exact"/>
        <w:ind w:left="640" w:leftChars="0"/>
        <w:outlineLvl w:val="1"/>
        <w:rPr>
          <w:rStyle w:val="15"/>
          <w:rFonts w:ascii="黑体" w:hAnsi="黑体" w:eastAsia="黑体"/>
          <w:b w:val="0"/>
          <w:color w:val="auto"/>
          <w:highlight w:val="none"/>
        </w:rPr>
      </w:pPr>
      <w:r>
        <w:rPr>
          <w:rFonts w:hint="eastAsia" w:ascii="黑体" w:hAnsi="黑体" w:eastAsia="黑体"/>
          <w:color w:val="auto"/>
          <w:sz w:val="32"/>
          <w:szCs w:val="32"/>
          <w:highlight w:val="none"/>
          <w:lang w:eastAsia="zh-CN"/>
        </w:rPr>
        <w:t>一、</w:t>
      </w:r>
      <w:r>
        <w:rPr>
          <w:rFonts w:hint="eastAsia" w:ascii="黑体" w:hAnsi="黑体" w:eastAsia="黑体"/>
          <w:color w:val="auto"/>
          <w:sz w:val="32"/>
          <w:szCs w:val="32"/>
          <w:highlight w:val="none"/>
        </w:rPr>
        <w:t>收</w:t>
      </w:r>
      <w:r>
        <w:rPr>
          <w:rStyle w:val="15"/>
          <w:rFonts w:hint="eastAsia" w:ascii="黑体" w:hAnsi="黑体" w:eastAsia="黑体"/>
          <w:b w:val="0"/>
          <w:color w:val="auto"/>
          <w:highlight w:val="none"/>
        </w:rPr>
        <w:t>入支出决算总体情况说明</w:t>
      </w:r>
    </w:p>
    <w:p w14:paraId="7F10B83B">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eastAsia="zh-CN"/>
        </w:rPr>
        <w:t>均为</w:t>
      </w:r>
      <w:r>
        <w:rPr>
          <w:rFonts w:hint="eastAsia" w:ascii="仿宋" w:hAnsi="仿宋" w:eastAsia="仿宋"/>
          <w:color w:val="auto"/>
          <w:sz w:val="32"/>
          <w:szCs w:val="32"/>
          <w:highlight w:val="none"/>
          <w:lang w:val="en-US" w:eastAsia="zh-CN"/>
        </w:rPr>
        <w:t>159.958411</w:t>
      </w:r>
      <w:r>
        <w:rPr>
          <w:rFonts w:hint="eastAsia" w:ascii="仿宋" w:hAnsi="仿宋" w:eastAsia="仿宋"/>
          <w:color w:val="auto"/>
          <w:sz w:val="32"/>
          <w:szCs w:val="32"/>
          <w:highlight w:val="none"/>
        </w:rPr>
        <w:t>万元。与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相比，收、支总计各减少</w:t>
      </w:r>
      <w:r>
        <w:rPr>
          <w:rFonts w:hint="eastAsia" w:ascii="仿宋" w:hAnsi="仿宋" w:eastAsia="仿宋"/>
          <w:color w:val="auto"/>
          <w:sz w:val="32"/>
          <w:szCs w:val="32"/>
          <w:highlight w:val="none"/>
          <w:lang w:val="en-US" w:eastAsia="zh-CN"/>
        </w:rPr>
        <w:t>477.997363</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33.46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2022年新建项目支出较多，2023年只剩项目尾款</w:t>
      </w:r>
      <w:r>
        <w:rPr>
          <w:rFonts w:hint="eastAsia" w:ascii="仿宋" w:hAnsi="仿宋" w:eastAsia="仿宋"/>
          <w:color w:val="auto"/>
          <w:sz w:val="32"/>
          <w:szCs w:val="32"/>
          <w:highlight w:val="none"/>
          <w:lang w:eastAsia="zh-CN"/>
        </w:rPr>
        <w:t>。</w:t>
      </w:r>
    </w:p>
    <w:p w14:paraId="5B8D4C97">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14:paraId="70F18B37">
      <w:pPr>
        <w:spacing w:line="600" w:lineRule="exact"/>
        <w:ind w:firstLine="640" w:firstLineChars="200"/>
        <w:jc w:val="left"/>
        <w:rPr>
          <w:rFonts w:hint="eastAsia" w:ascii="黑体" w:hAnsi="黑体" w:eastAsia="黑体"/>
          <w:color w:val="auto"/>
          <w:sz w:val="32"/>
          <w:szCs w:val="32"/>
          <w:highlight w:val="none"/>
          <w:lang w:eastAsia="zh-CN"/>
        </w:rPr>
      </w:pPr>
      <w:r>
        <w:rPr>
          <w:rFonts w:ascii="仿宋_GB2312" w:eastAsia="仿宋_GB2312"/>
          <w:sz w:val="32"/>
          <w:szCs w:val="32"/>
        </w:rPr>
        <w:drawing>
          <wp:anchor distT="0" distB="0" distL="114300" distR="114300" simplePos="0" relativeHeight="251659264" behindDoc="1" locked="0" layoutInCell="1" allowOverlap="1">
            <wp:simplePos x="0" y="0"/>
            <wp:positionH relativeFrom="column">
              <wp:posOffset>111125</wp:posOffset>
            </wp:positionH>
            <wp:positionV relativeFrom="paragraph">
              <wp:posOffset>236855</wp:posOffset>
            </wp:positionV>
            <wp:extent cx="4915535" cy="2286000"/>
            <wp:effectExtent l="4445" t="4445" r="13970" b="52705"/>
            <wp:wrapTight wrapText="bothSides">
              <wp:wrapPolygon>
                <wp:start x="-20" y="-42"/>
                <wp:lineTo x="-20" y="21918"/>
                <wp:lineTo x="21578" y="21918"/>
                <wp:lineTo x="21578" y="-42"/>
                <wp:lineTo x="-20" y="-42"/>
              </wp:wrapPolygon>
            </wp:wrapTight>
            <wp:docPr id="1" name="图表 1" descr="7b0a202020202263686172745265734964223a202232303437363531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37D2B702">
      <w:pPr>
        <w:pStyle w:val="16"/>
        <w:numPr>
          <w:ilvl w:val="0"/>
          <w:numId w:val="0"/>
        </w:numPr>
        <w:spacing w:line="600" w:lineRule="exact"/>
        <w:ind w:left="640" w:leftChars="0"/>
        <w:outlineLvl w:val="1"/>
        <w:rPr>
          <w:rFonts w:hint="eastAsia" w:ascii="黑体" w:hAnsi="黑体" w:eastAsia="黑体"/>
          <w:color w:val="auto"/>
          <w:sz w:val="32"/>
          <w:szCs w:val="32"/>
          <w:highlight w:val="none"/>
          <w:lang w:eastAsia="zh-CN"/>
        </w:rPr>
      </w:pPr>
    </w:p>
    <w:p w14:paraId="3551EB7A">
      <w:pPr>
        <w:pStyle w:val="16"/>
        <w:numPr>
          <w:ilvl w:val="0"/>
          <w:numId w:val="0"/>
        </w:numPr>
        <w:spacing w:line="600" w:lineRule="exact"/>
        <w:ind w:left="640" w:leftChars="0"/>
        <w:outlineLvl w:val="1"/>
        <w:rPr>
          <w:rFonts w:hint="eastAsia" w:ascii="黑体" w:hAnsi="黑体" w:eastAsia="黑体"/>
          <w:color w:val="auto"/>
          <w:sz w:val="32"/>
          <w:szCs w:val="32"/>
          <w:highlight w:val="none"/>
          <w:lang w:eastAsia="zh-CN"/>
        </w:rPr>
      </w:pPr>
    </w:p>
    <w:p w14:paraId="03FB6264">
      <w:pPr>
        <w:pStyle w:val="16"/>
        <w:numPr>
          <w:ilvl w:val="0"/>
          <w:numId w:val="0"/>
        </w:numPr>
        <w:spacing w:line="600" w:lineRule="exact"/>
        <w:ind w:left="640" w:leftChars="0"/>
        <w:outlineLvl w:val="1"/>
        <w:rPr>
          <w:rFonts w:hint="eastAsia" w:ascii="黑体" w:hAnsi="黑体" w:eastAsia="黑体"/>
          <w:color w:val="auto"/>
          <w:sz w:val="32"/>
          <w:szCs w:val="32"/>
          <w:highlight w:val="none"/>
          <w:lang w:eastAsia="zh-CN"/>
        </w:rPr>
      </w:pPr>
    </w:p>
    <w:p w14:paraId="3B093591">
      <w:pPr>
        <w:pStyle w:val="16"/>
        <w:numPr>
          <w:ilvl w:val="0"/>
          <w:numId w:val="0"/>
        </w:numPr>
        <w:spacing w:line="600" w:lineRule="exact"/>
        <w:ind w:left="640" w:leftChars="0"/>
        <w:outlineLvl w:val="1"/>
        <w:rPr>
          <w:rFonts w:hint="eastAsia" w:ascii="黑体" w:hAnsi="黑体" w:eastAsia="黑体"/>
          <w:color w:val="auto"/>
          <w:sz w:val="32"/>
          <w:szCs w:val="32"/>
          <w:highlight w:val="none"/>
          <w:lang w:eastAsia="zh-CN"/>
        </w:rPr>
      </w:pPr>
    </w:p>
    <w:p w14:paraId="785CADFC">
      <w:pPr>
        <w:pStyle w:val="16"/>
        <w:numPr>
          <w:ilvl w:val="0"/>
          <w:numId w:val="0"/>
        </w:numPr>
        <w:spacing w:line="600" w:lineRule="exact"/>
        <w:ind w:left="640" w:leftChars="0"/>
        <w:outlineLvl w:val="1"/>
        <w:rPr>
          <w:rFonts w:hint="eastAsia" w:ascii="黑体" w:hAnsi="黑体" w:eastAsia="黑体"/>
          <w:color w:val="auto"/>
          <w:sz w:val="32"/>
          <w:szCs w:val="32"/>
          <w:highlight w:val="none"/>
          <w:lang w:eastAsia="zh-CN"/>
        </w:rPr>
      </w:pPr>
    </w:p>
    <w:p w14:paraId="36352466">
      <w:pPr>
        <w:pStyle w:val="16"/>
        <w:numPr>
          <w:ilvl w:val="0"/>
          <w:numId w:val="0"/>
        </w:numPr>
        <w:spacing w:line="600" w:lineRule="exact"/>
        <w:ind w:left="640" w:leftChars="0"/>
        <w:outlineLvl w:val="1"/>
        <w:rPr>
          <w:rFonts w:hint="eastAsia" w:ascii="黑体" w:hAnsi="黑体" w:eastAsia="黑体"/>
          <w:color w:val="auto"/>
          <w:sz w:val="32"/>
          <w:szCs w:val="32"/>
          <w:highlight w:val="none"/>
          <w:lang w:eastAsia="zh-CN"/>
        </w:rPr>
      </w:pPr>
    </w:p>
    <w:p w14:paraId="45F631F4">
      <w:pPr>
        <w:pStyle w:val="16"/>
        <w:numPr>
          <w:ilvl w:val="0"/>
          <w:numId w:val="0"/>
        </w:numPr>
        <w:spacing w:line="600" w:lineRule="exact"/>
        <w:ind w:left="640" w:leftChars="0"/>
        <w:outlineLvl w:val="1"/>
        <w:rPr>
          <w:rStyle w:val="15"/>
          <w:rFonts w:ascii="黑体" w:hAnsi="黑体" w:eastAsia="黑体"/>
          <w:b w:val="0"/>
          <w:color w:val="auto"/>
          <w:highlight w:val="none"/>
        </w:rPr>
      </w:pPr>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收</w:t>
      </w:r>
      <w:r>
        <w:rPr>
          <w:rStyle w:val="15"/>
          <w:rFonts w:hint="eastAsia" w:ascii="黑体" w:hAnsi="黑体" w:eastAsia="黑体"/>
          <w:b w:val="0"/>
          <w:color w:val="auto"/>
          <w:highlight w:val="none"/>
        </w:rPr>
        <w:t>入决算情况说明</w:t>
      </w:r>
    </w:p>
    <w:p w14:paraId="0E32B0C2">
      <w:pPr>
        <w:spacing w:line="600" w:lineRule="exact"/>
        <w:ind w:firstLine="640" w:firstLineChars="200"/>
        <w:outlineLvl w:val="1"/>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本年收入合计</w:t>
      </w:r>
      <w:r>
        <w:rPr>
          <w:rFonts w:hint="eastAsia" w:ascii="仿宋" w:hAnsi="仿宋" w:eastAsia="仿宋"/>
          <w:color w:val="auto"/>
          <w:sz w:val="32"/>
          <w:szCs w:val="32"/>
          <w:highlight w:val="none"/>
          <w:lang w:val="en-US" w:eastAsia="zh-CN"/>
        </w:rPr>
        <w:t>159.958411</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155.067584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96.94</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0.453904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0.28</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4.436923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2.78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554ECED1">
      <w:pPr>
        <w:spacing w:line="600" w:lineRule="exact"/>
        <w:ind w:firstLine="560" w:firstLineChars="200"/>
        <w:rPr>
          <w:rFonts w:hint="eastAsia" w:ascii="仿宋" w:hAnsi="仿宋" w:eastAsia="仿宋"/>
          <w:color w:val="auto"/>
          <w:sz w:val="32"/>
          <w:szCs w:val="32"/>
          <w:highlight w:val="none"/>
        </w:rPr>
      </w:pPr>
      <w:r>
        <w:rPr>
          <w:rFonts w:ascii="仿宋_GB2312" w:eastAsia="仿宋_GB2312"/>
          <w:color w:val="auto"/>
          <w:sz w:val="28"/>
          <w:szCs w:val="28"/>
        </w:rPr>
        <w:drawing>
          <wp:anchor distT="0" distB="0" distL="114300" distR="114300" simplePos="0" relativeHeight="251660288" behindDoc="0" locked="0" layoutInCell="1" allowOverlap="1">
            <wp:simplePos x="0" y="0"/>
            <wp:positionH relativeFrom="column">
              <wp:posOffset>-88900</wp:posOffset>
            </wp:positionH>
            <wp:positionV relativeFrom="paragraph">
              <wp:posOffset>368300</wp:posOffset>
            </wp:positionV>
            <wp:extent cx="5274310" cy="3076575"/>
            <wp:effectExtent l="6350" t="6350" r="15240" b="2222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auto"/>
          <w:sz w:val="32"/>
          <w:szCs w:val="32"/>
          <w:highlight w:val="none"/>
        </w:rPr>
        <w:t>（图2：收入决算结构图）（饼状图）</w:t>
      </w:r>
    </w:p>
    <w:p w14:paraId="76D461E1">
      <w:pPr>
        <w:pStyle w:val="2"/>
      </w:pPr>
    </w:p>
    <w:p w14:paraId="4FADDB63">
      <w:pPr>
        <w:pStyle w:val="16"/>
        <w:numPr>
          <w:ilvl w:val="0"/>
          <w:numId w:val="0"/>
        </w:numPr>
        <w:spacing w:line="600" w:lineRule="exact"/>
        <w:ind w:left="640" w:leftChars="0"/>
        <w:outlineLvl w:val="1"/>
        <w:rPr>
          <w:rStyle w:val="15"/>
          <w:rFonts w:ascii="黑体" w:hAnsi="黑体" w:eastAsia="黑体"/>
          <w:b w:val="0"/>
          <w:color w:val="auto"/>
          <w:highlight w:val="none"/>
        </w:rPr>
      </w:pPr>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w:t>
      </w:r>
      <w:r>
        <w:rPr>
          <w:rStyle w:val="15"/>
          <w:rFonts w:hint="eastAsia" w:ascii="黑体" w:hAnsi="黑体" w:eastAsia="黑体"/>
          <w:b w:val="0"/>
          <w:color w:val="auto"/>
          <w:highlight w:val="none"/>
        </w:rPr>
        <w:t>出决算情况说明</w:t>
      </w:r>
    </w:p>
    <w:p w14:paraId="4734C3E5">
      <w:pPr>
        <w:spacing w:line="600" w:lineRule="exact"/>
        <w:ind w:firstLine="640" w:firstLineChars="200"/>
        <w:outlineLvl w:val="1"/>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本年支出合计</w:t>
      </w:r>
      <w:r>
        <w:rPr>
          <w:rFonts w:hint="eastAsia" w:ascii="仿宋" w:hAnsi="仿宋" w:eastAsia="仿宋"/>
          <w:color w:val="auto"/>
          <w:sz w:val="32"/>
          <w:szCs w:val="32"/>
          <w:highlight w:val="none"/>
          <w:lang w:val="en-US" w:eastAsia="zh-CN"/>
        </w:rPr>
        <w:t>159.958411</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140.547438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87.86</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19.410973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12.14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7783F8FD">
      <w:pPr>
        <w:spacing w:line="600" w:lineRule="exact"/>
        <w:ind w:firstLine="640" w:firstLineChars="200"/>
        <w:outlineLvl w:val="1"/>
        <w:rPr>
          <w:rFonts w:ascii="仿宋" w:hAnsi="仿宋" w:eastAsia="仿宋"/>
          <w:color w:val="auto"/>
          <w:sz w:val="32"/>
          <w:szCs w:val="32"/>
          <w:highlight w:val="none"/>
          <w:shd w:val="pct10" w:color="auto" w:fill="FFFFFF"/>
        </w:rPr>
      </w:pPr>
    </w:p>
    <w:p w14:paraId="79A24B97">
      <w:pPr>
        <w:spacing w:line="600" w:lineRule="exact"/>
        <w:ind w:firstLine="640" w:firstLineChars="200"/>
        <w:rPr>
          <w:rFonts w:ascii="仿宋" w:hAnsi="仿宋" w:eastAsia="仿宋"/>
          <w:color w:val="auto"/>
          <w:sz w:val="32"/>
          <w:szCs w:val="32"/>
          <w:highlight w:val="none"/>
        </w:rPr>
      </w:pPr>
      <w:r>
        <w:rPr>
          <w:rFonts w:ascii="仿宋_GB2312" w:eastAsia="仿宋_GB2312"/>
          <w:color w:val="auto"/>
          <w:sz w:val="32"/>
          <w:szCs w:val="32"/>
        </w:rPr>
        <w:drawing>
          <wp:anchor distT="0" distB="0" distL="114300" distR="114300" simplePos="0" relativeHeight="251661312" behindDoc="0" locked="0" layoutInCell="1" allowOverlap="1">
            <wp:simplePos x="0" y="0"/>
            <wp:positionH relativeFrom="column">
              <wp:posOffset>280670</wp:posOffset>
            </wp:positionH>
            <wp:positionV relativeFrom="paragraph">
              <wp:posOffset>570865</wp:posOffset>
            </wp:positionV>
            <wp:extent cx="5039995" cy="2129790"/>
            <wp:effectExtent l="4445" t="4445" r="22860" b="1841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auto"/>
          <w:sz w:val="32"/>
          <w:szCs w:val="32"/>
          <w:highlight w:val="none"/>
        </w:rPr>
        <w:t>（图3：支出决算结构图）（饼状图）</w:t>
      </w:r>
    </w:p>
    <w:p w14:paraId="7107067C">
      <w:pPr>
        <w:spacing w:line="600" w:lineRule="exact"/>
        <w:ind w:firstLine="640" w:firstLineChars="200"/>
        <w:rPr>
          <w:rFonts w:ascii="仿宋_GB2312" w:eastAsia="仿宋_GB2312"/>
          <w:color w:val="auto"/>
          <w:sz w:val="32"/>
          <w:szCs w:val="32"/>
          <w:highlight w:val="none"/>
        </w:rPr>
      </w:pPr>
    </w:p>
    <w:p w14:paraId="47C4EAEF">
      <w:pPr>
        <w:spacing w:line="600" w:lineRule="exact"/>
        <w:ind w:firstLine="640" w:firstLineChars="200"/>
        <w:outlineLvl w:val="1"/>
        <w:rPr>
          <w:rStyle w:val="15"/>
          <w:rFonts w:ascii="黑体" w:hAnsi="黑体" w:eastAsia="黑体"/>
          <w:b w:val="0"/>
          <w:color w:val="auto"/>
          <w:highlight w:val="none"/>
        </w:rPr>
      </w:pPr>
      <w:r>
        <w:rPr>
          <w:rFonts w:hint="eastAsia" w:ascii="黑体" w:hAnsi="黑体" w:eastAsia="黑体"/>
          <w:color w:val="auto"/>
          <w:sz w:val="32"/>
          <w:szCs w:val="32"/>
          <w:highlight w:val="none"/>
        </w:rPr>
        <w:t>四、财</w:t>
      </w:r>
      <w:r>
        <w:rPr>
          <w:rStyle w:val="15"/>
          <w:rFonts w:hint="eastAsia" w:ascii="黑体" w:hAnsi="黑体" w:eastAsia="黑体"/>
          <w:b w:val="0"/>
          <w:color w:val="auto"/>
          <w:highlight w:val="none"/>
        </w:rPr>
        <w:t>政拨款收入支出决算总体情况说明</w:t>
      </w:r>
    </w:p>
    <w:p w14:paraId="4793DF99">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财政拨款收、支总计</w:t>
      </w:r>
      <w:r>
        <w:rPr>
          <w:rFonts w:hint="eastAsia" w:ascii="仿宋" w:hAnsi="仿宋" w:eastAsia="仿宋"/>
          <w:color w:val="auto"/>
          <w:sz w:val="32"/>
          <w:szCs w:val="32"/>
          <w:highlight w:val="none"/>
          <w:lang w:eastAsia="zh-CN"/>
        </w:rPr>
        <w:t>均为</w:t>
      </w:r>
      <w:r>
        <w:rPr>
          <w:rFonts w:hint="eastAsia" w:ascii="仿宋" w:hAnsi="仿宋" w:eastAsia="仿宋"/>
          <w:color w:val="auto"/>
          <w:sz w:val="32"/>
          <w:szCs w:val="32"/>
          <w:highlight w:val="none"/>
          <w:lang w:val="en-US" w:eastAsia="zh-CN"/>
        </w:rPr>
        <w:t>155.067584</w:t>
      </w:r>
      <w:r>
        <w:rPr>
          <w:rFonts w:hint="eastAsia" w:ascii="仿宋" w:hAnsi="仿宋" w:eastAsia="仿宋"/>
          <w:color w:val="auto"/>
          <w:sz w:val="32"/>
          <w:szCs w:val="32"/>
          <w:highlight w:val="none"/>
        </w:rPr>
        <w:t>万元。与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相比，财政拨款收、支总计各减少</w:t>
      </w:r>
      <w:r>
        <w:rPr>
          <w:rFonts w:hint="eastAsia" w:ascii="仿宋" w:hAnsi="仿宋" w:eastAsia="仿宋"/>
          <w:color w:val="auto"/>
          <w:sz w:val="32"/>
          <w:szCs w:val="32"/>
          <w:highlight w:val="none"/>
          <w:lang w:val="en-US" w:eastAsia="zh-CN"/>
        </w:rPr>
        <w:t>476.857916</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24.54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本园是2022年新设立单位，新建项目比较多，2023年只剩项目尾款，故今年比去年收支减少。</w:t>
      </w:r>
    </w:p>
    <w:p w14:paraId="4079FABE">
      <w:pPr>
        <w:spacing w:line="600" w:lineRule="exact"/>
        <w:ind w:firstLine="640" w:firstLineChars="200"/>
        <w:rPr>
          <w:rFonts w:ascii="仿宋" w:hAnsi="仿宋" w:eastAsia="仿宋"/>
          <w:color w:val="auto"/>
          <w:sz w:val="32"/>
          <w:szCs w:val="32"/>
          <w:highlight w:val="none"/>
        </w:rPr>
      </w:pPr>
      <w:r>
        <w:rPr>
          <w:rFonts w:ascii="仿宋_GB2312" w:eastAsia="仿宋_GB2312"/>
          <w:color w:val="auto"/>
          <w:sz w:val="32"/>
          <w:szCs w:val="32"/>
        </w:rPr>
        <w:drawing>
          <wp:anchor distT="0" distB="0" distL="114300" distR="114300" simplePos="0" relativeHeight="251662336" behindDoc="1" locked="0" layoutInCell="1" allowOverlap="1">
            <wp:simplePos x="0" y="0"/>
            <wp:positionH relativeFrom="column">
              <wp:posOffset>196850</wp:posOffset>
            </wp:positionH>
            <wp:positionV relativeFrom="paragraph">
              <wp:posOffset>609600</wp:posOffset>
            </wp:positionV>
            <wp:extent cx="4915535" cy="2286000"/>
            <wp:effectExtent l="4445" t="4445" r="13970" b="52705"/>
            <wp:wrapTight wrapText="bothSides">
              <wp:wrapPolygon>
                <wp:start x="-20" y="-42"/>
                <wp:lineTo x="-20" y="21918"/>
                <wp:lineTo x="21578" y="21918"/>
                <wp:lineTo x="21578" y="-42"/>
                <wp:lineTo x="-20" y="-42"/>
              </wp:wrapPolygon>
            </wp:wrapTight>
            <wp:docPr id="4" name="图表 4" descr="7b0a202020202263686172745265734964223a202232303437363738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auto"/>
          <w:sz w:val="32"/>
          <w:szCs w:val="32"/>
          <w:highlight w:val="none"/>
        </w:rPr>
        <w:t>（图4：财政拨款收、支决算总计变动情况）（柱状图）</w:t>
      </w:r>
    </w:p>
    <w:p w14:paraId="76B13323">
      <w:pPr>
        <w:spacing w:line="600" w:lineRule="exact"/>
        <w:ind w:firstLine="640"/>
        <w:rPr>
          <w:rFonts w:ascii="仿宋" w:hAnsi="仿宋" w:eastAsia="仿宋"/>
          <w:b/>
          <w:color w:val="auto"/>
          <w:sz w:val="32"/>
          <w:szCs w:val="32"/>
          <w:highlight w:val="none"/>
        </w:rPr>
      </w:pPr>
    </w:p>
    <w:p w14:paraId="53FF78E7">
      <w:pPr>
        <w:spacing w:line="600" w:lineRule="exact"/>
        <w:ind w:firstLine="640" w:firstLineChars="200"/>
        <w:outlineLvl w:val="1"/>
        <w:rPr>
          <w:rFonts w:hint="eastAsia" w:ascii="黑体" w:hAnsi="黑体" w:eastAsia="黑体"/>
          <w:color w:val="auto"/>
          <w:sz w:val="32"/>
          <w:szCs w:val="32"/>
          <w:highlight w:val="none"/>
        </w:rPr>
      </w:pPr>
    </w:p>
    <w:p w14:paraId="6034A3D0">
      <w:pPr>
        <w:spacing w:line="600" w:lineRule="exact"/>
        <w:ind w:firstLine="640" w:firstLineChars="200"/>
        <w:outlineLvl w:val="1"/>
        <w:rPr>
          <w:rFonts w:hint="eastAsia" w:ascii="黑体" w:hAnsi="黑体" w:eastAsia="黑体"/>
          <w:color w:val="auto"/>
          <w:sz w:val="32"/>
          <w:szCs w:val="32"/>
          <w:highlight w:val="none"/>
        </w:rPr>
      </w:pPr>
    </w:p>
    <w:p w14:paraId="479F0598">
      <w:pPr>
        <w:spacing w:line="600" w:lineRule="exact"/>
        <w:ind w:firstLine="640" w:firstLineChars="200"/>
        <w:outlineLvl w:val="1"/>
        <w:rPr>
          <w:rFonts w:hint="eastAsia" w:ascii="黑体" w:hAnsi="黑体" w:eastAsia="黑体"/>
          <w:color w:val="auto"/>
          <w:sz w:val="32"/>
          <w:szCs w:val="32"/>
          <w:highlight w:val="none"/>
        </w:rPr>
      </w:pPr>
    </w:p>
    <w:p w14:paraId="661F7EA1">
      <w:pPr>
        <w:spacing w:line="600" w:lineRule="exact"/>
        <w:ind w:firstLine="640" w:firstLineChars="200"/>
        <w:outlineLvl w:val="1"/>
        <w:rPr>
          <w:rFonts w:hint="eastAsia" w:ascii="黑体" w:hAnsi="黑体" w:eastAsia="黑体"/>
          <w:color w:val="auto"/>
          <w:sz w:val="32"/>
          <w:szCs w:val="32"/>
          <w:highlight w:val="none"/>
        </w:rPr>
      </w:pPr>
    </w:p>
    <w:p w14:paraId="2C3DEFBD">
      <w:pPr>
        <w:spacing w:line="600" w:lineRule="exact"/>
        <w:ind w:firstLine="640" w:firstLineChars="200"/>
        <w:outlineLvl w:val="1"/>
        <w:rPr>
          <w:rFonts w:hint="eastAsia" w:ascii="黑体" w:hAnsi="黑体" w:eastAsia="黑体"/>
          <w:color w:val="auto"/>
          <w:sz w:val="32"/>
          <w:szCs w:val="32"/>
          <w:highlight w:val="none"/>
        </w:rPr>
      </w:pPr>
    </w:p>
    <w:p w14:paraId="25C3F251">
      <w:pPr>
        <w:spacing w:line="600" w:lineRule="exact"/>
        <w:ind w:firstLine="640" w:firstLineChars="200"/>
        <w:outlineLvl w:val="1"/>
        <w:rPr>
          <w:rFonts w:hint="eastAsia" w:ascii="黑体" w:hAnsi="黑体" w:eastAsia="黑体"/>
          <w:color w:val="auto"/>
          <w:sz w:val="32"/>
          <w:szCs w:val="32"/>
          <w:highlight w:val="none"/>
        </w:rPr>
      </w:pPr>
    </w:p>
    <w:p w14:paraId="3652C22C">
      <w:pPr>
        <w:spacing w:line="600" w:lineRule="exact"/>
        <w:ind w:firstLine="640" w:firstLineChars="200"/>
        <w:outlineLvl w:val="1"/>
        <w:rPr>
          <w:rFonts w:hint="eastAsia" w:ascii="黑体" w:hAnsi="黑体" w:eastAsia="黑体"/>
          <w:color w:val="auto"/>
          <w:sz w:val="32"/>
          <w:szCs w:val="32"/>
          <w:highlight w:val="none"/>
        </w:rPr>
      </w:pPr>
    </w:p>
    <w:p w14:paraId="40ED635D">
      <w:pPr>
        <w:spacing w:line="600" w:lineRule="exact"/>
        <w:ind w:firstLine="640" w:firstLineChars="200"/>
        <w:outlineLvl w:val="1"/>
        <w:rPr>
          <w:rStyle w:val="15"/>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15"/>
          <w:rFonts w:hint="eastAsia" w:ascii="黑体" w:hAnsi="黑体" w:eastAsia="黑体"/>
          <w:b w:val="0"/>
          <w:color w:val="auto"/>
          <w:highlight w:val="none"/>
        </w:rPr>
        <w:t>般公共预算财政拨款支出决算情况说明</w:t>
      </w:r>
    </w:p>
    <w:p w14:paraId="669EED24">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（一）一般公共预算财政拨款支出决算总体情况</w:t>
      </w:r>
    </w:p>
    <w:p w14:paraId="2E2776E1">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一般公共预算财政拨款支出</w:t>
      </w:r>
      <w:r>
        <w:rPr>
          <w:rFonts w:hint="eastAsia" w:ascii="仿宋" w:hAnsi="仿宋" w:eastAsia="仿宋"/>
          <w:color w:val="auto"/>
          <w:sz w:val="32"/>
          <w:szCs w:val="32"/>
          <w:highlight w:val="none"/>
          <w:lang w:val="en-US" w:eastAsia="zh-CN"/>
        </w:rPr>
        <w:t>155.067584</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96.94</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476.857916</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24.54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本园是2022年新设立单位，新建项目比较多，2023年只剩项目尾款，故今年比去年收支减少。</w:t>
      </w:r>
    </w:p>
    <w:p w14:paraId="3BEC0661">
      <w:pPr>
        <w:spacing w:line="600" w:lineRule="exact"/>
        <w:ind w:firstLine="640" w:firstLineChars="200"/>
        <w:rPr>
          <w:rFonts w:ascii="仿宋" w:hAnsi="仿宋" w:eastAsia="仿宋"/>
          <w:color w:val="auto"/>
          <w:sz w:val="32"/>
          <w:szCs w:val="32"/>
          <w:highlight w:val="none"/>
        </w:rPr>
      </w:pPr>
      <w:r>
        <w:rPr>
          <w:rFonts w:ascii="仿宋_GB2312" w:eastAsia="仿宋_GB2312"/>
          <w:color w:val="auto"/>
          <w:sz w:val="32"/>
          <w:szCs w:val="32"/>
        </w:rPr>
        <w:drawing>
          <wp:anchor distT="0" distB="0" distL="114300" distR="114300" simplePos="0" relativeHeight="251663360" behindDoc="1" locked="0" layoutInCell="1" allowOverlap="1">
            <wp:simplePos x="0" y="0"/>
            <wp:positionH relativeFrom="column">
              <wp:posOffset>225425</wp:posOffset>
            </wp:positionH>
            <wp:positionV relativeFrom="paragraph">
              <wp:posOffset>787400</wp:posOffset>
            </wp:positionV>
            <wp:extent cx="4915535" cy="2286000"/>
            <wp:effectExtent l="4445" t="4445" r="13970" b="52705"/>
            <wp:wrapTight wrapText="bothSides">
              <wp:wrapPolygon>
                <wp:start x="-20" y="-42"/>
                <wp:lineTo x="-20" y="21918"/>
                <wp:lineTo x="21578" y="21918"/>
                <wp:lineTo x="21578" y="-42"/>
                <wp:lineTo x="-20" y="-42"/>
              </wp:wrapPolygon>
            </wp:wrapTight>
            <wp:docPr id="5" name="图表 5" descr="7b0a202020202263686172745265734964223a202232303437363738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auto"/>
          <w:sz w:val="32"/>
          <w:szCs w:val="32"/>
          <w:highlight w:val="none"/>
        </w:rPr>
        <w:t>（图5：一般公共预算财政拨款支出决算变动情况）（柱状图）</w:t>
      </w:r>
    </w:p>
    <w:p w14:paraId="5C90D7D4">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（二）一般公共预算财政拨款支出决算结构情况</w:t>
      </w:r>
    </w:p>
    <w:p w14:paraId="65276EE8">
      <w:pPr>
        <w:spacing w:line="600" w:lineRule="exact"/>
        <w:ind w:firstLine="640"/>
        <w:rPr>
          <w:rFonts w:hint="eastAsia" w:ascii="仿宋" w:hAnsi="仿宋" w:eastAsia="仿宋"/>
          <w:b/>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一般公共预算财政拨款支出</w:t>
      </w:r>
      <w:r>
        <w:rPr>
          <w:rFonts w:hint="eastAsia" w:ascii="仿宋" w:hAnsi="仿宋" w:eastAsia="仿宋"/>
          <w:color w:val="auto"/>
          <w:sz w:val="32"/>
          <w:szCs w:val="32"/>
          <w:highlight w:val="none"/>
          <w:lang w:val="en-US" w:eastAsia="zh-CN"/>
        </w:rPr>
        <w:t>155.067584</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142.812784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92.1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7.7172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4.98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0.5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0.32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4.0376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038B4996">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14:paraId="370EA3AA">
      <w:pPr>
        <w:spacing w:line="600" w:lineRule="exact"/>
        <w:ind w:firstLine="640" w:firstLineChars="200"/>
        <w:rPr>
          <w:rFonts w:hint="eastAsia" w:ascii="仿宋" w:hAnsi="仿宋" w:eastAsia="仿宋"/>
          <w:color w:val="auto"/>
          <w:sz w:val="32"/>
          <w:szCs w:val="32"/>
          <w:highlight w:val="none"/>
          <w:lang w:eastAsia="zh-CN"/>
        </w:rPr>
      </w:pPr>
    </w:p>
    <w:p w14:paraId="71166074">
      <w:pPr>
        <w:spacing w:line="600" w:lineRule="exact"/>
        <w:ind w:firstLine="640" w:firstLineChars="200"/>
        <w:rPr>
          <w:rFonts w:hint="eastAsia" w:ascii="仿宋" w:hAnsi="仿宋" w:eastAsia="仿宋"/>
          <w:color w:val="auto"/>
          <w:sz w:val="32"/>
          <w:szCs w:val="32"/>
          <w:highlight w:val="none"/>
          <w:lang w:eastAsia="zh-CN"/>
        </w:rPr>
      </w:pPr>
      <w:r>
        <w:rPr>
          <w:rFonts w:ascii="仿宋_GB2312" w:eastAsia="仿宋_GB2312"/>
          <w:sz w:val="32"/>
          <w:szCs w:val="32"/>
        </w:rPr>
        <w:drawing>
          <wp:anchor distT="0" distB="0" distL="114300" distR="114300" simplePos="0" relativeHeight="251664384" behindDoc="0" locked="0" layoutInCell="1" allowOverlap="1">
            <wp:simplePos x="0" y="0"/>
            <wp:positionH relativeFrom="column">
              <wp:posOffset>71120</wp:posOffset>
            </wp:positionH>
            <wp:positionV relativeFrom="paragraph">
              <wp:posOffset>137795</wp:posOffset>
            </wp:positionV>
            <wp:extent cx="5298440" cy="2512695"/>
            <wp:effectExtent l="4445" t="4445" r="12065" b="1651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65FA9949">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（三）一般公共预算财政拨款支出决算具体情况</w:t>
      </w:r>
    </w:p>
    <w:p w14:paraId="41464508">
      <w:pPr>
        <w:spacing w:line="600" w:lineRule="exact"/>
        <w:ind w:firstLine="643" w:firstLineChars="200"/>
        <w:outlineLvl w:val="2"/>
        <w:rPr>
          <w:rFonts w:ascii="仿宋" w:hAnsi="仿宋" w:eastAsia="仿宋"/>
          <w:color w:val="auto"/>
          <w:sz w:val="32"/>
          <w:szCs w:val="32"/>
          <w:highlight w:val="none"/>
        </w:rPr>
      </w:pPr>
      <w:r>
        <w:rPr>
          <w:rFonts w:hint="eastAsia" w:ascii="仿宋" w:hAnsi="仿宋" w:eastAsia="仿宋"/>
          <w:b/>
          <w:color w:val="auto"/>
          <w:sz w:val="32"/>
          <w:szCs w:val="32"/>
          <w:highlight w:val="none"/>
          <w:lang w:eastAsia="zh-CN"/>
        </w:rPr>
        <w:t>2023</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度一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lang w:val="en-US" w:eastAsia="zh-CN"/>
        </w:rPr>
        <w:t>155.067584</w:t>
      </w:r>
      <w:r>
        <w:rPr>
          <w:rFonts w:hint="eastAsia" w:ascii="仿宋" w:hAnsi="仿宋" w:eastAsia="仿宋"/>
          <w:color w:val="auto"/>
          <w:sz w:val="32"/>
          <w:szCs w:val="32"/>
          <w:highlight w:val="none"/>
        </w:rPr>
        <w:t>，</w:t>
      </w:r>
      <w:r>
        <w:rPr>
          <w:rStyle w:val="13"/>
          <w:rFonts w:hint="eastAsia" w:ascii="仿宋" w:hAnsi="仿宋" w:eastAsia="仿宋" w:cs="Times New Roman"/>
          <w:bCs/>
          <w:color w:val="auto"/>
          <w:sz w:val="32"/>
          <w:szCs w:val="32"/>
          <w:highlight w:val="none"/>
          <w:lang w:val="en-US" w:eastAsia="zh-CN"/>
        </w:rPr>
        <w:t>全年预算数为</w:t>
      </w:r>
      <w:r>
        <w:rPr>
          <w:rFonts w:hint="eastAsia" w:ascii="仿宋" w:hAnsi="仿宋" w:eastAsia="仿宋"/>
          <w:color w:val="auto"/>
          <w:sz w:val="32"/>
          <w:szCs w:val="32"/>
          <w:highlight w:val="none"/>
          <w:lang w:val="en-US" w:eastAsia="zh-CN"/>
        </w:rPr>
        <w:t>155.067584，</w:t>
      </w:r>
      <w:r>
        <w:rPr>
          <w:rStyle w:val="13"/>
          <w:rFonts w:hint="eastAsia" w:ascii="仿宋" w:hAnsi="仿宋" w:eastAsia="仿宋"/>
          <w:bCs/>
          <w:color w:val="auto"/>
          <w:sz w:val="32"/>
          <w:szCs w:val="32"/>
          <w:highlight w:val="none"/>
        </w:rPr>
        <w:t>完成预算</w:t>
      </w:r>
      <w:r>
        <w:rPr>
          <w:rFonts w:hint="eastAsia" w:ascii="仿宋" w:hAnsi="仿宋" w:eastAsia="仿宋" w:cs="Times New Roman"/>
          <w:color w:val="auto"/>
          <w:sz w:val="32"/>
          <w:szCs w:val="32"/>
          <w:highlight w:val="none"/>
          <w:lang w:val="en-US" w:eastAsia="zh-CN"/>
        </w:rPr>
        <w:t>100%。</w:t>
      </w:r>
      <w:r>
        <w:rPr>
          <w:rStyle w:val="13"/>
          <w:rFonts w:hint="eastAsia" w:ascii="仿宋" w:hAnsi="仿宋" w:eastAsia="仿宋"/>
          <w:bCs/>
          <w:color w:val="auto"/>
          <w:sz w:val="32"/>
          <w:szCs w:val="32"/>
          <w:highlight w:val="none"/>
        </w:rPr>
        <w:t>其中：</w:t>
      </w:r>
    </w:p>
    <w:p w14:paraId="0107AC12">
      <w:pPr>
        <w:spacing w:line="600" w:lineRule="exact"/>
        <w:ind w:firstLine="643" w:firstLineChars="200"/>
        <w:rPr>
          <w:rFonts w:ascii="仿宋" w:hAnsi="仿宋" w:eastAsia="仿宋"/>
          <w:b/>
          <w:color w:val="auto"/>
          <w:sz w:val="32"/>
          <w:szCs w:val="32"/>
          <w:highlight w:val="none"/>
        </w:rPr>
      </w:pPr>
      <w:r>
        <w:rPr>
          <w:rStyle w:val="13"/>
          <w:rFonts w:ascii="仿宋" w:hAnsi="仿宋" w:eastAsia="仿宋"/>
          <w:bCs/>
          <w:color w:val="auto"/>
          <w:sz w:val="32"/>
          <w:szCs w:val="32"/>
          <w:highlight w:val="none"/>
        </w:rPr>
        <w:t>1.</w:t>
      </w:r>
      <w:r>
        <w:rPr>
          <w:rStyle w:val="13"/>
          <w:rFonts w:hint="eastAsia" w:ascii="仿宋" w:hAnsi="仿宋" w:eastAsia="仿宋"/>
          <w:bCs/>
          <w:color w:val="auto"/>
          <w:sz w:val="32"/>
          <w:szCs w:val="32"/>
          <w:highlight w:val="none"/>
        </w:rPr>
        <w:t>教育（类）</w:t>
      </w:r>
      <w:r>
        <w:rPr>
          <w:rStyle w:val="13"/>
          <w:rFonts w:hint="eastAsia" w:ascii="仿宋" w:hAnsi="仿宋" w:eastAsia="仿宋"/>
          <w:bCs/>
          <w:color w:val="auto"/>
          <w:sz w:val="32"/>
          <w:szCs w:val="32"/>
          <w:highlight w:val="none"/>
          <w:lang w:val="en-US" w:eastAsia="zh-CN"/>
        </w:rPr>
        <w:t>普通教育</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学前教育</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ascii="仿宋" w:hAnsi="仿宋" w:eastAsia="仿宋"/>
          <w:b w:val="0"/>
          <w:bCs/>
          <w:color w:val="auto"/>
          <w:sz w:val="32"/>
          <w:szCs w:val="32"/>
          <w:highlight w:val="none"/>
        </w:rPr>
        <w:t xml:space="preserve"> </w:t>
      </w:r>
      <w:r>
        <w:rPr>
          <w:rStyle w:val="13"/>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142.812784</w:t>
      </w:r>
      <w:r>
        <w:rPr>
          <w:rStyle w:val="13"/>
          <w:rFonts w:hint="eastAsia" w:ascii="仿宋" w:hAnsi="仿宋" w:eastAsia="仿宋"/>
          <w:b w:val="0"/>
          <w:bCs/>
          <w:color w:val="auto"/>
          <w:sz w:val="32"/>
          <w:szCs w:val="32"/>
          <w:highlight w:val="none"/>
        </w:rPr>
        <w:t>万元，</w:t>
      </w:r>
      <w:r>
        <w:rPr>
          <w:rStyle w:val="13"/>
          <w:rFonts w:hint="eastAsia" w:ascii="仿宋" w:hAnsi="仿宋" w:eastAsia="仿宋"/>
          <w:b w:val="0"/>
          <w:bCs/>
          <w:color w:val="auto"/>
          <w:sz w:val="32"/>
          <w:szCs w:val="32"/>
          <w:highlight w:val="none"/>
          <w:lang w:val="en-US" w:eastAsia="zh-CN"/>
        </w:rPr>
        <w:t>全年预算为142.812784万元，</w:t>
      </w:r>
      <w:r>
        <w:rPr>
          <w:rStyle w:val="13"/>
          <w:rFonts w:hint="eastAsia" w:ascii="仿宋" w:hAnsi="仿宋" w:eastAsia="仿宋"/>
          <w:b w:val="0"/>
          <w:bCs/>
          <w:color w:val="auto"/>
          <w:sz w:val="32"/>
          <w:szCs w:val="32"/>
          <w:highlight w:val="none"/>
        </w:rPr>
        <w:t>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val="en-US" w:eastAsia="zh-CN"/>
        </w:rPr>
        <w:t>全年持平</w:t>
      </w:r>
      <w:r>
        <w:rPr>
          <w:rStyle w:val="13"/>
          <w:rFonts w:hint="eastAsia" w:ascii="仿宋" w:hAnsi="仿宋" w:eastAsia="仿宋"/>
          <w:b w:val="0"/>
          <w:bCs/>
          <w:color w:val="auto"/>
          <w:sz w:val="32"/>
          <w:szCs w:val="32"/>
          <w:highlight w:val="none"/>
        </w:rPr>
        <w:t>。</w:t>
      </w:r>
    </w:p>
    <w:p w14:paraId="3386B4BA">
      <w:pPr>
        <w:spacing w:line="600" w:lineRule="exact"/>
        <w:ind w:firstLine="643" w:firstLineChars="200"/>
        <w:rPr>
          <w:rFonts w:ascii="仿宋" w:hAnsi="仿宋" w:eastAsia="仿宋"/>
          <w:b/>
          <w:color w:val="auto"/>
          <w:sz w:val="32"/>
          <w:szCs w:val="32"/>
          <w:highlight w:val="none"/>
        </w:rPr>
      </w:pPr>
      <w:r>
        <w:rPr>
          <w:rStyle w:val="13"/>
          <w:rFonts w:hint="eastAsia" w:ascii="仿宋" w:hAnsi="仿宋" w:eastAsia="仿宋"/>
          <w:bCs/>
          <w:color w:val="auto"/>
          <w:sz w:val="32"/>
          <w:szCs w:val="32"/>
          <w:highlight w:val="none"/>
          <w:lang w:val="en-US" w:eastAsia="zh-CN"/>
        </w:rPr>
        <w:t>2</w:t>
      </w:r>
      <w:r>
        <w:rPr>
          <w:rStyle w:val="13"/>
          <w:rFonts w:ascii="仿宋" w:hAnsi="仿宋" w:eastAsia="仿宋"/>
          <w:bCs/>
          <w:color w:val="auto"/>
          <w:sz w:val="32"/>
          <w:szCs w:val="32"/>
          <w:highlight w:val="none"/>
        </w:rPr>
        <w:t>.</w:t>
      </w:r>
      <w:r>
        <w:rPr>
          <w:rStyle w:val="13"/>
          <w:rFonts w:hint="eastAsia" w:ascii="仿宋" w:hAnsi="仿宋" w:eastAsia="仿宋"/>
          <w:bCs/>
          <w:color w:val="auto"/>
          <w:sz w:val="32"/>
          <w:szCs w:val="32"/>
          <w:highlight w:val="none"/>
        </w:rPr>
        <w:t>社会保障和就业（类）</w:t>
      </w:r>
      <w:r>
        <w:rPr>
          <w:rStyle w:val="13"/>
          <w:rFonts w:ascii="仿宋" w:hAnsi="仿宋" w:eastAsia="仿宋"/>
          <w:bCs/>
          <w:color w:val="auto"/>
          <w:sz w:val="32"/>
          <w:szCs w:val="32"/>
          <w:highlight w:val="none"/>
        </w:rPr>
        <w:t>:</w:t>
      </w:r>
      <w:r>
        <w:rPr>
          <w:rStyle w:val="13"/>
          <w:rFonts w:ascii="仿宋" w:hAnsi="仿宋" w:eastAsia="仿宋"/>
          <w:b w:val="0"/>
          <w:bCs/>
          <w:color w:val="auto"/>
          <w:sz w:val="32"/>
          <w:szCs w:val="32"/>
          <w:highlight w:val="none"/>
        </w:rPr>
        <w:t xml:space="preserve"> </w:t>
      </w:r>
      <w:r>
        <w:rPr>
          <w:rStyle w:val="13"/>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7.7172</w:t>
      </w:r>
      <w:r>
        <w:rPr>
          <w:rStyle w:val="13"/>
          <w:rFonts w:hint="eastAsia" w:ascii="仿宋" w:hAnsi="仿宋" w:eastAsia="仿宋"/>
          <w:b w:val="0"/>
          <w:bCs/>
          <w:color w:val="auto"/>
          <w:sz w:val="32"/>
          <w:szCs w:val="32"/>
          <w:highlight w:val="none"/>
        </w:rPr>
        <w:t>万元，</w:t>
      </w:r>
      <w:r>
        <w:rPr>
          <w:rStyle w:val="13"/>
          <w:rFonts w:hint="eastAsia" w:ascii="仿宋" w:hAnsi="仿宋" w:eastAsia="仿宋"/>
          <w:b w:val="0"/>
          <w:bCs/>
          <w:color w:val="auto"/>
          <w:sz w:val="32"/>
          <w:szCs w:val="32"/>
          <w:highlight w:val="none"/>
          <w:lang w:val="en-US" w:eastAsia="zh-CN"/>
        </w:rPr>
        <w:t>全年预算为7.7172万元，</w:t>
      </w:r>
      <w:r>
        <w:rPr>
          <w:rStyle w:val="13"/>
          <w:rFonts w:hint="eastAsia" w:ascii="仿宋" w:hAnsi="仿宋" w:eastAsia="仿宋"/>
          <w:b w:val="0"/>
          <w:bCs/>
          <w:color w:val="auto"/>
          <w:sz w:val="32"/>
          <w:szCs w:val="32"/>
          <w:highlight w:val="none"/>
        </w:rPr>
        <w:t>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val="en-US" w:eastAsia="zh-CN"/>
        </w:rPr>
        <w:t>全年持平</w:t>
      </w:r>
      <w:r>
        <w:rPr>
          <w:rStyle w:val="13"/>
          <w:rFonts w:hint="eastAsia" w:ascii="仿宋" w:hAnsi="仿宋" w:eastAsia="仿宋"/>
          <w:b w:val="0"/>
          <w:bCs/>
          <w:color w:val="auto"/>
          <w:sz w:val="32"/>
          <w:szCs w:val="32"/>
          <w:highlight w:val="none"/>
        </w:rPr>
        <w:t>。</w:t>
      </w:r>
    </w:p>
    <w:p w14:paraId="5EABB610">
      <w:pPr>
        <w:spacing w:line="600" w:lineRule="exact"/>
        <w:ind w:firstLine="643" w:firstLineChars="200"/>
        <w:rPr>
          <w:rFonts w:ascii="仿宋" w:hAnsi="仿宋" w:eastAsia="仿宋"/>
          <w:b/>
          <w:color w:val="auto"/>
          <w:sz w:val="32"/>
          <w:szCs w:val="32"/>
          <w:highlight w:val="none"/>
        </w:rPr>
      </w:pPr>
      <w:r>
        <w:rPr>
          <w:rStyle w:val="13"/>
          <w:rFonts w:hint="eastAsia" w:ascii="仿宋" w:hAnsi="仿宋" w:eastAsia="仿宋"/>
          <w:bCs/>
          <w:color w:val="auto"/>
          <w:sz w:val="32"/>
          <w:szCs w:val="32"/>
          <w:highlight w:val="none"/>
          <w:lang w:val="en-US" w:eastAsia="zh-CN"/>
        </w:rPr>
        <w:t>3</w:t>
      </w:r>
      <w:r>
        <w:rPr>
          <w:rStyle w:val="13"/>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3"/>
          <w:rFonts w:hint="eastAsia" w:ascii="仿宋" w:hAnsi="仿宋" w:eastAsia="仿宋"/>
          <w:bCs/>
          <w:color w:val="auto"/>
          <w:sz w:val="32"/>
          <w:szCs w:val="32"/>
          <w:highlight w:val="none"/>
        </w:rPr>
        <w:t>（类）</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0.5</w:t>
      </w:r>
      <w:r>
        <w:rPr>
          <w:rStyle w:val="13"/>
          <w:rFonts w:hint="eastAsia" w:ascii="仿宋" w:hAnsi="仿宋" w:eastAsia="仿宋"/>
          <w:b w:val="0"/>
          <w:bCs/>
          <w:color w:val="auto"/>
          <w:sz w:val="32"/>
          <w:szCs w:val="32"/>
          <w:highlight w:val="none"/>
        </w:rPr>
        <w:t>万元，</w:t>
      </w:r>
      <w:r>
        <w:rPr>
          <w:rStyle w:val="13"/>
          <w:rFonts w:hint="eastAsia" w:ascii="仿宋" w:hAnsi="仿宋" w:eastAsia="仿宋"/>
          <w:b w:val="0"/>
          <w:bCs/>
          <w:color w:val="auto"/>
          <w:sz w:val="32"/>
          <w:szCs w:val="32"/>
          <w:highlight w:val="none"/>
          <w:lang w:val="en-US" w:eastAsia="zh-CN"/>
        </w:rPr>
        <w:t>全年预算为0.5万元，</w:t>
      </w:r>
      <w:r>
        <w:rPr>
          <w:rStyle w:val="13"/>
          <w:rFonts w:hint="eastAsia" w:ascii="仿宋" w:hAnsi="仿宋" w:eastAsia="仿宋"/>
          <w:b w:val="0"/>
          <w:bCs/>
          <w:color w:val="auto"/>
          <w:sz w:val="32"/>
          <w:szCs w:val="32"/>
          <w:highlight w:val="none"/>
        </w:rPr>
        <w:t>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val="en-US" w:eastAsia="zh-CN"/>
        </w:rPr>
        <w:t>全年持平</w:t>
      </w:r>
      <w:r>
        <w:rPr>
          <w:rStyle w:val="13"/>
          <w:rFonts w:hint="eastAsia" w:ascii="仿宋" w:hAnsi="仿宋" w:eastAsia="仿宋"/>
          <w:b w:val="0"/>
          <w:bCs/>
          <w:color w:val="auto"/>
          <w:sz w:val="32"/>
          <w:szCs w:val="32"/>
          <w:highlight w:val="none"/>
        </w:rPr>
        <w:t>。</w:t>
      </w:r>
    </w:p>
    <w:p w14:paraId="70932CA4">
      <w:pPr>
        <w:spacing w:line="600" w:lineRule="exact"/>
        <w:ind w:firstLine="643" w:firstLineChars="200"/>
        <w:rPr>
          <w:rFonts w:hint="default" w:ascii="仿宋" w:hAnsi="仿宋" w:eastAsia="仿宋"/>
          <w:color w:val="auto"/>
          <w:sz w:val="32"/>
          <w:szCs w:val="32"/>
          <w:highlight w:val="none"/>
          <w:lang w:val="en-US" w:eastAsia="zh-CN"/>
        </w:rPr>
      </w:pPr>
      <w:r>
        <w:rPr>
          <w:rStyle w:val="13"/>
          <w:rFonts w:hint="eastAsia" w:ascii="仿宋" w:hAnsi="仿宋" w:eastAsia="仿宋" w:cs="Times New Roman"/>
          <w:bCs/>
          <w:color w:val="auto"/>
          <w:sz w:val="32"/>
          <w:szCs w:val="32"/>
          <w:highlight w:val="none"/>
          <w:lang w:val="en-US" w:eastAsia="zh-CN"/>
        </w:rPr>
        <w:t>4.住房保障（类）：</w:t>
      </w:r>
      <w:r>
        <w:rPr>
          <w:rStyle w:val="13"/>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4.0376</w:t>
      </w:r>
      <w:r>
        <w:rPr>
          <w:rStyle w:val="13"/>
          <w:rFonts w:hint="eastAsia" w:ascii="仿宋" w:hAnsi="仿宋" w:eastAsia="仿宋"/>
          <w:b w:val="0"/>
          <w:bCs/>
          <w:color w:val="auto"/>
          <w:sz w:val="32"/>
          <w:szCs w:val="32"/>
          <w:highlight w:val="none"/>
        </w:rPr>
        <w:t>万元</w:t>
      </w:r>
      <w:r>
        <w:rPr>
          <w:rStyle w:val="13"/>
          <w:rFonts w:hint="eastAsia" w:ascii="仿宋" w:hAnsi="仿宋" w:eastAsia="仿宋"/>
          <w:b w:val="0"/>
          <w:bCs/>
          <w:color w:val="auto"/>
          <w:sz w:val="32"/>
          <w:szCs w:val="32"/>
          <w:highlight w:val="none"/>
          <w:lang w:eastAsia="zh-CN"/>
        </w:rPr>
        <w:t>，</w:t>
      </w:r>
      <w:r>
        <w:rPr>
          <w:rStyle w:val="13"/>
          <w:rFonts w:hint="eastAsia" w:ascii="仿宋" w:hAnsi="仿宋" w:eastAsia="仿宋"/>
          <w:b w:val="0"/>
          <w:bCs/>
          <w:color w:val="auto"/>
          <w:sz w:val="32"/>
          <w:szCs w:val="32"/>
          <w:highlight w:val="none"/>
          <w:lang w:val="en-US" w:eastAsia="zh-CN"/>
        </w:rPr>
        <w:t>全年预算为4.0376万元，</w:t>
      </w:r>
      <w:r>
        <w:rPr>
          <w:rStyle w:val="13"/>
          <w:rFonts w:hint="eastAsia" w:ascii="仿宋" w:hAnsi="仿宋" w:eastAsia="仿宋"/>
          <w:b w:val="0"/>
          <w:bCs/>
          <w:color w:val="auto"/>
          <w:sz w:val="32"/>
          <w:szCs w:val="32"/>
          <w:highlight w:val="none"/>
        </w:rPr>
        <w:t>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val="en-US" w:eastAsia="zh-CN"/>
        </w:rPr>
        <w:t>全年持平</w:t>
      </w:r>
      <w:r>
        <w:rPr>
          <w:rStyle w:val="13"/>
          <w:rFonts w:hint="eastAsia" w:ascii="仿宋" w:hAnsi="仿宋" w:eastAsia="仿宋"/>
          <w:b w:val="0"/>
          <w:bCs/>
          <w:color w:val="auto"/>
          <w:sz w:val="32"/>
          <w:szCs w:val="32"/>
          <w:highlight w:val="none"/>
        </w:rPr>
        <w:t>。</w:t>
      </w:r>
    </w:p>
    <w:p w14:paraId="5488CEE5">
      <w:pPr>
        <w:spacing w:line="600" w:lineRule="exact"/>
        <w:ind w:firstLine="640"/>
        <w:rPr>
          <w:rFonts w:ascii="仿宋" w:hAnsi="仿宋" w:eastAsia="仿宋"/>
          <w:b/>
          <w:color w:val="auto"/>
          <w:sz w:val="32"/>
          <w:szCs w:val="32"/>
          <w:highlight w:val="none"/>
        </w:rPr>
      </w:pPr>
    </w:p>
    <w:p w14:paraId="37CF56D5">
      <w:pPr>
        <w:tabs>
          <w:tab w:val="right" w:pos="8306"/>
        </w:tabs>
        <w:spacing w:line="600" w:lineRule="exact"/>
        <w:ind w:firstLine="640"/>
        <w:outlineLvl w:val="1"/>
        <w:rPr>
          <w:rStyle w:val="15"/>
          <w:color w:val="FF0000"/>
          <w:highlight w:val="none"/>
        </w:rPr>
      </w:pPr>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15"/>
          <w:rFonts w:hint="eastAsia" w:ascii="黑体" w:hAnsi="黑体" w:eastAsia="黑体"/>
          <w:b w:val="0"/>
          <w:color w:val="auto"/>
          <w:highlight w:val="none"/>
        </w:rPr>
        <w:t>般公共预算财政拨款基本支出决算情况说明</w:t>
      </w:r>
      <w:r>
        <w:rPr>
          <w:rStyle w:val="15"/>
          <w:rFonts w:ascii="黑体" w:hAnsi="黑体" w:eastAsia="黑体"/>
          <w:b w:val="0"/>
          <w:color w:val="FF0000"/>
          <w:highlight w:val="none"/>
        </w:rPr>
        <w:tab/>
      </w:r>
    </w:p>
    <w:p w14:paraId="49789D9F">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一般公共预算财政拨款基本支出</w:t>
      </w:r>
      <w:r>
        <w:rPr>
          <w:rFonts w:hint="eastAsia" w:ascii="仿宋" w:hAnsi="仿宋" w:eastAsia="仿宋"/>
          <w:color w:val="auto"/>
          <w:sz w:val="32"/>
          <w:szCs w:val="32"/>
          <w:highlight w:val="none"/>
          <w:lang w:val="en-US" w:eastAsia="zh-CN"/>
        </w:rPr>
        <w:t>136.110515</w:t>
      </w:r>
      <w:r>
        <w:rPr>
          <w:rFonts w:hint="eastAsia" w:ascii="仿宋" w:hAnsi="仿宋" w:eastAsia="仿宋"/>
          <w:color w:val="auto"/>
          <w:sz w:val="32"/>
          <w:szCs w:val="32"/>
          <w:highlight w:val="none"/>
        </w:rPr>
        <w:t>万元，其中：</w:t>
      </w:r>
    </w:p>
    <w:p w14:paraId="1F1E7820">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60.322634</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75.787881</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7C5A06B0">
      <w:pPr>
        <w:spacing w:line="600" w:lineRule="exact"/>
        <w:ind w:firstLine="640"/>
        <w:rPr>
          <w:rFonts w:ascii="仿宋" w:hAnsi="仿宋" w:eastAsia="仿宋"/>
          <w:b/>
          <w:color w:val="auto"/>
          <w:sz w:val="32"/>
          <w:szCs w:val="32"/>
          <w:highlight w:val="none"/>
        </w:rPr>
      </w:pPr>
    </w:p>
    <w:p w14:paraId="74B8A4DE">
      <w:pPr>
        <w:spacing w:line="600" w:lineRule="exact"/>
        <w:ind w:firstLine="640"/>
        <w:outlineLvl w:val="1"/>
        <w:rPr>
          <w:rStyle w:val="15"/>
          <w:rFonts w:ascii="黑体" w:hAnsi="黑体" w:eastAsia="黑体"/>
          <w:b w:val="0"/>
          <w:color w:val="auto"/>
          <w:highlight w:val="none"/>
        </w:rPr>
      </w:pPr>
      <w:r>
        <w:rPr>
          <w:rFonts w:hint="eastAsia" w:ascii="黑体" w:eastAsia="黑体"/>
          <w:color w:val="auto"/>
          <w:sz w:val="32"/>
          <w:szCs w:val="32"/>
          <w:highlight w:val="none"/>
        </w:rPr>
        <w:t>七、</w:t>
      </w:r>
      <w:r>
        <w:rPr>
          <w:rStyle w:val="15"/>
          <w:rFonts w:hint="eastAsia" w:ascii="黑体" w:hAnsi="黑体" w:eastAsia="黑体"/>
          <w:b w:val="0"/>
          <w:color w:val="auto"/>
          <w:highlight w:val="none"/>
        </w:rPr>
        <w:t>财政拨款</w:t>
      </w:r>
      <w:r>
        <w:rPr>
          <w:rStyle w:val="15"/>
          <w:rFonts w:hint="eastAsia" w:ascii="黑体" w:hAnsi="黑体" w:eastAsia="黑体"/>
          <w:color w:val="auto"/>
          <w:highlight w:val="none"/>
        </w:rPr>
        <w:t>“</w:t>
      </w:r>
      <w:r>
        <w:rPr>
          <w:rStyle w:val="15"/>
          <w:rFonts w:hint="eastAsia" w:ascii="黑体" w:hAnsi="黑体" w:eastAsia="黑体"/>
          <w:b w:val="0"/>
          <w:color w:val="auto"/>
          <w:highlight w:val="none"/>
        </w:rPr>
        <w:t>三公”经费支出决算情况说明</w:t>
      </w:r>
    </w:p>
    <w:p w14:paraId="4247E842">
      <w:pPr>
        <w:spacing w:line="600" w:lineRule="exact"/>
        <w:ind w:firstLine="64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（一）“三公”经费财政拨款支出决算总体情况说明</w:t>
      </w:r>
    </w:p>
    <w:p w14:paraId="22091BEE">
      <w:pPr>
        <w:spacing w:line="600" w:lineRule="exact"/>
        <w:ind w:firstLine="640"/>
        <w:rPr>
          <w:rFonts w:ascii="仿宋" w:hAnsi="仿宋" w:eastAsia="仿宋"/>
          <w:b/>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较上年数据持平，</w:t>
      </w:r>
      <w:r>
        <w:rPr>
          <w:rFonts w:hint="eastAsia" w:ascii="仿宋" w:hAnsi="仿宋" w:eastAsia="仿宋"/>
          <w:color w:val="auto"/>
          <w:sz w:val="32"/>
          <w:szCs w:val="32"/>
          <w:highlight w:val="none"/>
        </w:rPr>
        <w:t>主要原因是</w:t>
      </w:r>
      <w:r>
        <w:rPr>
          <w:rFonts w:hint="eastAsia" w:ascii="仿宋" w:hAnsi="仿宋" w:eastAsia="仿宋"/>
          <w:color w:val="auto"/>
          <w:sz w:val="32"/>
          <w:szCs w:val="32"/>
          <w:highlight w:val="none"/>
          <w:lang w:val="en-US" w:eastAsia="zh-CN"/>
        </w:rPr>
        <w:t>新建学校全年未做三公经费支出</w:t>
      </w:r>
      <w:r>
        <w:rPr>
          <w:rFonts w:hint="eastAsia" w:ascii="仿宋" w:hAnsi="仿宋" w:eastAsia="仿宋"/>
          <w:color w:val="auto"/>
          <w:sz w:val="32"/>
          <w:szCs w:val="32"/>
          <w:highlight w:val="none"/>
        </w:rPr>
        <w:t>。</w:t>
      </w:r>
    </w:p>
    <w:p w14:paraId="5AC40930">
      <w:pPr>
        <w:spacing w:line="600" w:lineRule="exact"/>
        <w:ind w:firstLine="64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（二）“三公”经费财政拨款支出决算具体情况说明</w:t>
      </w:r>
    </w:p>
    <w:p w14:paraId="16290813">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002B8B50">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Style w:val="13"/>
          <w:rFonts w:hint="eastAsia" w:ascii="仿宋" w:hAnsi="仿宋" w:eastAsia="仿宋"/>
          <w:b w:val="0"/>
          <w:bCs/>
          <w:color w:val="auto"/>
          <w:sz w:val="32"/>
          <w:szCs w:val="32"/>
          <w:highlight w:val="none"/>
        </w:rPr>
        <w:t>完成预算</w:t>
      </w:r>
      <w:r>
        <w:rPr>
          <w:rStyle w:val="13"/>
          <w:rFonts w:hint="eastAsia" w:ascii="仿宋" w:hAnsi="仿宋" w:eastAsia="仿宋"/>
          <w:b w:val="0"/>
          <w:bCs/>
          <w:color w:val="auto"/>
          <w:sz w:val="32"/>
          <w:szCs w:val="32"/>
          <w:highlight w:val="none"/>
          <w:lang w:val="en-US" w:eastAsia="zh-CN"/>
        </w:rPr>
        <w:t>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组次，出国（境）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val="en-US" w:eastAsia="zh-CN"/>
        </w:rPr>
        <w:t>较上年数据持平</w:t>
      </w:r>
      <w:r>
        <w:rPr>
          <w:rFonts w:hint="eastAsia" w:ascii="仿宋_GB2312" w:eastAsia="仿宋_GB2312"/>
          <w:color w:val="auto"/>
          <w:sz w:val="32"/>
          <w:szCs w:val="32"/>
          <w:highlight w:val="none"/>
        </w:rPr>
        <w:t>。</w:t>
      </w:r>
    </w:p>
    <w:p w14:paraId="1BB027E0">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较上年数据持平</w:t>
      </w:r>
      <w:r>
        <w:rPr>
          <w:rFonts w:hint="eastAsia" w:ascii="仿宋_GB2312" w:eastAsia="仿宋_GB2312"/>
          <w:color w:val="auto"/>
          <w:sz w:val="32"/>
          <w:szCs w:val="32"/>
          <w:highlight w:val="none"/>
        </w:rPr>
        <w:t>。</w:t>
      </w:r>
    </w:p>
    <w:p w14:paraId="533E1F75">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31日</w:t>
      </w:r>
      <w:r>
        <w:rPr>
          <w:rFonts w:hint="eastAsia" w:ascii="仿宋_GB2312" w:eastAsia="仿宋_GB2312"/>
          <w:color w:val="auto"/>
          <w:sz w:val="32"/>
          <w:szCs w:val="32"/>
          <w:highlight w:val="none"/>
        </w:rPr>
        <w:t>，单位共有公务用车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79F252B7">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2F1DE54B">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较上年数据持平</w:t>
      </w:r>
      <w:r>
        <w:rPr>
          <w:rFonts w:hint="eastAsia" w:ascii="仿宋_GB2312" w:eastAsia="仿宋_GB2312"/>
          <w:color w:val="auto"/>
          <w:sz w:val="32"/>
          <w:szCs w:val="32"/>
          <w:highlight w:val="none"/>
        </w:rPr>
        <w:t>。其中：</w:t>
      </w:r>
    </w:p>
    <w:p w14:paraId="63B0E8ED">
      <w:pPr>
        <w:spacing w:line="600" w:lineRule="exact"/>
        <w:ind w:firstLine="64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14:paraId="2F3ECB23">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03F15D61">
      <w:pPr>
        <w:spacing w:line="600" w:lineRule="exact"/>
        <w:ind w:firstLine="640"/>
        <w:outlineLvl w:val="1"/>
        <w:rPr>
          <w:rFonts w:ascii="黑体" w:eastAsia="黑体"/>
          <w:color w:val="auto"/>
          <w:sz w:val="32"/>
          <w:szCs w:val="32"/>
          <w:highlight w:val="none"/>
        </w:rPr>
      </w:pPr>
    </w:p>
    <w:p w14:paraId="400C5C9B">
      <w:pPr>
        <w:spacing w:line="600" w:lineRule="exact"/>
        <w:ind w:firstLine="640"/>
        <w:outlineLvl w:val="1"/>
        <w:rPr>
          <w:rStyle w:val="15"/>
          <w:rFonts w:ascii="黑体" w:hAnsi="黑体" w:eastAsia="黑体"/>
          <w:color w:val="auto"/>
          <w:highlight w:val="none"/>
        </w:rPr>
      </w:pPr>
      <w:r>
        <w:rPr>
          <w:rFonts w:hint="eastAsia" w:ascii="黑体" w:eastAsia="黑体"/>
          <w:color w:val="auto"/>
          <w:sz w:val="32"/>
          <w:szCs w:val="32"/>
          <w:highlight w:val="none"/>
        </w:rPr>
        <w:t>八、</w:t>
      </w:r>
      <w:r>
        <w:rPr>
          <w:rStyle w:val="15"/>
          <w:rFonts w:hint="eastAsia" w:ascii="黑体" w:hAnsi="黑体" w:eastAsia="黑体"/>
          <w:b w:val="0"/>
          <w:color w:val="auto"/>
          <w:highlight w:val="none"/>
        </w:rPr>
        <w:t>政府性基金预算支出决算情况说明</w:t>
      </w:r>
    </w:p>
    <w:p w14:paraId="7DFB8E6B">
      <w:pPr>
        <w:spacing w:line="600" w:lineRule="exact"/>
        <w:ind w:firstLine="640"/>
        <w:rPr>
          <w:rFonts w:hint="eastAsia"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与2022年决算持平。</w:t>
      </w:r>
    </w:p>
    <w:p w14:paraId="33320D65">
      <w:pPr>
        <w:pStyle w:val="2"/>
        <w:rPr>
          <w:rFonts w:hint="default"/>
          <w:lang w:val="en-US"/>
        </w:rPr>
      </w:pPr>
    </w:p>
    <w:p w14:paraId="1780DA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15"/>
          <w:rFonts w:ascii="黑体" w:hAnsi="黑体" w:eastAsia="黑体"/>
          <w:b w:val="0"/>
          <w:color w:val="auto"/>
          <w:highlight w:val="none"/>
        </w:rPr>
      </w:pPr>
      <w:r>
        <w:rPr>
          <w:rStyle w:val="15"/>
          <w:rFonts w:hint="eastAsia" w:ascii="黑体" w:hAnsi="黑体" w:eastAsia="黑体"/>
          <w:b w:val="0"/>
          <w:color w:val="auto"/>
          <w:highlight w:val="none"/>
          <w:lang w:eastAsia="zh-CN"/>
        </w:rPr>
        <w:t>九、</w:t>
      </w:r>
      <w:r>
        <w:rPr>
          <w:rStyle w:val="15"/>
          <w:rFonts w:hint="eastAsia" w:ascii="黑体" w:hAnsi="黑体" w:eastAsia="黑体"/>
          <w:b w:val="0"/>
          <w:color w:val="auto"/>
          <w:highlight w:val="none"/>
        </w:rPr>
        <w:t>国有资本经营预算支出决算情况说明</w:t>
      </w:r>
    </w:p>
    <w:p w14:paraId="2A32A3B8">
      <w:pPr>
        <w:spacing w:line="600" w:lineRule="exact"/>
        <w:ind w:firstLine="640"/>
        <w:rPr>
          <w:rFonts w:hint="default"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与2022年决算持平。</w:t>
      </w:r>
    </w:p>
    <w:p w14:paraId="53290527">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center"/>
        <w:textAlignment w:val="auto"/>
        <w:rPr>
          <w:rFonts w:ascii="方正小标宋简体" w:hAnsi="方正小标宋简体" w:eastAsia="方正小标宋简体" w:cs="方正小标宋简体"/>
          <w:color w:val="auto"/>
          <w:sz w:val="44"/>
          <w:szCs w:val="44"/>
          <w:highlight w:val="none"/>
        </w:rPr>
      </w:pPr>
    </w:p>
    <w:p w14:paraId="5D6E97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15"/>
          <w:rFonts w:hint="eastAsia" w:ascii="黑体" w:hAnsi="黑体" w:eastAsia="黑体"/>
          <w:b w:val="0"/>
          <w:color w:val="auto"/>
          <w:highlight w:val="none"/>
        </w:rPr>
      </w:pPr>
      <w:r>
        <w:rPr>
          <w:rStyle w:val="15"/>
          <w:rFonts w:hint="eastAsia" w:ascii="黑体" w:hAnsi="黑体" w:eastAsia="黑体"/>
          <w:b w:val="0"/>
          <w:color w:val="auto"/>
          <w:highlight w:val="none"/>
          <w:lang w:eastAsia="zh-CN"/>
        </w:rPr>
        <w:t>十、</w:t>
      </w:r>
      <w:r>
        <w:rPr>
          <w:rStyle w:val="15"/>
          <w:rFonts w:hint="eastAsia" w:ascii="黑体" w:hAnsi="黑体" w:eastAsia="黑体"/>
          <w:b w:val="0"/>
          <w:color w:val="auto"/>
          <w:highlight w:val="none"/>
        </w:rPr>
        <w:t>其他重要事项的情况说明</w:t>
      </w:r>
    </w:p>
    <w:p w14:paraId="3E3D7860">
      <w:pPr>
        <w:spacing w:line="600" w:lineRule="exact"/>
        <w:ind w:firstLine="643" w:firstLineChars="200"/>
        <w:outlineLvl w:val="2"/>
        <w:rPr>
          <w:rFonts w:ascii="仿宋" w:hAnsi="仿宋" w:eastAsia="仿宋"/>
          <w:color w:val="auto"/>
          <w:sz w:val="32"/>
          <w:szCs w:val="32"/>
          <w:highlight w:val="none"/>
        </w:rPr>
      </w:pPr>
      <w:r>
        <w:rPr>
          <w:rFonts w:hint="eastAsia" w:ascii="仿宋" w:hAnsi="仿宋" w:eastAsia="仿宋"/>
          <w:b/>
          <w:color w:val="auto"/>
          <w:sz w:val="32"/>
          <w:szCs w:val="32"/>
          <w:highlight w:val="none"/>
        </w:rPr>
        <w:t>（一）机关运行经费支出情况</w:t>
      </w:r>
    </w:p>
    <w:p w14:paraId="216F23A6">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w:t>
      </w: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决算数持平。</w:t>
      </w:r>
    </w:p>
    <w:p w14:paraId="4B96CD7E">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（二）政府采购支出情况</w:t>
      </w:r>
    </w:p>
    <w:p w14:paraId="067D992F">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02E2BE82">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（三）国有资产占有使用情况</w:t>
      </w:r>
    </w:p>
    <w:p w14:paraId="335BCC79">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eastAsia="zh-CN"/>
        </w:rPr>
        <w:t>（不含车辆）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14:paraId="596CB4B2">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5B00FD43">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根据预算绩效管理要求，本单位在202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年度预算编制阶段，组织对</w:t>
      </w:r>
      <w:r>
        <w:rPr>
          <w:rFonts w:hint="eastAsia" w:ascii="仿宋_GB2312" w:eastAsia="仿宋_GB2312"/>
          <w:color w:val="auto"/>
          <w:sz w:val="32"/>
          <w:szCs w:val="32"/>
          <w:highlight w:val="none"/>
          <w:lang w:val="en-US" w:eastAsia="zh-CN"/>
        </w:rPr>
        <w:t>16个</w:t>
      </w:r>
      <w:r>
        <w:rPr>
          <w:rFonts w:hint="eastAsia" w:ascii="仿宋_GB2312" w:eastAsia="仿宋_GB2312"/>
          <w:color w:val="auto"/>
          <w:sz w:val="32"/>
          <w:szCs w:val="32"/>
          <w:highlight w:val="none"/>
        </w:rPr>
        <w:t>项目开展了预算事前绩效评估，对</w:t>
      </w:r>
      <w:r>
        <w:rPr>
          <w:rFonts w:hint="eastAsia" w:ascii="仿宋_GB2312" w:eastAsia="仿宋_GB2312"/>
          <w:color w:val="auto"/>
          <w:sz w:val="32"/>
          <w:szCs w:val="32"/>
          <w:highlight w:val="none"/>
          <w:lang w:val="en-US" w:eastAsia="zh-CN"/>
        </w:rPr>
        <w:t>16个</w:t>
      </w:r>
      <w:r>
        <w:rPr>
          <w:rFonts w:hint="eastAsia" w:ascii="仿宋_GB2312" w:eastAsia="仿宋_GB2312"/>
          <w:color w:val="auto"/>
          <w:sz w:val="32"/>
          <w:szCs w:val="32"/>
          <w:highlight w:val="none"/>
        </w:rPr>
        <w:t>项目编制了绩效目标，预算执行过程中，</w:t>
      </w:r>
      <w:r>
        <w:rPr>
          <w:rFonts w:hint="eastAsia" w:ascii="仿宋_GB2312" w:eastAsia="仿宋_GB2312"/>
          <w:color w:val="auto"/>
          <w:sz w:val="32"/>
          <w:szCs w:val="32"/>
          <w:highlight w:val="none"/>
          <w:lang w:val="en-US" w:eastAsia="zh-CN"/>
        </w:rPr>
        <w:t>对16个</w:t>
      </w:r>
      <w:r>
        <w:rPr>
          <w:rFonts w:hint="eastAsia" w:ascii="仿宋_GB2312" w:eastAsia="仿宋_GB2312"/>
          <w:color w:val="auto"/>
          <w:sz w:val="32"/>
          <w:szCs w:val="32"/>
          <w:highlight w:val="none"/>
        </w:rPr>
        <w:t>项目开展绩效监控，组织开展绩效自评，绩效自评表详见</w:t>
      </w:r>
      <w:r>
        <w:rPr>
          <w:rFonts w:hint="eastAsia" w:ascii="仿宋_GB2312" w:eastAsia="仿宋_GB2312"/>
          <w:color w:val="auto"/>
          <w:sz w:val="32"/>
          <w:szCs w:val="32"/>
          <w:highlight w:val="none"/>
          <w:lang w:eastAsia="zh-CN"/>
        </w:rPr>
        <w:t>第四部分</w:t>
      </w:r>
      <w:r>
        <w:rPr>
          <w:rFonts w:hint="eastAsia" w:ascii="仿宋_GB2312" w:eastAsia="仿宋_GB2312"/>
          <w:color w:val="auto"/>
          <w:sz w:val="32"/>
          <w:szCs w:val="32"/>
          <w:highlight w:val="none"/>
        </w:rPr>
        <w:t>附件。</w:t>
      </w:r>
    </w:p>
    <w:p w14:paraId="3606256C">
      <w:pPr>
        <w:spacing w:line="600" w:lineRule="exact"/>
        <w:ind w:firstLine="640" w:firstLineChars="200"/>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lang w:eastAsia="zh-CN"/>
        </w:rPr>
        <w:br w:type="page"/>
      </w:r>
    </w:p>
    <w:p w14:paraId="225C4F92">
      <w:pPr>
        <w:numPr>
          <w:ilvl w:val="0"/>
          <w:numId w:val="0"/>
        </w:numPr>
        <w:spacing w:line="600" w:lineRule="exact"/>
        <w:jc w:val="center"/>
        <w:outlineLvl w:val="0"/>
        <w:rPr>
          <w:rStyle w:val="14"/>
          <w:rFonts w:ascii="黑体" w:hAnsi="黑体" w:eastAsia="黑体"/>
          <w:b w:val="0"/>
          <w:color w:val="auto"/>
          <w:highlight w:val="none"/>
        </w:rPr>
      </w:pPr>
      <w:r>
        <w:rPr>
          <w:rFonts w:hint="eastAsia" w:ascii="黑体" w:hAnsi="黑体" w:eastAsia="黑体"/>
          <w:color w:val="auto"/>
          <w:sz w:val="44"/>
          <w:szCs w:val="44"/>
          <w:highlight w:val="none"/>
          <w:lang w:eastAsia="zh-CN"/>
        </w:rPr>
        <w:t>第三部分</w:t>
      </w:r>
      <w:r>
        <w:rPr>
          <w:rFonts w:hint="eastAsia" w:ascii="黑体" w:hAnsi="黑体" w:eastAsia="黑体"/>
          <w:color w:val="auto"/>
          <w:sz w:val="44"/>
          <w:szCs w:val="44"/>
          <w:highlight w:val="none"/>
          <w:lang w:val="en-US" w:eastAsia="zh-CN"/>
        </w:rPr>
        <w:t xml:space="preserve">  </w:t>
      </w:r>
      <w:r>
        <w:rPr>
          <w:rFonts w:hint="eastAsia" w:ascii="黑体" w:hAnsi="黑体" w:eastAsia="黑体"/>
          <w:color w:val="auto"/>
          <w:sz w:val="44"/>
          <w:szCs w:val="44"/>
          <w:highlight w:val="none"/>
        </w:rPr>
        <w:t>名</w:t>
      </w:r>
      <w:r>
        <w:rPr>
          <w:rStyle w:val="14"/>
          <w:rFonts w:hint="eastAsia" w:ascii="黑体" w:hAnsi="黑体" w:eastAsia="黑体"/>
          <w:b w:val="0"/>
          <w:color w:val="auto"/>
          <w:highlight w:val="none"/>
        </w:rPr>
        <w:t>词解释</w:t>
      </w:r>
    </w:p>
    <w:p w14:paraId="7EF2CFF0">
      <w:pPr>
        <w:spacing w:line="600" w:lineRule="exact"/>
        <w:jc w:val="left"/>
        <w:rPr>
          <w:rFonts w:ascii="宋体"/>
          <w:b/>
          <w:color w:val="auto"/>
          <w:sz w:val="44"/>
          <w:szCs w:val="44"/>
          <w:highlight w:val="none"/>
        </w:rPr>
      </w:pPr>
    </w:p>
    <w:p w14:paraId="7F591F08">
      <w:pPr>
        <w:pStyle w:val="1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5C8035CA">
      <w:pPr>
        <w:pStyle w:val="1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事业收入：指事业单位开展专业业务活动及辅助活动取得的收入。如保教费、住宿费等。</w:t>
      </w:r>
    </w:p>
    <w:p w14:paraId="373B5812">
      <w:pPr>
        <w:pStyle w:val="1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其他收入：指单位取得的除上述收入以外的各项收入。主要是</w:t>
      </w:r>
      <w:r>
        <w:rPr>
          <w:rFonts w:hint="eastAsia" w:ascii="仿宋_GB2312" w:eastAsia="仿宋_GB2312"/>
          <w:color w:val="auto"/>
          <w:sz w:val="32"/>
          <w:szCs w:val="32"/>
          <w:highlight w:val="none"/>
          <w:lang w:eastAsia="zh-CN"/>
        </w:rPr>
        <w:t>课后服务费、利息</w:t>
      </w:r>
      <w:r>
        <w:rPr>
          <w:rFonts w:hint="eastAsia" w:ascii="仿宋_GB2312" w:eastAsia="仿宋_GB2312"/>
          <w:color w:val="auto"/>
          <w:sz w:val="32"/>
          <w:szCs w:val="32"/>
          <w:highlight w:val="none"/>
        </w:rPr>
        <w:t>等。</w:t>
      </w:r>
      <w:r>
        <w:rPr>
          <w:rFonts w:ascii="仿宋_GB2312" w:eastAsia="仿宋_GB2312"/>
          <w:color w:val="auto"/>
          <w:sz w:val="32"/>
          <w:szCs w:val="32"/>
          <w:highlight w:val="none"/>
        </w:rPr>
        <w:t xml:space="preserve"> </w:t>
      </w:r>
    </w:p>
    <w:p w14:paraId="6339FCB5">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 xml:space="preserve">.教育（类）普通教育（款）学前教育（项）: </w:t>
      </w:r>
      <w:r>
        <w:rPr>
          <w:rFonts w:hint="eastAsia" w:ascii="仿宋_GB2312" w:eastAsia="仿宋_GB2312"/>
          <w:color w:val="auto"/>
          <w:sz w:val="32"/>
          <w:szCs w:val="32"/>
          <w:highlight w:val="none"/>
          <w:lang w:eastAsia="zh-CN"/>
        </w:rPr>
        <w:t>主要是学前教育各项经费支出</w:t>
      </w:r>
      <w:r>
        <w:rPr>
          <w:rFonts w:hint="eastAsia" w:ascii="仿宋_GB2312" w:eastAsia="仿宋_GB2312"/>
          <w:color w:val="auto"/>
          <w:sz w:val="32"/>
          <w:szCs w:val="32"/>
          <w:highlight w:val="none"/>
        </w:rPr>
        <w:t>。</w:t>
      </w:r>
    </w:p>
    <w:p w14:paraId="07858827">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.教育（类）普通教育（款）小学教育（项）:  主要是</w:t>
      </w:r>
      <w:r>
        <w:rPr>
          <w:rFonts w:hint="eastAsia" w:ascii="仿宋_GB2312" w:eastAsia="仿宋_GB2312"/>
          <w:color w:val="auto"/>
          <w:sz w:val="32"/>
          <w:szCs w:val="32"/>
          <w:highlight w:val="none"/>
          <w:lang w:eastAsia="zh-CN"/>
        </w:rPr>
        <w:t>小学</w:t>
      </w:r>
      <w:r>
        <w:rPr>
          <w:rFonts w:hint="eastAsia" w:ascii="仿宋_GB2312" w:eastAsia="仿宋_GB2312"/>
          <w:color w:val="auto"/>
          <w:sz w:val="32"/>
          <w:szCs w:val="32"/>
          <w:highlight w:val="none"/>
        </w:rPr>
        <w:t>教育各项经费支出。</w:t>
      </w:r>
    </w:p>
    <w:p w14:paraId="42C74A3A">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.教育（类）普通教育（款）初中教育（项）:  主要是</w:t>
      </w:r>
      <w:r>
        <w:rPr>
          <w:rFonts w:hint="eastAsia" w:ascii="仿宋_GB2312" w:eastAsia="仿宋_GB2312"/>
          <w:color w:val="auto"/>
          <w:sz w:val="32"/>
          <w:szCs w:val="32"/>
          <w:highlight w:val="none"/>
          <w:lang w:eastAsia="zh-CN"/>
        </w:rPr>
        <w:t>初中</w:t>
      </w:r>
      <w:r>
        <w:rPr>
          <w:rFonts w:hint="eastAsia" w:ascii="仿宋_GB2312" w:eastAsia="仿宋_GB2312"/>
          <w:color w:val="auto"/>
          <w:sz w:val="32"/>
          <w:szCs w:val="32"/>
          <w:highlight w:val="none"/>
        </w:rPr>
        <w:t>教育各项经费支出。</w:t>
      </w:r>
    </w:p>
    <w:p w14:paraId="73C2320F">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 xml:space="preserve">.教育（类）普通教育（款）其他教育支出（项）:  </w:t>
      </w:r>
      <w:r>
        <w:rPr>
          <w:rFonts w:hint="eastAsia" w:ascii="仿宋_GB2312" w:eastAsia="仿宋_GB2312"/>
          <w:color w:val="auto"/>
          <w:sz w:val="32"/>
          <w:szCs w:val="32"/>
          <w:highlight w:val="none"/>
          <w:lang w:eastAsia="zh-CN"/>
        </w:rPr>
        <w:t>主要是其他教育各项经费支出</w:t>
      </w:r>
      <w:r>
        <w:rPr>
          <w:rFonts w:hint="eastAsia" w:ascii="仿宋_GB2312" w:eastAsia="仿宋_GB2312"/>
          <w:color w:val="auto"/>
          <w:sz w:val="32"/>
          <w:szCs w:val="32"/>
          <w:highlight w:val="none"/>
        </w:rPr>
        <w:t>。</w:t>
      </w:r>
    </w:p>
    <w:p w14:paraId="302A2797">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 xml:space="preserve">.社会保障和就业（类）行政事业单位养老支出（款）事业单位离退休（项）:  </w:t>
      </w:r>
      <w:r>
        <w:rPr>
          <w:rFonts w:hint="eastAsia" w:ascii="仿宋_GB2312" w:eastAsia="仿宋_GB2312"/>
          <w:color w:val="auto"/>
          <w:sz w:val="32"/>
          <w:szCs w:val="32"/>
          <w:highlight w:val="none"/>
          <w:lang w:eastAsia="zh-CN"/>
        </w:rPr>
        <w:t>主要是退休中人一次性补助经费支出</w:t>
      </w:r>
      <w:r>
        <w:rPr>
          <w:rFonts w:hint="eastAsia" w:ascii="仿宋_GB2312" w:eastAsia="仿宋_GB2312"/>
          <w:color w:val="auto"/>
          <w:sz w:val="32"/>
          <w:szCs w:val="32"/>
          <w:highlight w:val="none"/>
        </w:rPr>
        <w:t>。</w:t>
      </w:r>
    </w:p>
    <w:p w14:paraId="09A02820">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 xml:space="preserve">.社会保障和就业（类）行政事业单位养老支出（款）机关事业单位基本养老保险缴费支出（项）:  </w:t>
      </w:r>
      <w:r>
        <w:rPr>
          <w:rFonts w:hint="eastAsia" w:ascii="仿宋_GB2312" w:eastAsia="仿宋_GB2312"/>
          <w:color w:val="auto"/>
          <w:sz w:val="32"/>
          <w:szCs w:val="32"/>
          <w:highlight w:val="none"/>
          <w:lang w:eastAsia="zh-CN"/>
        </w:rPr>
        <w:t>主要是养老保险经费支出</w:t>
      </w:r>
      <w:r>
        <w:rPr>
          <w:rFonts w:hint="eastAsia" w:ascii="仿宋_GB2312" w:eastAsia="仿宋_GB2312"/>
          <w:color w:val="auto"/>
          <w:sz w:val="32"/>
          <w:szCs w:val="32"/>
          <w:highlight w:val="none"/>
        </w:rPr>
        <w:t>。</w:t>
      </w:r>
    </w:p>
    <w:p w14:paraId="0495F7F0">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 xml:space="preserve">.社会保障和就业（类）行政事业单位养老支出（款）机关事业单位职业年金缴费支出（项）:  </w:t>
      </w:r>
      <w:r>
        <w:rPr>
          <w:rFonts w:hint="eastAsia" w:ascii="仿宋_GB2312" w:eastAsia="仿宋_GB2312"/>
          <w:color w:val="auto"/>
          <w:sz w:val="32"/>
          <w:szCs w:val="32"/>
          <w:highlight w:val="none"/>
          <w:lang w:eastAsia="zh-CN"/>
        </w:rPr>
        <w:t>主要是退休人员职业年金做实经费支出</w:t>
      </w:r>
      <w:r>
        <w:rPr>
          <w:rFonts w:hint="eastAsia" w:ascii="仿宋_GB2312" w:eastAsia="仿宋_GB2312"/>
          <w:color w:val="auto"/>
          <w:sz w:val="32"/>
          <w:szCs w:val="32"/>
          <w:highlight w:val="none"/>
        </w:rPr>
        <w:t>。</w:t>
      </w:r>
    </w:p>
    <w:p w14:paraId="20A367EE">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 xml:space="preserve">.社会保障和就业（类）抚恤（款）死亡抚恤（项）:  </w:t>
      </w:r>
      <w:r>
        <w:rPr>
          <w:rFonts w:hint="eastAsia" w:ascii="仿宋_GB2312" w:eastAsia="仿宋_GB2312"/>
          <w:color w:val="auto"/>
          <w:sz w:val="32"/>
          <w:szCs w:val="32"/>
          <w:highlight w:val="none"/>
          <w:lang w:eastAsia="zh-CN"/>
        </w:rPr>
        <w:t>主要是教师死亡抚恤经费支出</w:t>
      </w:r>
      <w:r>
        <w:rPr>
          <w:rFonts w:hint="eastAsia" w:ascii="仿宋_GB2312" w:eastAsia="仿宋_GB2312"/>
          <w:color w:val="auto"/>
          <w:sz w:val="32"/>
          <w:szCs w:val="32"/>
          <w:highlight w:val="none"/>
        </w:rPr>
        <w:t>。</w:t>
      </w:r>
    </w:p>
    <w:p w14:paraId="7757D6F0">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 xml:space="preserve">.社会保障和就业（类）其他社会保障和就业支出（款）其他社会保障和就业支出（项）:  </w:t>
      </w:r>
      <w:r>
        <w:rPr>
          <w:rFonts w:hint="eastAsia" w:ascii="仿宋_GB2312" w:eastAsia="仿宋_GB2312"/>
          <w:color w:val="auto"/>
          <w:sz w:val="32"/>
          <w:szCs w:val="32"/>
          <w:highlight w:val="none"/>
          <w:lang w:eastAsia="zh-CN"/>
        </w:rPr>
        <w:t>主要是</w:t>
      </w:r>
      <w:r>
        <w:rPr>
          <w:rFonts w:hint="eastAsia" w:ascii="仿宋_GB2312" w:eastAsia="仿宋_GB2312"/>
          <w:color w:val="auto"/>
          <w:sz w:val="32"/>
          <w:szCs w:val="32"/>
          <w:highlight w:val="none"/>
        </w:rPr>
        <w:t>其他社会保障和就业支出。</w:t>
      </w:r>
    </w:p>
    <w:p w14:paraId="553265AD">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.卫生健康（类）行政事业单位医疗（款）事业单位医疗（项）:</w:t>
      </w:r>
      <w:r>
        <w:rPr>
          <w:rFonts w:hint="eastAsia" w:ascii="仿宋_GB2312" w:eastAsia="仿宋_GB2312"/>
          <w:color w:val="auto"/>
          <w:sz w:val="32"/>
          <w:szCs w:val="32"/>
          <w:highlight w:val="none"/>
          <w:lang w:eastAsia="zh-CN"/>
        </w:rPr>
        <w:t>主要是</w:t>
      </w:r>
      <w:r>
        <w:rPr>
          <w:rFonts w:hint="eastAsia" w:ascii="仿宋_GB2312" w:eastAsia="仿宋_GB2312"/>
          <w:color w:val="auto"/>
          <w:sz w:val="32"/>
          <w:szCs w:val="32"/>
          <w:highlight w:val="none"/>
        </w:rPr>
        <w:t>事业单位医疗</w:t>
      </w:r>
      <w:r>
        <w:rPr>
          <w:rFonts w:hint="eastAsia" w:ascii="仿宋_GB2312" w:eastAsia="仿宋_GB2312"/>
          <w:color w:val="auto"/>
          <w:sz w:val="32"/>
          <w:szCs w:val="32"/>
          <w:highlight w:val="none"/>
          <w:lang w:eastAsia="zh-CN"/>
        </w:rPr>
        <w:t>保险费</w:t>
      </w:r>
      <w:r>
        <w:rPr>
          <w:rFonts w:hint="eastAsia" w:ascii="仿宋_GB2312" w:eastAsia="仿宋_GB2312"/>
          <w:color w:val="auto"/>
          <w:sz w:val="32"/>
          <w:szCs w:val="32"/>
          <w:highlight w:val="none"/>
        </w:rPr>
        <w:t>支出。</w:t>
      </w:r>
    </w:p>
    <w:p w14:paraId="4FC9026F">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.卫生健康（类）其他卫生健康支出（款）其他卫生健康支出（项）:</w:t>
      </w:r>
      <w:r>
        <w:rPr>
          <w:rFonts w:hint="eastAsia" w:ascii="仿宋_GB2312" w:eastAsia="仿宋_GB2312"/>
          <w:color w:val="auto"/>
          <w:sz w:val="32"/>
          <w:szCs w:val="32"/>
          <w:highlight w:val="none"/>
          <w:lang w:eastAsia="zh-CN"/>
        </w:rPr>
        <w:t>主要是</w:t>
      </w:r>
      <w:r>
        <w:rPr>
          <w:rFonts w:hint="eastAsia" w:ascii="仿宋_GB2312" w:eastAsia="仿宋_GB2312"/>
          <w:color w:val="auto"/>
          <w:sz w:val="32"/>
          <w:szCs w:val="32"/>
          <w:highlight w:val="none"/>
        </w:rPr>
        <w:t>事业单位</w:t>
      </w:r>
      <w:r>
        <w:rPr>
          <w:rFonts w:hint="eastAsia" w:ascii="仿宋_GB2312" w:eastAsia="仿宋_GB2312"/>
          <w:color w:val="auto"/>
          <w:sz w:val="32"/>
          <w:szCs w:val="32"/>
          <w:highlight w:val="none"/>
          <w:lang w:eastAsia="zh-CN"/>
        </w:rPr>
        <w:t>校医工资</w:t>
      </w:r>
      <w:r>
        <w:rPr>
          <w:rFonts w:hint="eastAsia" w:ascii="仿宋_GB2312" w:eastAsia="仿宋_GB2312"/>
          <w:color w:val="auto"/>
          <w:sz w:val="32"/>
          <w:szCs w:val="32"/>
          <w:highlight w:val="none"/>
        </w:rPr>
        <w:t>支出。</w:t>
      </w:r>
    </w:p>
    <w:p w14:paraId="28295728">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.住房保障（类）住房改革支出（款）住房公积金（项）:</w:t>
      </w:r>
      <w:r>
        <w:rPr>
          <w:rFonts w:hint="eastAsia" w:ascii="仿宋_GB2312" w:eastAsia="仿宋_GB2312"/>
          <w:color w:val="auto"/>
          <w:sz w:val="32"/>
          <w:szCs w:val="32"/>
          <w:highlight w:val="none"/>
          <w:lang w:eastAsia="zh-CN"/>
        </w:rPr>
        <w:t>主要是</w:t>
      </w:r>
      <w:r>
        <w:rPr>
          <w:rFonts w:hint="eastAsia" w:ascii="仿宋_GB2312" w:eastAsia="仿宋_GB2312"/>
          <w:color w:val="auto"/>
          <w:sz w:val="32"/>
          <w:szCs w:val="32"/>
          <w:highlight w:val="none"/>
        </w:rPr>
        <w:t>事业单位</w:t>
      </w:r>
      <w:r>
        <w:rPr>
          <w:rFonts w:hint="eastAsia" w:ascii="仿宋_GB2312" w:eastAsia="仿宋_GB2312"/>
          <w:color w:val="auto"/>
          <w:sz w:val="32"/>
          <w:szCs w:val="32"/>
          <w:highlight w:val="none"/>
          <w:lang w:eastAsia="zh-CN"/>
        </w:rPr>
        <w:t>住房公积金费</w:t>
      </w:r>
      <w:r>
        <w:rPr>
          <w:rFonts w:hint="eastAsia" w:ascii="仿宋_GB2312" w:eastAsia="仿宋_GB2312"/>
          <w:color w:val="auto"/>
          <w:sz w:val="32"/>
          <w:szCs w:val="32"/>
          <w:highlight w:val="none"/>
        </w:rPr>
        <w:t>支出。</w:t>
      </w:r>
    </w:p>
    <w:p w14:paraId="6351C1D3">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2D254C06">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3ADA6A15">
      <w:pPr>
        <w:pStyle w:val="1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322D4ED">
      <w:pPr>
        <w:pStyle w:val="1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09EA195">
      <w:pPr>
        <w:pStyle w:val="1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政府采购支出情况</w:t>
      </w:r>
      <w:r>
        <w:rPr>
          <w:rFonts w:hint="eastAsia" w:ascii="仿宋_GB2312" w:eastAsia="仿宋_GB2312"/>
          <w:color w:val="auto"/>
          <w:sz w:val="32"/>
          <w:szCs w:val="32"/>
          <w:highlight w:val="none"/>
          <w:lang w:eastAsia="zh-CN"/>
        </w:rPr>
        <w:t>：指单位用一般公共预算资金通过政府采购网采购的支出</w:t>
      </w:r>
      <w:r>
        <w:rPr>
          <w:rFonts w:hint="eastAsia" w:ascii="仿宋_GB2312" w:eastAsia="仿宋_GB2312"/>
          <w:color w:val="auto"/>
          <w:sz w:val="32"/>
          <w:szCs w:val="32"/>
          <w:highlight w:val="none"/>
        </w:rPr>
        <w:t>。</w:t>
      </w:r>
    </w:p>
    <w:p w14:paraId="4F0D6C05">
      <w:pPr>
        <w:pStyle w:val="17"/>
        <w:spacing w:line="560" w:lineRule="exact"/>
        <w:ind w:firstLine="640" w:firstLineChars="200"/>
        <w:rPr>
          <w:rFonts w:ascii="仿宋_GB2312" w:eastAsia="仿宋_GB2312" w:cs="黑体"/>
          <w:color w:val="auto"/>
          <w:sz w:val="32"/>
          <w:szCs w:val="32"/>
          <w:highlight w:val="none"/>
        </w:rPr>
      </w:pPr>
    </w:p>
    <w:p w14:paraId="516AB9B0">
      <w:pPr>
        <w:spacing w:line="600" w:lineRule="exact"/>
        <w:jc w:val="center"/>
        <w:outlineLvl w:val="0"/>
        <w:rPr>
          <w:rFonts w:hint="eastAsia" w:ascii="黑体" w:hAnsi="黑体" w:eastAsia="黑体"/>
          <w:color w:val="auto"/>
          <w:sz w:val="44"/>
          <w:szCs w:val="44"/>
          <w:highlight w:val="none"/>
        </w:rPr>
      </w:pPr>
    </w:p>
    <w:p w14:paraId="1EDC3A06">
      <w:pPr>
        <w:spacing w:line="600" w:lineRule="exact"/>
        <w:jc w:val="center"/>
        <w:outlineLvl w:val="0"/>
        <w:rPr>
          <w:rFonts w:hint="eastAsia" w:ascii="黑体" w:hAnsi="黑体" w:eastAsia="黑体"/>
          <w:color w:val="auto"/>
          <w:sz w:val="44"/>
          <w:szCs w:val="44"/>
          <w:highlight w:val="none"/>
        </w:rPr>
      </w:pPr>
    </w:p>
    <w:p w14:paraId="300FC533">
      <w:pPr>
        <w:spacing w:line="600" w:lineRule="exact"/>
        <w:jc w:val="center"/>
        <w:outlineLvl w:val="0"/>
        <w:rPr>
          <w:rFonts w:hint="eastAsia" w:ascii="黑体" w:hAnsi="黑体" w:eastAsia="黑体"/>
          <w:color w:val="auto"/>
          <w:sz w:val="44"/>
          <w:szCs w:val="44"/>
          <w:highlight w:val="none"/>
        </w:rPr>
      </w:pPr>
    </w:p>
    <w:p w14:paraId="15B6ECF8">
      <w:pPr>
        <w:pStyle w:val="2"/>
        <w:rPr>
          <w:rFonts w:hint="eastAsia"/>
        </w:rPr>
      </w:pPr>
    </w:p>
    <w:p w14:paraId="0FC6F3F3">
      <w:pPr>
        <w:spacing w:line="600" w:lineRule="exact"/>
        <w:jc w:val="center"/>
        <w:outlineLvl w:val="0"/>
        <w:rPr>
          <w:rFonts w:hint="eastAsia" w:ascii="黑体" w:hAnsi="黑体" w:eastAsia="黑体"/>
          <w:color w:val="auto"/>
          <w:sz w:val="44"/>
          <w:szCs w:val="44"/>
          <w:highlight w:val="none"/>
        </w:rPr>
      </w:pPr>
    </w:p>
    <w:p w14:paraId="0084FA20">
      <w:pPr>
        <w:spacing w:line="600" w:lineRule="exact"/>
        <w:jc w:val="center"/>
        <w:outlineLvl w:val="0"/>
        <w:rPr>
          <w:rFonts w:hint="eastAsia" w:ascii="黑体" w:hAnsi="黑体" w:eastAsia="黑体"/>
          <w:color w:val="auto"/>
          <w:sz w:val="44"/>
          <w:szCs w:val="44"/>
          <w:highlight w:val="none"/>
        </w:rPr>
      </w:pPr>
    </w:p>
    <w:p w14:paraId="0952DEFF">
      <w:pPr>
        <w:spacing w:line="600" w:lineRule="exact"/>
        <w:jc w:val="center"/>
        <w:outlineLvl w:val="0"/>
        <w:rPr>
          <w:rFonts w:hint="eastAsia" w:ascii="黑体" w:hAnsi="黑体" w:eastAsia="黑体"/>
          <w:color w:val="auto"/>
          <w:sz w:val="44"/>
          <w:szCs w:val="44"/>
          <w:highlight w:val="none"/>
        </w:rPr>
      </w:pPr>
    </w:p>
    <w:p w14:paraId="7C35BAC5">
      <w:pPr>
        <w:spacing w:line="600" w:lineRule="exact"/>
        <w:jc w:val="center"/>
        <w:outlineLvl w:val="0"/>
        <w:rPr>
          <w:rFonts w:hint="eastAsia" w:ascii="黑体" w:hAnsi="黑体" w:eastAsia="黑体"/>
          <w:color w:val="auto"/>
          <w:sz w:val="44"/>
          <w:szCs w:val="44"/>
          <w:highlight w:val="none"/>
        </w:rPr>
      </w:pPr>
    </w:p>
    <w:p w14:paraId="6F047A29">
      <w:pPr>
        <w:spacing w:line="600" w:lineRule="exact"/>
        <w:jc w:val="center"/>
        <w:outlineLvl w:val="0"/>
        <w:rPr>
          <w:rFonts w:hint="eastAsia" w:ascii="黑体" w:hAnsi="黑体" w:eastAsia="黑体"/>
          <w:color w:val="auto"/>
          <w:sz w:val="44"/>
          <w:szCs w:val="44"/>
          <w:highlight w:val="none"/>
        </w:rPr>
      </w:pPr>
    </w:p>
    <w:p w14:paraId="09F23550">
      <w:pPr>
        <w:spacing w:line="600" w:lineRule="exact"/>
        <w:jc w:val="center"/>
        <w:outlineLvl w:val="0"/>
        <w:rPr>
          <w:rFonts w:hint="eastAsia" w:ascii="黑体" w:hAnsi="黑体" w:eastAsia="黑体"/>
          <w:color w:val="auto"/>
          <w:sz w:val="44"/>
          <w:szCs w:val="44"/>
          <w:highlight w:val="none"/>
        </w:rPr>
      </w:pPr>
    </w:p>
    <w:p w14:paraId="79EA5BCC">
      <w:pPr>
        <w:spacing w:line="600" w:lineRule="exact"/>
        <w:jc w:val="center"/>
        <w:outlineLvl w:val="0"/>
        <w:rPr>
          <w:rFonts w:hint="eastAsia" w:ascii="黑体" w:hAnsi="黑体" w:eastAsia="黑体"/>
          <w:color w:val="auto"/>
          <w:sz w:val="44"/>
          <w:szCs w:val="44"/>
          <w:highlight w:val="none"/>
        </w:rPr>
      </w:pPr>
    </w:p>
    <w:p w14:paraId="4F999741">
      <w:pPr>
        <w:spacing w:line="600" w:lineRule="exact"/>
        <w:jc w:val="center"/>
        <w:outlineLvl w:val="0"/>
        <w:rPr>
          <w:rFonts w:hint="eastAsia" w:ascii="黑体" w:hAnsi="黑体" w:eastAsia="黑体"/>
          <w:color w:val="auto"/>
          <w:sz w:val="44"/>
          <w:szCs w:val="44"/>
          <w:highlight w:val="none"/>
        </w:rPr>
      </w:pPr>
    </w:p>
    <w:p w14:paraId="157701B7">
      <w:pPr>
        <w:spacing w:line="600" w:lineRule="exact"/>
        <w:jc w:val="center"/>
        <w:outlineLvl w:val="0"/>
        <w:rPr>
          <w:rStyle w:val="14"/>
          <w:rFonts w:ascii="黑体" w:hAnsi="黑体" w:eastAsia="黑体"/>
          <w:b w:val="0"/>
          <w:color w:val="auto"/>
          <w:highlight w:val="none"/>
        </w:rPr>
      </w:pPr>
      <w:r>
        <w:rPr>
          <w:rFonts w:hint="eastAsia" w:ascii="黑体" w:hAnsi="黑体" w:eastAsia="黑体"/>
          <w:color w:val="auto"/>
          <w:sz w:val="44"/>
          <w:szCs w:val="44"/>
          <w:highlight w:val="none"/>
        </w:rPr>
        <w:t>第</w:t>
      </w:r>
      <w:r>
        <w:rPr>
          <w:rStyle w:val="14"/>
          <w:rFonts w:hint="eastAsia" w:ascii="黑体" w:hAnsi="黑体" w:eastAsia="黑体"/>
          <w:b w:val="0"/>
          <w:color w:val="auto"/>
          <w:highlight w:val="none"/>
        </w:rPr>
        <w:t>四部分 附件</w:t>
      </w:r>
    </w:p>
    <w:p w14:paraId="290EA407">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14:paraId="6B330CAE">
      <w:pPr>
        <w:pStyle w:val="2"/>
        <w:rPr>
          <w:rFonts w:ascii="Arial"/>
          <w:sz w:val="21"/>
        </w:rPr>
      </w:pPr>
      <w:r>
        <w:rPr>
          <w:rFonts w:hint="eastAsia" w:hAnsi="Times New Roman" w:cs="Times New Roman"/>
          <w:sz w:val="32"/>
          <w:szCs w:val="32"/>
          <w:highlight w:val="none"/>
          <w:lang w:val="en-US" w:eastAsia="zh-CN"/>
        </w:rPr>
        <w:t>部门预算项目支出绩效自评表（202</w:t>
      </w:r>
      <w:r>
        <w:rPr>
          <w:rFonts w:hint="eastAsia" w:cs="Times New Roman"/>
          <w:sz w:val="32"/>
          <w:szCs w:val="32"/>
          <w:highlight w:val="none"/>
          <w:lang w:val="en-US" w:eastAsia="zh-CN"/>
        </w:rPr>
        <w:t>3</w:t>
      </w:r>
      <w:r>
        <w:rPr>
          <w:rFonts w:hint="eastAsia" w:hAnsi="Times New Roman" w:cs="Times New Roman"/>
          <w:sz w:val="32"/>
          <w:szCs w:val="32"/>
          <w:highlight w:val="none"/>
          <w:lang w:val="en-US" w:eastAsia="zh-CN"/>
        </w:rPr>
        <w:t>年度）</w:t>
      </w:r>
    </w:p>
    <w:p w14:paraId="5DA893B3">
      <w:pPr>
        <w:spacing w:line="600" w:lineRule="exact"/>
        <w:jc w:val="center"/>
        <w:outlineLvl w:val="0"/>
        <w:rPr>
          <w:rFonts w:hint="eastAsia" w:ascii="黑体" w:hAnsi="黑体" w:eastAsia="黑体"/>
          <w:color w:val="auto"/>
          <w:sz w:val="44"/>
          <w:szCs w:val="44"/>
          <w:highlight w:val="none"/>
        </w:rPr>
      </w:pPr>
    </w:p>
    <w:p w14:paraId="3E20DBFB">
      <w:pPr>
        <w:spacing w:line="600" w:lineRule="exact"/>
        <w:jc w:val="center"/>
        <w:outlineLvl w:val="0"/>
        <w:rPr>
          <w:rFonts w:hint="eastAsia" w:ascii="黑体" w:hAnsi="黑体" w:eastAsia="黑体"/>
          <w:color w:val="auto"/>
          <w:sz w:val="44"/>
          <w:szCs w:val="44"/>
          <w:highlight w:val="none"/>
        </w:rPr>
      </w:pPr>
    </w:p>
    <w:p w14:paraId="581EF959">
      <w:pPr>
        <w:spacing w:line="600" w:lineRule="exact"/>
        <w:jc w:val="center"/>
        <w:outlineLvl w:val="0"/>
        <w:rPr>
          <w:rFonts w:hint="eastAsia" w:ascii="黑体" w:hAnsi="黑体" w:eastAsia="黑体"/>
          <w:color w:val="auto"/>
          <w:sz w:val="44"/>
          <w:szCs w:val="44"/>
          <w:highlight w:val="none"/>
        </w:rPr>
      </w:pPr>
    </w:p>
    <w:p w14:paraId="1DAD0EB9">
      <w:pPr>
        <w:spacing w:line="600" w:lineRule="exact"/>
        <w:jc w:val="center"/>
        <w:outlineLvl w:val="0"/>
        <w:rPr>
          <w:rFonts w:hint="eastAsia" w:ascii="黑体" w:hAnsi="黑体" w:eastAsia="黑体"/>
          <w:color w:val="auto"/>
          <w:sz w:val="44"/>
          <w:szCs w:val="44"/>
          <w:highlight w:val="none"/>
        </w:rPr>
      </w:pPr>
    </w:p>
    <w:p w14:paraId="33BD8585">
      <w:pPr>
        <w:spacing w:line="600" w:lineRule="exact"/>
        <w:jc w:val="center"/>
        <w:outlineLvl w:val="0"/>
        <w:rPr>
          <w:rFonts w:hint="eastAsia" w:ascii="黑体" w:hAnsi="黑体" w:eastAsia="黑体"/>
          <w:color w:val="auto"/>
          <w:sz w:val="44"/>
          <w:szCs w:val="44"/>
          <w:highlight w:val="none"/>
        </w:rPr>
      </w:pPr>
    </w:p>
    <w:p w14:paraId="609E071D">
      <w:pPr>
        <w:spacing w:line="600" w:lineRule="exact"/>
        <w:jc w:val="center"/>
        <w:outlineLvl w:val="0"/>
        <w:rPr>
          <w:rFonts w:hint="eastAsia" w:ascii="黑体" w:hAnsi="黑体" w:eastAsia="黑体"/>
          <w:color w:val="auto"/>
          <w:sz w:val="44"/>
          <w:szCs w:val="44"/>
          <w:highlight w:val="none"/>
        </w:rPr>
      </w:pPr>
    </w:p>
    <w:p w14:paraId="37EAFF08">
      <w:pPr>
        <w:spacing w:line="600" w:lineRule="exact"/>
        <w:jc w:val="center"/>
        <w:outlineLvl w:val="0"/>
        <w:rPr>
          <w:rFonts w:hint="eastAsia" w:ascii="黑体" w:hAnsi="黑体" w:eastAsia="黑体"/>
          <w:color w:val="auto"/>
          <w:sz w:val="44"/>
          <w:szCs w:val="44"/>
          <w:highlight w:val="none"/>
        </w:rPr>
      </w:pPr>
    </w:p>
    <w:p w14:paraId="30C2620A">
      <w:pPr>
        <w:spacing w:line="600" w:lineRule="exact"/>
        <w:jc w:val="center"/>
        <w:outlineLvl w:val="0"/>
        <w:rPr>
          <w:rFonts w:hint="eastAsia" w:ascii="黑体" w:hAnsi="黑体" w:eastAsia="黑体"/>
          <w:color w:val="auto"/>
          <w:sz w:val="44"/>
          <w:szCs w:val="44"/>
          <w:highlight w:val="none"/>
        </w:rPr>
      </w:pPr>
    </w:p>
    <w:p w14:paraId="431935B8">
      <w:pPr>
        <w:spacing w:line="600" w:lineRule="exact"/>
        <w:jc w:val="center"/>
        <w:outlineLvl w:val="0"/>
        <w:rPr>
          <w:rFonts w:hint="eastAsia" w:ascii="黑体" w:hAnsi="黑体" w:eastAsia="黑体"/>
          <w:color w:val="auto"/>
          <w:sz w:val="44"/>
          <w:szCs w:val="44"/>
          <w:highlight w:val="none"/>
        </w:rPr>
      </w:pPr>
    </w:p>
    <w:p w14:paraId="6711AEF7">
      <w:pPr>
        <w:spacing w:line="600" w:lineRule="exact"/>
        <w:jc w:val="center"/>
        <w:outlineLvl w:val="0"/>
        <w:rPr>
          <w:rFonts w:hint="eastAsia" w:ascii="黑体" w:hAnsi="黑体" w:eastAsia="黑体"/>
          <w:color w:val="auto"/>
          <w:sz w:val="44"/>
          <w:szCs w:val="44"/>
          <w:highlight w:val="none"/>
        </w:rPr>
      </w:pPr>
    </w:p>
    <w:p w14:paraId="1FCA2B19">
      <w:pPr>
        <w:spacing w:line="600" w:lineRule="exact"/>
        <w:jc w:val="center"/>
        <w:outlineLvl w:val="0"/>
        <w:rPr>
          <w:rFonts w:hint="eastAsia" w:ascii="黑体" w:hAnsi="黑体" w:eastAsia="黑体"/>
          <w:color w:val="auto"/>
          <w:sz w:val="44"/>
          <w:szCs w:val="44"/>
          <w:highlight w:val="none"/>
        </w:rPr>
      </w:pPr>
    </w:p>
    <w:p w14:paraId="6CB1B7E2">
      <w:pPr>
        <w:spacing w:line="600" w:lineRule="exact"/>
        <w:jc w:val="center"/>
        <w:outlineLvl w:val="0"/>
        <w:rPr>
          <w:rFonts w:hint="eastAsia" w:ascii="黑体" w:hAnsi="黑体" w:eastAsia="黑体"/>
          <w:color w:val="auto"/>
          <w:sz w:val="44"/>
          <w:szCs w:val="44"/>
          <w:highlight w:val="none"/>
        </w:rPr>
      </w:pPr>
    </w:p>
    <w:p w14:paraId="0F82DD84">
      <w:pPr>
        <w:spacing w:line="600" w:lineRule="exact"/>
        <w:jc w:val="center"/>
        <w:outlineLvl w:val="0"/>
        <w:rPr>
          <w:rFonts w:hint="eastAsia" w:ascii="黑体" w:hAnsi="黑体" w:eastAsia="黑体"/>
          <w:color w:val="auto"/>
          <w:sz w:val="44"/>
          <w:szCs w:val="44"/>
          <w:highlight w:val="none"/>
        </w:rPr>
      </w:pPr>
    </w:p>
    <w:p w14:paraId="02E2086C">
      <w:pPr>
        <w:spacing w:line="600" w:lineRule="exact"/>
        <w:jc w:val="center"/>
        <w:outlineLvl w:val="0"/>
        <w:rPr>
          <w:rFonts w:hint="eastAsia" w:ascii="黑体" w:hAnsi="黑体" w:eastAsia="黑体"/>
          <w:color w:val="auto"/>
          <w:sz w:val="44"/>
          <w:szCs w:val="44"/>
          <w:highlight w:val="none"/>
        </w:rPr>
      </w:pPr>
    </w:p>
    <w:p w14:paraId="03FEE513">
      <w:pPr>
        <w:spacing w:line="600" w:lineRule="exact"/>
        <w:jc w:val="center"/>
        <w:outlineLvl w:val="0"/>
        <w:rPr>
          <w:rFonts w:hint="eastAsia" w:ascii="黑体" w:hAnsi="黑体" w:eastAsia="黑体"/>
          <w:color w:val="auto"/>
          <w:sz w:val="44"/>
          <w:szCs w:val="44"/>
          <w:highlight w:val="none"/>
        </w:rPr>
      </w:pPr>
    </w:p>
    <w:p w14:paraId="5E58EFC3">
      <w:pPr>
        <w:spacing w:line="600" w:lineRule="exact"/>
        <w:jc w:val="center"/>
        <w:outlineLvl w:val="0"/>
        <w:rPr>
          <w:rFonts w:hint="eastAsia" w:ascii="黑体" w:hAnsi="黑体" w:eastAsia="黑体"/>
          <w:color w:val="auto"/>
          <w:sz w:val="44"/>
          <w:szCs w:val="44"/>
          <w:highlight w:val="none"/>
        </w:rPr>
      </w:pPr>
    </w:p>
    <w:p w14:paraId="314BA0E5">
      <w:pPr>
        <w:spacing w:line="600" w:lineRule="exact"/>
        <w:jc w:val="center"/>
        <w:outlineLvl w:val="0"/>
        <w:rPr>
          <w:rFonts w:hint="eastAsia" w:ascii="黑体" w:hAnsi="黑体" w:eastAsia="黑体"/>
          <w:color w:val="auto"/>
          <w:sz w:val="44"/>
          <w:szCs w:val="44"/>
          <w:highlight w:val="none"/>
        </w:rPr>
      </w:pPr>
    </w:p>
    <w:p w14:paraId="38CCF11C">
      <w:pPr>
        <w:spacing w:line="600" w:lineRule="exact"/>
        <w:jc w:val="center"/>
        <w:outlineLvl w:val="0"/>
        <w:rPr>
          <w:rFonts w:hint="eastAsia" w:ascii="黑体" w:hAnsi="黑体" w:eastAsia="黑体"/>
          <w:color w:val="auto"/>
          <w:sz w:val="44"/>
          <w:szCs w:val="44"/>
          <w:highlight w:val="none"/>
        </w:rPr>
      </w:pPr>
    </w:p>
    <w:p w14:paraId="41B3EF91">
      <w:pPr>
        <w:spacing w:line="600" w:lineRule="exact"/>
        <w:jc w:val="center"/>
        <w:outlineLvl w:val="0"/>
        <w:rPr>
          <w:rFonts w:hint="eastAsia" w:ascii="黑体" w:hAnsi="黑体" w:eastAsia="黑体"/>
          <w:color w:val="auto"/>
          <w:sz w:val="44"/>
          <w:szCs w:val="44"/>
          <w:highlight w:val="none"/>
        </w:rPr>
      </w:pPr>
    </w:p>
    <w:p w14:paraId="454C1810">
      <w:pPr>
        <w:spacing w:line="600" w:lineRule="exact"/>
        <w:jc w:val="center"/>
        <w:outlineLvl w:val="0"/>
        <w:rPr>
          <w:rFonts w:hint="eastAsia" w:ascii="黑体" w:hAnsi="黑体" w:eastAsia="黑体"/>
          <w:color w:val="auto"/>
          <w:sz w:val="44"/>
          <w:szCs w:val="44"/>
          <w:highlight w:val="none"/>
        </w:rPr>
      </w:pPr>
    </w:p>
    <w:p w14:paraId="7D464825">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14"/>
          <w:rFonts w:hint="eastAsia" w:ascii="黑体" w:hAnsi="黑体" w:eastAsia="黑体"/>
          <w:b w:val="0"/>
          <w:color w:val="auto"/>
          <w:highlight w:val="none"/>
        </w:rPr>
        <w:t>五部分 附表</w:t>
      </w:r>
      <w:bookmarkStart w:id="0" w:name="_Toc15396619"/>
    </w:p>
    <w:p w14:paraId="6757A3FF">
      <w:pPr>
        <w:pStyle w:val="4"/>
        <w:rPr>
          <w:rFonts w:ascii="仿宋" w:hAnsi="仿宋" w:eastAsia="仿宋"/>
          <w:color w:val="auto"/>
          <w:highlight w:val="none"/>
        </w:rPr>
      </w:pPr>
      <w:r>
        <w:rPr>
          <w:rFonts w:hint="eastAsia" w:ascii="仿宋" w:hAnsi="仿宋" w:eastAsia="仿宋"/>
          <w:b w:val="0"/>
          <w:color w:val="auto"/>
          <w:highlight w:val="none"/>
        </w:rPr>
        <w:t>一、收</w:t>
      </w:r>
      <w:r>
        <w:rPr>
          <w:rStyle w:val="15"/>
          <w:rFonts w:hint="eastAsia" w:ascii="仿宋" w:hAnsi="仿宋" w:eastAsia="仿宋"/>
          <w:b w:val="0"/>
          <w:bCs w:val="0"/>
          <w:color w:val="auto"/>
          <w:highlight w:val="none"/>
        </w:rPr>
        <w:t>入支出决算总表</w:t>
      </w:r>
      <w:bookmarkEnd w:id="0"/>
    </w:p>
    <w:p w14:paraId="036BFFF5">
      <w:pPr>
        <w:pStyle w:val="4"/>
        <w:rPr>
          <w:rFonts w:ascii="仿宋" w:hAnsi="仿宋" w:eastAsia="仿宋"/>
          <w:color w:val="auto"/>
          <w:highlight w:val="none"/>
        </w:rPr>
      </w:pPr>
      <w:bookmarkStart w:id="1" w:name="_Toc15396620"/>
      <w:r>
        <w:rPr>
          <w:rFonts w:hint="eastAsia" w:ascii="仿宋" w:hAnsi="仿宋" w:eastAsia="仿宋"/>
          <w:b w:val="0"/>
          <w:color w:val="auto"/>
          <w:highlight w:val="none"/>
        </w:rPr>
        <w:t>二、收</w:t>
      </w:r>
      <w:r>
        <w:rPr>
          <w:rStyle w:val="15"/>
          <w:rFonts w:hint="eastAsia" w:ascii="仿宋" w:hAnsi="仿宋" w:eastAsia="仿宋"/>
          <w:b w:val="0"/>
          <w:bCs w:val="0"/>
          <w:color w:val="auto"/>
          <w:highlight w:val="none"/>
        </w:rPr>
        <w:t>入决算表</w:t>
      </w:r>
      <w:bookmarkEnd w:id="1"/>
    </w:p>
    <w:p w14:paraId="79D91CEA">
      <w:pPr>
        <w:pStyle w:val="4"/>
        <w:rPr>
          <w:rFonts w:ascii="仿宋" w:hAnsi="仿宋" w:eastAsia="仿宋"/>
          <w:color w:val="auto"/>
          <w:highlight w:val="none"/>
        </w:rPr>
      </w:pPr>
      <w:bookmarkStart w:id="2" w:name="_Toc15396621"/>
      <w:r>
        <w:rPr>
          <w:rStyle w:val="1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15"/>
          <w:rFonts w:hint="eastAsia" w:ascii="仿宋" w:hAnsi="仿宋" w:eastAsia="仿宋"/>
          <w:b w:val="0"/>
          <w:bCs w:val="0"/>
          <w:color w:val="auto"/>
          <w:highlight w:val="none"/>
        </w:rPr>
        <w:t>出决算表</w:t>
      </w:r>
      <w:bookmarkEnd w:id="2"/>
    </w:p>
    <w:p w14:paraId="6AE6940D">
      <w:pPr>
        <w:pStyle w:val="4"/>
        <w:rPr>
          <w:rFonts w:ascii="仿宋" w:hAnsi="仿宋" w:eastAsia="仿宋"/>
          <w:b w:val="0"/>
          <w:color w:val="auto"/>
          <w:highlight w:val="none"/>
        </w:rPr>
      </w:pPr>
      <w:bookmarkStart w:id="3" w:name="_Toc15396622"/>
      <w:r>
        <w:rPr>
          <w:rStyle w:val="1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15"/>
          <w:rFonts w:hint="eastAsia" w:ascii="仿宋" w:hAnsi="仿宋" w:eastAsia="仿宋"/>
          <w:b w:val="0"/>
          <w:bCs w:val="0"/>
          <w:color w:val="auto"/>
          <w:highlight w:val="none"/>
        </w:rPr>
        <w:t>政拨款收入支出决算总表</w:t>
      </w:r>
      <w:bookmarkEnd w:id="3"/>
    </w:p>
    <w:p w14:paraId="1045D10C">
      <w:pPr>
        <w:pStyle w:val="4"/>
        <w:rPr>
          <w:rStyle w:val="15"/>
          <w:rFonts w:ascii="仿宋" w:hAnsi="仿宋" w:eastAsia="仿宋"/>
          <w:b w:val="0"/>
          <w:bCs w:val="0"/>
          <w:color w:val="auto"/>
          <w:highlight w:val="none"/>
        </w:rPr>
      </w:pPr>
      <w:bookmarkStart w:id="4" w:name="_Toc15396623"/>
      <w:r>
        <w:rPr>
          <w:rStyle w:val="1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15"/>
          <w:rFonts w:hint="eastAsia" w:ascii="仿宋" w:hAnsi="仿宋" w:eastAsia="仿宋"/>
          <w:b w:val="0"/>
          <w:bCs w:val="0"/>
          <w:color w:val="auto"/>
          <w:highlight w:val="none"/>
        </w:rPr>
        <w:t>政拨款支出决算明细表</w:t>
      </w:r>
      <w:bookmarkEnd w:id="4"/>
      <w:bookmarkStart w:id="5" w:name="_Toc15396624"/>
    </w:p>
    <w:p w14:paraId="1415047D">
      <w:pPr>
        <w:pStyle w:val="4"/>
        <w:rPr>
          <w:rFonts w:ascii="仿宋" w:hAnsi="仿宋" w:eastAsia="仿宋"/>
          <w:color w:val="auto"/>
          <w:highlight w:val="none"/>
        </w:rPr>
      </w:pPr>
      <w:r>
        <w:rPr>
          <w:rStyle w:val="1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15"/>
          <w:rFonts w:hint="eastAsia" w:ascii="仿宋" w:hAnsi="仿宋" w:eastAsia="仿宋"/>
          <w:b w:val="0"/>
          <w:bCs w:val="0"/>
          <w:color w:val="auto"/>
          <w:highlight w:val="none"/>
        </w:rPr>
        <w:t>般公共预算财政拨款支出决算表</w:t>
      </w:r>
      <w:bookmarkEnd w:id="5"/>
    </w:p>
    <w:p w14:paraId="11BC0CE5">
      <w:pPr>
        <w:pStyle w:val="4"/>
        <w:rPr>
          <w:rFonts w:ascii="仿宋" w:hAnsi="仿宋" w:eastAsia="仿宋"/>
          <w:color w:val="auto"/>
          <w:highlight w:val="none"/>
        </w:rPr>
      </w:pPr>
      <w:bookmarkStart w:id="6" w:name="_Toc15396625"/>
      <w:r>
        <w:rPr>
          <w:rStyle w:val="1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15"/>
          <w:rFonts w:hint="eastAsia" w:ascii="仿宋" w:hAnsi="仿宋" w:eastAsia="仿宋"/>
          <w:b w:val="0"/>
          <w:bCs w:val="0"/>
          <w:color w:val="auto"/>
          <w:highlight w:val="none"/>
        </w:rPr>
        <w:t>般公共预算财政拨款支出决算明细表</w:t>
      </w:r>
      <w:bookmarkEnd w:id="6"/>
    </w:p>
    <w:p w14:paraId="682935AB">
      <w:pPr>
        <w:pStyle w:val="4"/>
        <w:rPr>
          <w:rFonts w:ascii="仿宋" w:hAnsi="仿宋" w:eastAsia="仿宋"/>
          <w:color w:val="auto"/>
          <w:highlight w:val="none"/>
        </w:rPr>
      </w:pPr>
      <w:bookmarkStart w:id="7" w:name="_Toc15396626"/>
      <w:r>
        <w:rPr>
          <w:rStyle w:val="1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15"/>
          <w:rFonts w:hint="eastAsia" w:ascii="仿宋" w:hAnsi="仿宋" w:eastAsia="仿宋"/>
          <w:b w:val="0"/>
          <w:bCs w:val="0"/>
          <w:color w:val="auto"/>
          <w:highlight w:val="none"/>
        </w:rPr>
        <w:t>般公共预算财政拨款基本支出决算表</w:t>
      </w:r>
      <w:bookmarkEnd w:id="7"/>
    </w:p>
    <w:p w14:paraId="50B9F672">
      <w:pPr>
        <w:pStyle w:val="4"/>
        <w:rPr>
          <w:rFonts w:ascii="仿宋" w:hAnsi="仿宋" w:eastAsia="仿宋"/>
          <w:color w:val="auto"/>
          <w:highlight w:val="none"/>
        </w:rPr>
      </w:pPr>
      <w:bookmarkStart w:id="8" w:name="_Toc15396627"/>
      <w:r>
        <w:rPr>
          <w:rStyle w:val="1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15"/>
          <w:rFonts w:hint="eastAsia" w:ascii="仿宋" w:hAnsi="仿宋" w:eastAsia="仿宋"/>
          <w:b w:val="0"/>
          <w:bCs w:val="0"/>
          <w:color w:val="auto"/>
          <w:highlight w:val="none"/>
        </w:rPr>
        <w:t>般公共预算财政拨款项目支出决算表</w:t>
      </w:r>
      <w:bookmarkEnd w:id="8"/>
    </w:p>
    <w:p w14:paraId="6CB6BD5A">
      <w:pPr>
        <w:pStyle w:val="4"/>
        <w:rPr>
          <w:rFonts w:ascii="仿宋" w:hAnsi="仿宋" w:eastAsia="仿宋"/>
          <w:color w:val="auto"/>
          <w:highlight w:val="none"/>
        </w:rPr>
      </w:pPr>
      <w:bookmarkStart w:id="9" w:name="_Toc15396628"/>
      <w:r>
        <w:rPr>
          <w:rStyle w:val="15"/>
          <w:rFonts w:hint="eastAsia" w:ascii="仿宋" w:hAnsi="仿宋" w:eastAsia="仿宋"/>
          <w:b w:val="0"/>
          <w:bCs w:val="0"/>
          <w:color w:val="auto"/>
          <w:highlight w:val="none"/>
        </w:rPr>
        <w:t>十、</w:t>
      </w:r>
      <w:bookmarkEnd w:id="9"/>
      <w:r>
        <w:rPr>
          <w:rFonts w:hint="eastAsia" w:ascii="仿宋" w:hAnsi="仿宋" w:eastAsia="仿宋"/>
          <w:b w:val="0"/>
          <w:color w:val="auto"/>
          <w:highlight w:val="none"/>
        </w:rPr>
        <w:t>政</w:t>
      </w:r>
      <w:r>
        <w:rPr>
          <w:rStyle w:val="15"/>
          <w:rFonts w:hint="eastAsia" w:ascii="仿宋" w:hAnsi="仿宋" w:eastAsia="仿宋"/>
          <w:b w:val="0"/>
          <w:bCs w:val="0"/>
          <w:color w:val="auto"/>
          <w:highlight w:val="none"/>
        </w:rPr>
        <w:t>府性基金预算财政拨款收入支出决算表</w:t>
      </w:r>
    </w:p>
    <w:p w14:paraId="6E6BFEC7">
      <w:pPr>
        <w:pStyle w:val="4"/>
        <w:rPr>
          <w:rFonts w:ascii="仿宋" w:hAnsi="仿宋" w:eastAsia="仿宋"/>
          <w:color w:val="auto"/>
          <w:highlight w:val="none"/>
        </w:rPr>
      </w:pPr>
      <w:bookmarkStart w:id="10" w:name="_Toc15396629"/>
      <w:r>
        <w:rPr>
          <w:rStyle w:val="15"/>
          <w:rFonts w:hint="eastAsia" w:ascii="仿宋" w:hAnsi="仿宋" w:eastAsia="仿宋"/>
          <w:b w:val="0"/>
          <w:bCs w:val="0"/>
          <w:color w:val="auto"/>
          <w:highlight w:val="none"/>
        </w:rPr>
        <w:t>十一、</w:t>
      </w:r>
      <w:bookmarkEnd w:id="10"/>
      <w:r>
        <w:rPr>
          <w:rFonts w:hint="eastAsia" w:ascii="仿宋" w:hAnsi="仿宋" w:eastAsia="仿宋"/>
          <w:b w:val="0"/>
          <w:color w:val="auto"/>
          <w:highlight w:val="none"/>
        </w:rPr>
        <w:t>国</w:t>
      </w:r>
      <w:r>
        <w:rPr>
          <w:rStyle w:val="15"/>
          <w:rFonts w:hint="eastAsia" w:ascii="仿宋" w:hAnsi="仿宋" w:eastAsia="仿宋"/>
          <w:b w:val="0"/>
          <w:bCs w:val="0"/>
          <w:color w:val="auto"/>
          <w:highlight w:val="none"/>
        </w:rPr>
        <w:t>有资本经营预算</w:t>
      </w:r>
      <w:r>
        <w:rPr>
          <w:rStyle w:val="15"/>
          <w:rFonts w:hint="eastAsia" w:ascii="仿宋" w:hAnsi="仿宋" w:eastAsia="仿宋"/>
          <w:b w:val="0"/>
          <w:bCs w:val="0"/>
          <w:color w:val="auto"/>
          <w:highlight w:val="none"/>
          <w:lang w:eastAsia="zh-CN"/>
        </w:rPr>
        <w:t>财政拨款收入</w:t>
      </w:r>
      <w:r>
        <w:rPr>
          <w:rStyle w:val="15"/>
          <w:rFonts w:hint="eastAsia" w:ascii="仿宋" w:hAnsi="仿宋" w:eastAsia="仿宋"/>
          <w:b w:val="0"/>
          <w:bCs w:val="0"/>
          <w:color w:val="auto"/>
          <w:highlight w:val="none"/>
        </w:rPr>
        <w:t>支出决算表</w:t>
      </w:r>
    </w:p>
    <w:p w14:paraId="058F60CB">
      <w:pPr>
        <w:pStyle w:val="4"/>
        <w:rPr>
          <w:rFonts w:ascii="仿宋" w:hAnsi="仿宋" w:eastAsia="仿宋"/>
          <w:color w:val="auto"/>
          <w:highlight w:val="none"/>
        </w:rPr>
      </w:pPr>
      <w:bookmarkStart w:id="11" w:name="_Toc15396630"/>
      <w:r>
        <w:rPr>
          <w:rStyle w:val="15"/>
          <w:rFonts w:hint="eastAsia" w:ascii="仿宋" w:hAnsi="仿宋" w:eastAsia="仿宋"/>
          <w:b w:val="0"/>
          <w:bCs w:val="0"/>
          <w:color w:val="auto"/>
          <w:highlight w:val="none"/>
        </w:rPr>
        <w:t>十二、</w:t>
      </w:r>
      <w:bookmarkEnd w:id="11"/>
      <w:r>
        <w:rPr>
          <w:rStyle w:val="15"/>
          <w:rFonts w:hint="eastAsia" w:ascii="仿宋" w:hAnsi="仿宋" w:eastAsia="仿宋"/>
          <w:b w:val="0"/>
          <w:bCs w:val="0"/>
          <w:color w:val="auto"/>
          <w:highlight w:val="none"/>
          <w:lang w:eastAsia="zh-CN"/>
        </w:rPr>
        <w:t>国有资本经营预算财政拨款支出决算表</w:t>
      </w:r>
    </w:p>
    <w:p w14:paraId="34316546">
      <w:pPr>
        <w:pStyle w:val="4"/>
        <w:rPr>
          <w:rFonts w:hint="eastAsia" w:eastAsia="仿宋"/>
          <w:color w:val="auto"/>
          <w:highlight w:val="none"/>
          <w:lang w:eastAsia="zh-CN"/>
        </w:rPr>
      </w:pPr>
      <w:bookmarkStart w:id="12" w:name="_Toc15396631"/>
      <w:r>
        <w:rPr>
          <w:rStyle w:val="15"/>
          <w:rFonts w:hint="eastAsia" w:ascii="仿宋" w:hAnsi="仿宋" w:eastAsia="仿宋"/>
          <w:b w:val="0"/>
          <w:bCs w:val="0"/>
          <w:color w:val="auto"/>
          <w:highlight w:val="none"/>
        </w:rPr>
        <w:t>十三、</w:t>
      </w:r>
      <w:bookmarkEnd w:id="12"/>
      <w:r>
        <w:rPr>
          <w:rStyle w:val="15"/>
          <w:rFonts w:hint="eastAsia" w:ascii="仿宋" w:hAnsi="仿宋" w:eastAsia="仿宋"/>
          <w:b w:val="0"/>
          <w:bCs w:val="0"/>
          <w:color w:val="auto"/>
          <w:highlight w:val="none"/>
          <w:lang w:eastAsia="zh-CN"/>
        </w:rPr>
        <w:t>财政拨款“三公”经费支出决算表</w:t>
      </w:r>
    </w:p>
    <w:p w14:paraId="787AF567"/>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4BA2A46-E692-499E-ABCE-6AF5D8B99B08}"/>
  </w:font>
  <w:font w:name="黑体">
    <w:panose1 w:val="02010609060101010101"/>
    <w:charset w:val="86"/>
    <w:family w:val="auto"/>
    <w:pitch w:val="default"/>
    <w:sig w:usb0="800002BF" w:usb1="38CF7CFA" w:usb2="00000016" w:usb3="00000000" w:csb0="00040001" w:csb1="00000000"/>
    <w:embedRegular r:id="rId2" w:fontKey="{2FE42FDB-C281-4753-8101-DA67E908945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3AC6395C-A500-403A-BC4A-9DC80DB4FEF3}"/>
  </w:font>
  <w:font w:name="Cambria">
    <w:panose1 w:val="02040503050406030204"/>
    <w:charset w:val="00"/>
    <w:family w:val="roman"/>
    <w:pitch w:val="default"/>
    <w:sig w:usb0="E00002FF" w:usb1="400004FF" w:usb2="00000000" w:usb3="00000000" w:csb0="2000019F" w:csb1="00000000"/>
    <w:embedRegular r:id="rId4" w:fontKey="{3FA42317-F2C0-41AD-9A12-24A19BD1833E}"/>
  </w:font>
  <w:font w:name="仿宋_GB2312">
    <w:panose1 w:val="02010609030101010101"/>
    <w:charset w:val="86"/>
    <w:family w:val="modern"/>
    <w:pitch w:val="default"/>
    <w:sig w:usb0="00000001" w:usb1="080E0000" w:usb2="00000000" w:usb3="00000000" w:csb0="00040000" w:csb1="00000000"/>
    <w:embedRegular r:id="rId5" w:fontKey="{8303DD64-033B-4FD7-97B7-2173D987F2EE}"/>
  </w:font>
  <w:font w:name="仿宋">
    <w:panose1 w:val="02010609060101010101"/>
    <w:charset w:val="86"/>
    <w:family w:val="modern"/>
    <w:pitch w:val="default"/>
    <w:sig w:usb0="800002BF" w:usb1="38CF7CFA" w:usb2="00000016" w:usb3="00000000" w:csb0="00040001" w:csb1="00000000"/>
    <w:embedRegular r:id="rId6" w:fontKey="{32E30FF0-977E-4CF2-8693-9AFC7C42787E}"/>
  </w:font>
  <w:font w:name="方正小标宋简体">
    <w:panose1 w:val="02000000000000000000"/>
    <w:charset w:val="86"/>
    <w:family w:val="script"/>
    <w:pitch w:val="default"/>
    <w:sig w:usb0="00000001" w:usb1="08000000" w:usb2="00000000" w:usb3="00000000" w:csb0="00040000" w:csb1="00000000"/>
    <w:embedRegular r:id="rId7" w:fontKey="{4534ECE1-8168-4BD4-B11C-663611E492DC}"/>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2632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5D033">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91485">
    <w:pPr>
      <w:pStyle w:val="7"/>
    </w:pPr>
  </w:p>
  <w:p w14:paraId="2DCC779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52896">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105289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18A09A"/>
    <w:multiLevelType w:val="singleLevel"/>
    <w:tmpl w:val="3818A0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NWUxYWJhOGM0ZTY3YzY1ZTZkMWM1MTliNmQ5ZDMifQ=="/>
  </w:docVars>
  <w:rsids>
    <w:rsidRoot w:val="13A13340"/>
    <w:rsid w:val="023F66B6"/>
    <w:rsid w:val="05151463"/>
    <w:rsid w:val="07131EBF"/>
    <w:rsid w:val="07FC5336"/>
    <w:rsid w:val="09615163"/>
    <w:rsid w:val="0A403527"/>
    <w:rsid w:val="0C1C7F33"/>
    <w:rsid w:val="0F707D9E"/>
    <w:rsid w:val="133B07D3"/>
    <w:rsid w:val="13A13340"/>
    <w:rsid w:val="1D214EDE"/>
    <w:rsid w:val="1E8575F4"/>
    <w:rsid w:val="24B30B11"/>
    <w:rsid w:val="2A750617"/>
    <w:rsid w:val="2FC43093"/>
    <w:rsid w:val="323B5CA2"/>
    <w:rsid w:val="339E473B"/>
    <w:rsid w:val="350F5CB3"/>
    <w:rsid w:val="36D848E7"/>
    <w:rsid w:val="374D38AB"/>
    <w:rsid w:val="3A3F02FA"/>
    <w:rsid w:val="3C0664AB"/>
    <w:rsid w:val="3C461E13"/>
    <w:rsid w:val="3E131AF1"/>
    <w:rsid w:val="3E6622F9"/>
    <w:rsid w:val="40041DC9"/>
    <w:rsid w:val="41097C06"/>
    <w:rsid w:val="4396542E"/>
    <w:rsid w:val="47C6205A"/>
    <w:rsid w:val="497B34BB"/>
    <w:rsid w:val="4AC76053"/>
    <w:rsid w:val="522E717A"/>
    <w:rsid w:val="5310285D"/>
    <w:rsid w:val="54E776DE"/>
    <w:rsid w:val="55942811"/>
    <w:rsid w:val="57875362"/>
    <w:rsid w:val="590F3E46"/>
    <w:rsid w:val="597903A1"/>
    <w:rsid w:val="5A8E2EAB"/>
    <w:rsid w:val="5B571A8D"/>
    <w:rsid w:val="5D972F83"/>
    <w:rsid w:val="60A9459B"/>
    <w:rsid w:val="61D12A55"/>
    <w:rsid w:val="688B17FA"/>
    <w:rsid w:val="69172DED"/>
    <w:rsid w:val="6D306787"/>
    <w:rsid w:val="717674DB"/>
    <w:rsid w:val="74033B6B"/>
    <w:rsid w:val="742C4C55"/>
    <w:rsid w:val="74DB0643"/>
    <w:rsid w:val="761E1713"/>
    <w:rsid w:val="79E578F6"/>
    <w:rsid w:val="79FE6CF2"/>
    <w:rsid w:val="7B253A17"/>
    <w:rsid w:val="7B677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5"/>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5">
    <w:name w:val="Body Text Indent"/>
    <w:basedOn w:val="1"/>
    <w:next w:val="6"/>
    <w:qFormat/>
    <w:uiPriority w:val="0"/>
    <w:pPr>
      <w:spacing w:after="120"/>
      <w:ind w:leftChars="200"/>
    </w:pPr>
    <w:rPr>
      <w:rFonts w:ascii="仿宋_GB2312"/>
      <w:szCs w:val="32"/>
    </w:rPr>
  </w:style>
  <w:style w:type="paragraph" w:styleId="6">
    <w:name w:val="Body Text First Indent 2"/>
    <w:basedOn w:val="5"/>
    <w:unhideWhenUsed/>
    <w:qFormat/>
    <w:uiPriority w:val="99"/>
    <w:pPr>
      <w:ind w:firstLine="420" w:firstLine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0">
    <w:name w:val="toc 2"/>
    <w:basedOn w:val="1"/>
    <w:next w:val="1"/>
    <w:unhideWhenUsed/>
    <w:qFormat/>
    <w:uiPriority w:val="39"/>
    <w:pPr>
      <w:tabs>
        <w:tab w:val="right" w:leader="dot" w:pos="8296"/>
      </w:tabs>
      <w:ind w:left="420" w:leftChars="200"/>
    </w:pPr>
  </w:style>
  <w:style w:type="character" w:styleId="13">
    <w:name w:val="Strong"/>
    <w:basedOn w:val="12"/>
    <w:qFormat/>
    <w:uiPriority w:val="99"/>
    <w:rPr>
      <w:b/>
    </w:rPr>
  </w:style>
  <w:style w:type="character" w:customStyle="1" w:styleId="14">
    <w:name w:val="标题 1 Char"/>
    <w:basedOn w:val="12"/>
    <w:link w:val="3"/>
    <w:qFormat/>
    <w:uiPriority w:val="9"/>
    <w:rPr>
      <w:b/>
      <w:bCs/>
      <w:kern w:val="44"/>
      <w:sz w:val="44"/>
      <w:szCs w:val="44"/>
    </w:rPr>
  </w:style>
  <w:style w:type="character" w:customStyle="1" w:styleId="15">
    <w:name w:val="标题 2 Char"/>
    <w:basedOn w:val="12"/>
    <w:link w:val="4"/>
    <w:qFormat/>
    <w:uiPriority w:val="9"/>
    <w:rPr>
      <w:rFonts w:ascii="Cambria" w:hAnsi="Cambria" w:eastAsia="宋体" w:cs="Times New Roman"/>
      <w:b/>
      <w:bCs/>
      <w:sz w:val="32"/>
      <w:szCs w:val="32"/>
    </w:rPr>
  </w:style>
  <w:style w:type="paragraph" w:styleId="16">
    <w:name w:val="List Paragraph"/>
    <w:basedOn w:val="1"/>
    <w:qFormat/>
    <w:uiPriority w:val="34"/>
    <w:pPr>
      <w:ind w:firstLine="420" w:firstLineChars="200"/>
    </w:p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收、支决算总计（万元）</a:t>
            </a:r>
          </a:p>
        </c:rich>
      </c:tx>
      <c:layout>
        <c:manualLayout>
          <c:xMode val="edge"/>
          <c:yMode val="edge"/>
          <c:x val="0.0448673063964098"/>
          <c:y val="0.044705792175832"/>
        </c:manualLayout>
      </c:layout>
      <c:overlay val="0"/>
      <c:spPr>
        <a:noFill/>
        <a:ln>
          <a:noFill/>
        </a:ln>
        <a:effectLst/>
      </c:spPr>
    </c:title>
    <c:autoTitleDeleted val="0"/>
    <c:plotArea>
      <c:layout>
        <c:manualLayout>
          <c:layoutTarget val="inner"/>
          <c:xMode val="edge"/>
          <c:yMode val="edge"/>
          <c:x val="0.107583333333333"/>
          <c:y val="0.299768518518519"/>
          <c:w val="0.849361111111111"/>
          <c:h val="0.578333333333333"/>
        </c:manualLayout>
      </c:layout>
      <c:barChart>
        <c:barDir val="col"/>
        <c:grouping val="clustered"/>
        <c:varyColors val="0"/>
        <c:ser>
          <c:idx val="0"/>
          <c:order val="0"/>
          <c:tx>
            <c:strRef>
              <c:f>Sheet1!#REF!</c:f>
              <c:strCache>
                <c:ptCount val="1"/>
                <c:pt idx="0">
                  <c:v/>
                </c:pt>
              </c:strCache>
            </c:strRef>
          </c:tx>
          <c:spPr>
            <a:solidFill>
              <a:schemeClr val="accent1"/>
            </a:solidFill>
            <a:ln>
              <a:noFill/>
            </a:ln>
            <a:effectLst/>
          </c:spPr>
          <c:invertIfNegative val="0"/>
          <c:dLbls>
            <c:numFmt formatCode="General" sourceLinked="1"/>
            <c:spPr>
              <a:solidFill>
                <a:schemeClr val="bg1"/>
              </a:solid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Sheet1!#REF!</c:f>
              <c:numCache>
                <c:formatCode>General</c:formatCode>
                <c:ptCount val="1"/>
                <c:pt idx="0">
                  <c:v>1</c:v>
                </c:pt>
              </c:numCache>
            </c:numRef>
          </c:val>
        </c:ser>
        <c:ser>
          <c:idx val="1"/>
          <c:order val="1"/>
          <c:tx>
            <c:strRef>
              <c:f>Sheet1!#REF!</c:f>
              <c:strCache>
                <c:ptCount val="1"/>
                <c:pt idx="0">
                  <c:v/>
                </c:pt>
              </c:strCache>
            </c:strRef>
          </c:tx>
          <c:spPr>
            <a:solidFill>
              <a:schemeClr val="accent2"/>
            </a:solidFill>
            <a:ln>
              <a:noFill/>
            </a:ln>
            <a:effectLst/>
          </c:spPr>
          <c:invertIfNegative val="0"/>
          <c:dLbls>
            <c:numFmt formatCode="General" sourceLinked="1"/>
            <c:spPr>
              <a:solidFill>
                <a:schemeClr val="bg1"/>
              </a:solid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accent2"/>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Sheet1!#REF!</c:f>
              <c:numCache>
                <c:formatCode>General</c:formatCode>
                <c:ptCount val="1"/>
                <c:pt idx="0">
                  <c:v>1</c:v>
                </c:pt>
              </c:numCache>
            </c:numRef>
          </c:val>
        </c:ser>
        <c:ser>
          <c:idx val="2"/>
          <c:order val="2"/>
          <c:tx>
            <c:strRef>
              <c:f>Sheet1!$B$1</c:f>
              <c:strCache>
                <c:ptCount val="1"/>
                <c:pt idx="0">
                  <c:v>收、支决算总计（万元）</c:v>
                </c:pt>
              </c:strCache>
            </c:strRef>
          </c:tx>
          <c:spPr>
            <a:solidFill>
              <a:schemeClr val="accent3"/>
            </a:solidFill>
            <a:ln>
              <a:noFill/>
            </a:ln>
            <a:effectLst/>
          </c:spPr>
          <c:invertIfNegative val="0"/>
          <c:dLbls>
            <c:numFmt formatCode="General" sourceLinked="1"/>
            <c:spPr>
              <a:solidFill>
                <a:schemeClr val="bg1"/>
              </a:solid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accent3"/>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637.955774</c:v>
                </c:pt>
                <c:pt idx="1">
                  <c:v>159.958411</c:v>
                </c:pt>
              </c:numCache>
            </c:numRef>
          </c:val>
        </c:ser>
        <c:dLbls>
          <c:showLegendKey val="0"/>
          <c:showVal val="1"/>
          <c:showCatName val="0"/>
          <c:showSerName val="0"/>
          <c:showPercent val="0"/>
          <c:showBubbleSize val="0"/>
        </c:dLbls>
        <c:gapWidth val="168"/>
        <c:overlap val="-33"/>
        <c:axId val="415577472"/>
        <c:axId val="415577080"/>
      </c:barChart>
      <c:catAx>
        <c:axId val="415577472"/>
        <c:scaling>
          <c:orientation val="minMax"/>
        </c:scaling>
        <c:delete val="0"/>
        <c:axPos val="b"/>
        <c:numFmt formatCode="General" sourceLinked="1"/>
        <c:majorTickMark val="out"/>
        <c:minorTickMark val="none"/>
        <c:tickLblPos val="nextTo"/>
        <c:spPr>
          <a:noFill/>
          <a:ln w="9525" cap="flat" cmpd="sng" algn="ctr">
            <a:no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415577080"/>
        <c:crosses val="autoZero"/>
        <c:auto val="1"/>
        <c:lblAlgn val="ctr"/>
        <c:lblOffset val="100"/>
        <c:noMultiLvlLbl val="0"/>
      </c:catAx>
      <c:valAx>
        <c:axId val="415577080"/>
        <c:scaling>
          <c:orientation val="minMax"/>
        </c:scaling>
        <c:delete val="0"/>
        <c:axPos val="l"/>
        <c:majorGridlines>
          <c:spPr>
            <a:ln w="6350" cap="flat" cmpd="sng" algn="ctr">
              <a:solidFill>
                <a:schemeClr val="tx1">
                  <a:lumMod val="50000"/>
                  <a:lumOff val="50000"/>
                  <a:alpha val="2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415577472"/>
        <c:crosses val="autoZero"/>
        <c:crossBetween val="between"/>
      </c:valAx>
      <c:spPr>
        <a:noFill/>
        <a:ln>
          <a:noFill/>
        </a:ln>
        <a:effectLst/>
      </c:spPr>
    </c:plotArea>
    <c:legend>
      <c:legendPos val="t"/>
      <c:layout>
        <c:manualLayout>
          <c:xMode val="edge"/>
          <c:yMode val="edge"/>
          <c:x val="0.0481897744568977"/>
          <c:y val="0.151655214140628"/>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收入额（万元）</c:v>
                </c:pt>
              </c:strCache>
            </c:strRef>
          </c:tx>
          <c:explosion val="0"/>
          <c:dPt>
            <c:idx val="0"/>
            <c:bubble3D val="0"/>
          </c:dPt>
          <c:dPt>
            <c:idx val="1"/>
            <c:bubble3D val="0"/>
          </c:dPt>
          <c:dPt>
            <c:idx val="2"/>
            <c:bubble3D val="0"/>
          </c:dPt>
          <c:dLbls>
            <c:dLbl>
              <c:idx val="1"/>
              <c:layout>
                <c:manualLayout>
                  <c:x val="-0.201160558945801"/>
                  <c:y val="0.01927750773087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205212311595655"/>
                  <c:y val="-0.11756445784706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一般公共预算财政拨款收入</c:v>
                </c:pt>
                <c:pt idx="1">
                  <c:v>事业收入</c:v>
                </c:pt>
                <c:pt idx="2">
                  <c:v>其它收入</c:v>
                </c:pt>
              </c:strCache>
            </c:strRef>
          </c:cat>
          <c:val>
            <c:numRef>
              <c:f>Sheet1!$B$2:$B$4</c:f>
              <c:numCache>
                <c:formatCode>General</c:formatCode>
                <c:ptCount val="3"/>
                <c:pt idx="0">
                  <c:v>155.067584</c:v>
                </c:pt>
                <c:pt idx="1">
                  <c:v>0.453904</c:v>
                </c:pt>
                <c:pt idx="2">
                  <c:v>4.436923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63135083072478"/>
          <c:y val="0.19153766769865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dPt>
            <c:idx val="2"/>
            <c:bubble3D val="0"/>
            <c:spPr>
              <a:solidFill>
                <a:schemeClr val="accent5"/>
              </a:solidFill>
              <a:ln w="19050">
                <a:solidFill>
                  <a:schemeClr val="lt1"/>
                </a:solidFill>
              </a:ln>
              <a:effectLst/>
            </c:spPr>
          </c:dPt>
          <c:dPt>
            <c:idx val="3"/>
            <c:bubble3D val="0"/>
            <c:spPr>
              <a:solidFill>
                <a:schemeClr val="accent1">
                  <a:lumMod val="60000"/>
                </a:schemeClr>
              </a:solidFill>
              <a:ln w="19050">
                <a:solidFill>
                  <a:schemeClr val="lt1"/>
                </a:solidFill>
              </a:ln>
              <a:effectLst/>
            </c:spPr>
          </c:dPt>
          <c:dPt>
            <c:idx val="4"/>
            <c:bubble3D val="0"/>
            <c:spPr>
              <a:solidFill>
                <a:schemeClr val="accent3">
                  <a:lumMod val="60000"/>
                </a:schemeClr>
              </a:solidFill>
              <a:ln w="19050">
                <a:solidFill>
                  <a:schemeClr val="lt1"/>
                </a:solidFill>
              </a:ln>
              <a:effectLst/>
            </c:spPr>
          </c:dPt>
          <c:dLbls>
            <c:dLbl>
              <c:idx val="0"/>
              <c:layout>
                <c:manualLayout>
                  <c:x val="0.160014513823165"/>
                  <c:y val="-0.0839048237283994"/>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35913524439131"/>
                  <c:y val="0.0461826043747255"/>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delete val="1"/>
            </c:dLbl>
            <c:dLbl>
              <c:idx val="4"/>
              <c:delete val="1"/>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140.547438</c:v>
                </c:pt>
                <c:pt idx="1">
                  <c:v>19.410973</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0776006711409396"/>
          <c:y val="0.88334844363856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财政拨款收、支决算总计（万元）</a:t>
            </a:r>
          </a:p>
        </c:rich>
      </c:tx>
      <c:layout/>
      <c:overlay val="0"/>
      <c:spPr>
        <a:noFill/>
        <a:ln>
          <a:noFill/>
        </a:ln>
        <a:effectLst/>
      </c:spPr>
    </c:title>
    <c:autoTitleDeleted val="0"/>
    <c:plotArea>
      <c:layout/>
      <c:barChart>
        <c:barDir val="col"/>
        <c:grouping val="clustered"/>
        <c:varyColors val="0"/>
        <c:ser>
          <c:idx val="0"/>
          <c:order val="0"/>
          <c:tx>
            <c:strRef>
              <c:f>Sheet1!#REF!</c:f>
              <c:strCache>
                <c:ptCount val="1"/>
                <c:pt idx="0">
                  <c:v/>
                </c:pt>
              </c:strCache>
            </c:strRef>
          </c:tx>
          <c:spPr>
            <a:solidFill>
              <a:schemeClr val="accent1"/>
            </a:solidFill>
            <a:ln w="12700">
              <a:noFill/>
            </a:ln>
            <a:effectLst/>
            <a:sp3d contourW="12700"/>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Sheet1!#REF!</c:f>
              <c:numCache>
                <c:formatCode>General</c:formatCode>
                <c:ptCount val="1"/>
                <c:pt idx="0">
                  <c:v>1</c:v>
                </c:pt>
              </c:numCache>
            </c:numRef>
          </c:val>
        </c:ser>
        <c:ser>
          <c:idx val="1"/>
          <c:order val="1"/>
          <c:tx>
            <c:strRef>
              <c:f>Sheet1!#REF!</c:f>
              <c:strCache>
                <c:ptCount val="1"/>
                <c:pt idx="0">
                  <c:v/>
                </c:pt>
              </c:strCache>
            </c:strRef>
          </c:tx>
          <c:spPr>
            <a:solidFill>
              <a:schemeClr val="accent2"/>
            </a:solidFill>
            <a:ln w="12700">
              <a:noFill/>
            </a:ln>
            <a:effectLst/>
            <a:sp3d contourW="12700"/>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Sheet1!#REF!</c:f>
              <c:numCache>
                <c:formatCode>General</c:formatCode>
                <c:ptCount val="1"/>
                <c:pt idx="0">
                  <c:v>1</c:v>
                </c:pt>
              </c:numCache>
            </c:numRef>
          </c:val>
        </c:ser>
        <c:ser>
          <c:idx val="2"/>
          <c:order val="2"/>
          <c:tx>
            <c:strRef>
              <c:f>Sheet1!$B$1</c:f>
              <c:strCache>
                <c:ptCount val="1"/>
                <c:pt idx="0">
                  <c:v>财政拨款收、支决算总计（万元）</c:v>
                </c:pt>
              </c:strCache>
            </c:strRef>
          </c:tx>
          <c:spPr>
            <a:solidFill>
              <a:schemeClr val="accent3"/>
            </a:solidFill>
            <a:ln>
              <a:noFill/>
            </a:ln>
            <a:effectLst/>
          </c:spPr>
          <c:invertIfNegative val="0"/>
          <c:dLbls>
            <c:dLbl>
              <c:idx val="0"/>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631.9255</c:v>
                </c:pt>
                <c:pt idx="1">
                  <c:v>155.067584</c:v>
                </c:pt>
              </c:numCache>
            </c:numRef>
          </c:val>
        </c:ser>
        <c:dLbls>
          <c:showLegendKey val="0"/>
          <c:showVal val="1"/>
          <c:showCatName val="0"/>
          <c:showSerName val="0"/>
          <c:showPercent val="0"/>
          <c:showBubbleSize val="0"/>
        </c:dLbls>
        <c:gapWidth val="360"/>
        <c:overlap val="-25"/>
        <c:axId val="415577472"/>
        <c:axId val="415577080"/>
      </c:barChart>
      <c:catAx>
        <c:axId val="415577472"/>
        <c:scaling>
          <c:orientation val="minMax"/>
        </c:scaling>
        <c:delete val="0"/>
        <c:axPos val="b"/>
        <c:majorGridlines>
          <c:spPr>
            <a:ln w="6350" cap="flat" cmpd="sng" algn="ctr">
              <a:solidFill>
                <a:schemeClr val="tx1">
                  <a:lumMod val="50000"/>
                  <a:lumOff val="50000"/>
                  <a:alpha val="25000"/>
                </a:schemeClr>
              </a:solidFill>
              <a:round/>
            </a:ln>
            <a:effectLst/>
          </c:spPr>
        </c:majorGridlines>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415577080"/>
        <c:crosses val="autoZero"/>
        <c:auto val="1"/>
        <c:lblAlgn val="ctr"/>
        <c:lblOffset val="100"/>
        <c:noMultiLvlLbl val="0"/>
      </c:catAx>
      <c:valAx>
        <c:axId val="415577080"/>
        <c:scaling>
          <c:orientation val="minMax"/>
        </c:scaling>
        <c:delete val="1"/>
        <c:axPos val="l"/>
        <c:majorGridlines>
          <c:spPr>
            <a:ln w="6350" cap="flat" cmpd="sng" algn="ctr">
              <a:solidFill>
                <a:schemeClr val="tx1">
                  <a:lumMod val="50000"/>
                  <a:lumOff val="50000"/>
                  <a:alpha val="25000"/>
                </a:schemeClr>
              </a:soli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415577472"/>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gradFill>
      <a:gsLst>
        <a:gs pos="63000">
          <a:schemeClr val="bg1">
            <a:alpha val="100000"/>
          </a:schemeClr>
        </a:gs>
        <a:gs pos="100000">
          <a:schemeClr val="bg1">
            <a:lumMod val="95000"/>
          </a:schemeClr>
        </a:gs>
      </a:gsLst>
      <a:path path="circle">
        <a:fillToRect l="50000" t="50000" r="50000" b="50000"/>
      </a:path>
      <a:tileRect/>
    </a:gra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一般公共预算财政拨款支出决算总计（万元）</a:t>
            </a:r>
          </a:p>
        </c:rich>
      </c:tx>
      <c:layout/>
      <c:overlay val="0"/>
      <c:spPr>
        <a:noFill/>
        <a:ln>
          <a:noFill/>
        </a:ln>
        <a:effectLst/>
      </c:spPr>
    </c:title>
    <c:autoTitleDeleted val="0"/>
    <c:plotArea>
      <c:layout/>
      <c:barChart>
        <c:barDir val="col"/>
        <c:grouping val="clustered"/>
        <c:varyColors val="0"/>
        <c:ser>
          <c:idx val="0"/>
          <c:order val="0"/>
          <c:tx>
            <c:strRef>
              <c:f>Sheet1!#REF!</c:f>
              <c:strCache>
                <c:ptCount val="1"/>
                <c:pt idx="0">
                  <c:v/>
                </c:pt>
              </c:strCache>
            </c:strRef>
          </c:tx>
          <c:spPr>
            <a:pattFill prst="wdDnDiag">
              <a:fgClr>
                <a:schemeClr val="accent1"/>
              </a:fgClr>
              <a:bgClr>
                <a:schemeClr val="bg1"/>
              </a:bgClr>
            </a:pattFill>
            <a:ln w="25400">
              <a:solidFill>
                <a:schemeClr val="accent1"/>
              </a:solidFill>
            </a:ln>
            <a:effectLst>
              <a:innerShdw blurRad="63500" dist="50800">
                <a:schemeClr val="accent1">
                  <a:alpha val="50000"/>
                </a:schemeClr>
              </a:innerShdw>
            </a:effectLst>
          </c:spPr>
          <c:invertIfNegative val="0"/>
          <c:dPt>
            <c:idx val="0"/>
            <c:invertIfNegative val="0"/>
            <c:bubble3D val="0"/>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Sheet1!#REF!</c:f>
              <c:numCache>
                <c:formatCode>General</c:formatCode>
                <c:ptCount val="1"/>
                <c:pt idx="0">
                  <c:v>1</c:v>
                </c:pt>
              </c:numCache>
            </c:numRef>
          </c:val>
        </c:ser>
        <c:ser>
          <c:idx val="1"/>
          <c:order val="1"/>
          <c:tx>
            <c:strRef>
              <c:f>Sheet1!#REF!</c:f>
              <c:strCache>
                <c:ptCount val="1"/>
                <c:pt idx="0">
                  <c:v/>
                </c:pt>
              </c:strCache>
            </c:strRef>
          </c:tx>
          <c:spPr>
            <a:pattFill prst="wdDnDiag">
              <a:fgClr>
                <a:schemeClr val="accent2"/>
              </a:fgClr>
              <a:bgClr>
                <a:schemeClr val="bg1"/>
              </a:bgClr>
            </a:pattFill>
            <a:ln w="25400">
              <a:solidFill>
                <a:schemeClr val="accent2"/>
              </a:solidFill>
            </a:ln>
            <a:effectLst>
              <a:innerShdw blurRad="63500" dist="50800">
                <a:schemeClr val="accent2">
                  <a:alpha val="50000"/>
                </a:schemeClr>
              </a:inn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Sheet1!#REF!</c:f>
              <c:numCache>
                <c:formatCode>General</c:formatCode>
                <c:ptCount val="1"/>
                <c:pt idx="0">
                  <c:v>1</c:v>
                </c:pt>
              </c:numCache>
            </c:numRef>
          </c:val>
        </c:ser>
        <c:ser>
          <c:idx val="2"/>
          <c:order val="2"/>
          <c:tx>
            <c:strRef>
              <c:f>Sheet1!$B$1</c:f>
              <c:strCache>
                <c:ptCount val="1"/>
                <c:pt idx="0">
                  <c:v>一般公共预算财政拨款支出决算总计（万元）</c:v>
                </c:pt>
              </c:strCache>
            </c:strRef>
          </c:tx>
          <c:spPr>
            <a:pattFill prst="wdDnDiag">
              <a:fgClr>
                <a:schemeClr val="accent3"/>
              </a:fgClr>
              <a:bgClr>
                <a:schemeClr val="bg1"/>
              </a:bgClr>
            </a:pattFill>
            <a:ln w="25400">
              <a:solidFill>
                <a:schemeClr val="accent3"/>
              </a:solidFill>
            </a:ln>
            <a:effectLst>
              <a:innerShdw blurRad="63500" dist="50800">
                <a:schemeClr val="accent3">
                  <a:alpha val="50000"/>
                </a:schemeClr>
              </a:innerShdw>
            </a:effectLst>
          </c:spPr>
          <c:invertIfNegative val="0"/>
          <c:dLbls>
            <c:dLbl>
              <c:idx val="0"/>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631.9255</c:v>
                </c:pt>
                <c:pt idx="1">
                  <c:v>155.067584</c:v>
                </c:pt>
              </c:numCache>
            </c:numRef>
          </c:val>
        </c:ser>
        <c:dLbls>
          <c:showLegendKey val="0"/>
          <c:showVal val="1"/>
          <c:showCatName val="0"/>
          <c:showSerName val="0"/>
          <c:showPercent val="0"/>
          <c:showBubbleSize val="0"/>
        </c:dLbls>
        <c:gapWidth val="219"/>
        <c:overlap val="-20"/>
        <c:axId val="415577472"/>
        <c:axId val="415577080"/>
      </c:barChart>
      <c:catAx>
        <c:axId val="415577472"/>
        <c:scaling>
          <c:orientation val="minMax"/>
        </c:scaling>
        <c:delete val="0"/>
        <c:axPos val="b"/>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415577080"/>
        <c:crosses val="autoZero"/>
        <c:auto val="1"/>
        <c:lblAlgn val="ctr"/>
        <c:lblOffset val="100"/>
        <c:noMultiLvlLbl val="0"/>
      </c:catAx>
      <c:valAx>
        <c:axId val="41557708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415577472"/>
        <c:crosses val="autoZero"/>
        <c:crossBetween val="between"/>
      </c:valAx>
      <c:spPr>
        <a:noFill/>
        <a:ln w="25400">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75"/>
          <c:y val="0.00988739357319418"/>
        </c:manualLayout>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spPr/>
          <c:explosion val="0"/>
          <c:dPt>
            <c:idx val="0"/>
            <c:bubble3D val="0"/>
            <c:spPr>
              <a:solidFill>
                <a:schemeClr val="accent1"/>
              </a:solidFill>
              <a:ln>
                <a:solidFill>
                  <a:schemeClr val="bg1"/>
                </a:solidFill>
              </a:ln>
              <a:effectLst/>
            </c:spPr>
          </c:dPt>
          <c:dPt>
            <c:idx val="1"/>
            <c:bubble3D val="0"/>
            <c:spPr>
              <a:solidFill>
                <a:schemeClr val="accent3"/>
              </a:solidFill>
              <a:ln>
                <a:solidFill>
                  <a:schemeClr val="bg1"/>
                </a:solidFill>
              </a:ln>
              <a:effectLst/>
            </c:spPr>
          </c:dPt>
          <c:dPt>
            <c:idx val="2"/>
            <c:bubble3D val="0"/>
            <c:spPr>
              <a:solidFill>
                <a:schemeClr val="accent5"/>
              </a:solidFill>
              <a:ln>
                <a:solidFill>
                  <a:schemeClr val="bg1"/>
                </a:solidFill>
              </a:ln>
              <a:effectLst/>
            </c:spPr>
          </c:dPt>
          <c:dPt>
            <c:idx val="3"/>
            <c:bubble3D val="0"/>
            <c:spPr>
              <a:solidFill>
                <a:schemeClr val="accent1">
                  <a:lumMod val="60000"/>
                </a:schemeClr>
              </a:solidFill>
              <a:ln>
                <a:solidFill>
                  <a:schemeClr val="bg1"/>
                </a:solidFill>
              </a:ln>
              <a:effectLst/>
            </c:spPr>
          </c:dPt>
          <c:dPt>
            <c:idx val="4"/>
            <c:bubble3D val="0"/>
            <c:spPr>
              <a:solidFill>
                <a:schemeClr val="accent3">
                  <a:lumMod val="60000"/>
                </a:schemeClr>
              </a:solidFill>
              <a:ln>
                <a:solidFill>
                  <a:schemeClr val="bg1"/>
                </a:solidFill>
              </a:ln>
              <a:effectLst/>
            </c:spPr>
          </c:dPt>
          <c:dPt>
            <c:idx val="5"/>
            <c:bubble3D val="0"/>
            <c:spPr>
              <a:solidFill>
                <a:schemeClr val="accent5">
                  <a:lumMod val="60000"/>
                </a:schemeClr>
              </a:solidFill>
              <a:ln>
                <a:solidFill>
                  <a:schemeClr val="bg1"/>
                </a:solidFill>
              </a:ln>
              <a:effectLst/>
            </c:spPr>
          </c:dPt>
          <c:dPt>
            <c:idx val="6"/>
            <c:bubble3D val="0"/>
            <c:spPr>
              <a:solidFill>
                <a:schemeClr val="accent1">
                  <a:lumMod val="80000"/>
                  <a:lumOff val="20000"/>
                </a:schemeClr>
              </a:solidFill>
              <a:ln>
                <a:solidFill>
                  <a:schemeClr val="bg1"/>
                </a:solidFill>
              </a:ln>
              <a:effectLst/>
            </c:spPr>
          </c:dPt>
          <c:dLbls>
            <c:dLbl>
              <c:idx val="0"/>
              <c:layout>
                <c:manualLayout>
                  <c:x val="0.150565099686841"/>
                  <c:y val="0.062147268858762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0803720612657111"/>
                  <c:y val="-0.109508744450344"/>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delete val="1"/>
            </c:dLbl>
            <c:dLbl>
              <c:idx val="4"/>
              <c:delete val="1"/>
            </c:dLbl>
            <c:dLbl>
              <c:idx val="5"/>
              <c:layout>
                <c:manualLayout>
                  <c:x val="-0.175695110258869"/>
                  <c:y val="0.063179176143543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住房保障支出</c:v>
                </c:pt>
                <c:pt idx="1">
                  <c:v>教育支出</c:v>
                </c:pt>
                <c:pt idx="2">
                  <c:v>一般公共服务支出</c:v>
                </c:pt>
                <c:pt idx="3">
                  <c:v>科技技术支出</c:v>
                </c:pt>
                <c:pt idx="4">
                  <c:v>文化旅游体育与传媒支出</c:v>
                </c:pt>
                <c:pt idx="5">
                  <c:v>社会保障与就业支出</c:v>
                </c:pt>
                <c:pt idx="6">
                  <c:v>卫生健康支出</c:v>
                </c:pt>
              </c:strCache>
            </c:strRef>
          </c:cat>
          <c:val>
            <c:numRef>
              <c:f>Sheet1!$B$2:$B$8</c:f>
              <c:numCache>
                <c:formatCode>General</c:formatCode>
                <c:ptCount val="7"/>
                <c:pt idx="0">
                  <c:v>4.0376</c:v>
                </c:pt>
                <c:pt idx="1">
                  <c:v>142.812784</c:v>
                </c:pt>
                <c:pt idx="2">
                  <c:v>0</c:v>
                </c:pt>
                <c:pt idx="3">
                  <c:v>0</c:v>
                </c:pt>
                <c:pt idx="4">
                  <c:v>0</c:v>
                </c:pt>
                <c:pt idx="5">
                  <c:v>7.7172</c:v>
                </c:pt>
                <c:pt idx="6">
                  <c:v>0.5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0.0136625119846601"/>
          <c:y val="0.114227950467526"/>
          <c:w val="0.98274209012464"/>
          <c:h val="0.16698709145839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4791</Words>
  <Characters>5269</Characters>
  <Lines>0</Lines>
  <Paragraphs>0</Paragraphs>
  <TotalTime>2</TotalTime>
  <ScaleCrop>false</ScaleCrop>
  <LinksUpToDate>false</LinksUpToDate>
  <CharactersWithSpaces>5322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2024-09-27T03:22:00Z</dcterms:created>
  <dc:creator>@南瘾浪</dc:creator>
  <cp:lastModifiedBy>企业用户_271171727</cp:lastModifiedBy>
  <cp:lastPrinted>2024-10-08T07:48:00Z</cp:lastPrinted>
  <dcterms:modified xsi:type="dcterms:W3CDTF">2024-10-13T08:16:12Z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E1E8B01EAC0643FEB4C1448EF7628975_11</vt:lpwstr>
  </property>
</Properties>
</file>