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p>
    <w:p>
      <w:pPr>
        <w:suppressAutoHyphens/>
        <w:bidi w:val="0"/>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lang w:val="en-US" w:eastAsia="zh-CN"/>
        </w:rPr>
      </w:pPr>
      <w:r>
        <w:rPr>
          <w:rFonts w:hint="eastAsia" w:ascii="方正小标宋简体" w:hAnsi="方正小标宋简体" w:eastAsia="方正小标宋简体" w:cs="方正小标宋简体"/>
          <w:color w:val="auto"/>
          <w:sz w:val="52"/>
          <w:szCs w:val="52"/>
          <w:highlight w:val="none"/>
          <w:lang w:val="en-US" w:eastAsia="zh-CN"/>
        </w:rPr>
        <w:t>2023年度</w:t>
      </w:r>
    </w:p>
    <w:p>
      <w:pPr>
        <w:suppressAutoHyphens/>
        <w:bidi w:val="0"/>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lang w:val="en-US" w:eastAsia="zh-CN"/>
        </w:rPr>
      </w:pPr>
      <w:r>
        <w:rPr>
          <w:rFonts w:hint="eastAsia" w:ascii="方正小标宋简体" w:hAnsi="方正小标宋简体" w:eastAsia="方正小标宋简体" w:cs="方正小标宋简体"/>
          <w:color w:val="auto"/>
          <w:sz w:val="52"/>
          <w:szCs w:val="52"/>
          <w:highlight w:val="none"/>
          <w:lang w:val="en-US" w:eastAsia="zh-CN"/>
        </w:rPr>
        <w:t>广元市利州区雪峰第一幼儿园</w:t>
      </w:r>
    </w:p>
    <w:p>
      <w:pPr>
        <w:suppressAutoHyphens/>
        <w:bidi w:val="0"/>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lang w:val="en-US" w:eastAsia="zh-CN"/>
        </w:rPr>
      </w:pPr>
      <w:r>
        <w:rPr>
          <w:rFonts w:hint="eastAsia" w:ascii="方正小标宋简体" w:hAnsi="方正小标宋简体" w:eastAsia="方正小标宋简体" w:cs="方正小标宋简体"/>
          <w:color w:val="auto"/>
          <w:sz w:val="52"/>
          <w:szCs w:val="52"/>
          <w:highlight w:val="none"/>
          <w:lang w:val="en-US" w:eastAsia="zh-CN"/>
        </w:rPr>
        <w:t>部门决算</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imes New Roman"/>
          <w:color w:val="auto"/>
          <w:sz w:val="28"/>
          <w:szCs w:val="28"/>
          <w:highlight w:val="none"/>
        </w:rPr>
      </w:pPr>
    </w:p>
    <w:p>
      <w:pPr>
        <w:pStyle w:val="9"/>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 xml:space="preserve">30 </w:t>
      </w:r>
      <w:r>
        <w:rPr>
          <w:rFonts w:hint="eastAsia"/>
          <w:color w:val="auto"/>
          <w:highlight w:val="none"/>
        </w:rPr>
        <w:t>日</w:t>
      </w:r>
    </w:p>
    <w:p>
      <w:pPr>
        <w:rPr>
          <w:color w:val="auto"/>
          <w:highlight w:val="none"/>
        </w:rPr>
      </w:pPr>
    </w:p>
    <w:p>
      <w:pPr>
        <w:pStyle w:val="9"/>
        <w:adjustRightInd w:val="0"/>
        <w:snapToGrid w:val="0"/>
        <w:spacing w:before="0" w:line="440" w:lineRule="exact"/>
        <w:jc w:val="left"/>
        <w:rPr>
          <w:rFonts w:hint="default" w:cs="Times New Roman"/>
          <w:color w:val="auto"/>
          <w:sz w:val="24"/>
          <w:szCs w:val="24"/>
          <w:highlight w:val="none"/>
          <w:lang w:val="en-US"/>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color w:val="auto"/>
          <w:sz w:val="24"/>
          <w:highlight w:val="none"/>
          <w:lang w:val="en-US" w:eastAsia="zh-CN"/>
        </w:rPr>
        <w:tab/>
      </w:r>
      <w:r>
        <w:rPr>
          <w:rFonts w:hint="eastAsia"/>
          <w:color w:val="auto"/>
          <w:sz w:val="24"/>
          <w:highlight w:val="none"/>
          <w:lang w:val="en-US" w:eastAsia="zh-CN"/>
        </w:rPr>
        <w:t>1</w:t>
      </w:r>
    </w:p>
    <w:p>
      <w:pPr>
        <w:pStyle w:val="10"/>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hint="eastAsia"/>
          <w:color w:val="auto"/>
          <w:sz w:val="24"/>
          <w:highlight w:val="none"/>
          <w:lang w:val="en-US" w:eastAsia="zh-CN"/>
        </w:rPr>
        <w:tab/>
      </w:r>
      <w:r>
        <w:rPr>
          <w:rFonts w:hint="eastAsia"/>
          <w:color w:val="auto"/>
          <w:sz w:val="24"/>
          <w:highlight w:val="none"/>
          <w:lang w:val="en-US" w:eastAsia="zh-CN"/>
        </w:rPr>
        <w:t>1</w:t>
      </w:r>
    </w:p>
    <w:p>
      <w:pPr>
        <w:pStyle w:val="10"/>
        <w:adjustRightInd w:val="0"/>
        <w:snapToGrid w:val="0"/>
        <w:spacing w:line="440" w:lineRule="exact"/>
        <w:jc w:val="left"/>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ab/>
      </w:r>
      <w:r>
        <w:rPr>
          <w:rFonts w:hint="eastAsia"/>
          <w:color w:val="auto"/>
          <w:sz w:val="24"/>
          <w:highlight w:val="none"/>
          <w:lang w:val="en-US" w:eastAsia="zh-CN"/>
        </w:rPr>
        <w:t>2</w:t>
      </w:r>
    </w:p>
    <w:p>
      <w:pPr>
        <w:pStyle w:val="9"/>
        <w:adjustRightInd w:val="0"/>
        <w:snapToGrid w:val="0"/>
        <w:spacing w:before="0" w:line="440" w:lineRule="exact"/>
        <w:jc w:val="left"/>
        <w:rPr>
          <w:rFonts w:hint="default"/>
          <w:color w:val="auto"/>
          <w:sz w:val="24"/>
          <w:szCs w:val="24"/>
          <w:highlight w:val="none"/>
          <w:lang w:val="en-US"/>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val="en-US" w:eastAsia="zh-CN"/>
        </w:rPr>
        <w:tab/>
      </w:r>
      <w:r>
        <w:rPr>
          <w:rFonts w:hint="eastAsia"/>
          <w:color w:val="auto"/>
          <w:sz w:val="24"/>
          <w:highlight w:val="none"/>
          <w:lang w:val="en-US" w:eastAsia="zh-CN"/>
        </w:rPr>
        <w:t>3</w:t>
      </w:r>
    </w:p>
    <w:p>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一、收入支出决算总体情况说明</w:t>
      </w:r>
      <w:r>
        <w:rPr>
          <w:rFonts w:hint="eastAsia"/>
          <w:color w:val="auto"/>
          <w:sz w:val="24"/>
          <w:highlight w:val="none"/>
          <w:lang w:val="en-US" w:eastAsia="zh-CN"/>
        </w:rPr>
        <w:tab/>
      </w:r>
      <w:r>
        <w:rPr>
          <w:rFonts w:hint="eastAsia"/>
          <w:color w:val="auto"/>
          <w:sz w:val="24"/>
          <w:highlight w:val="none"/>
          <w:lang w:val="en-US" w:eastAsia="zh-CN"/>
        </w:rPr>
        <w:t>3</w:t>
      </w:r>
    </w:p>
    <w:p>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二、收入决算情况说明</w:t>
      </w:r>
      <w:r>
        <w:rPr>
          <w:rFonts w:hint="eastAsia"/>
          <w:color w:val="auto"/>
          <w:sz w:val="24"/>
          <w:highlight w:val="none"/>
          <w:lang w:val="en-US" w:eastAsia="zh-CN"/>
        </w:rPr>
        <w:tab/>
      </w:r>
      <w:r>
        <w:rPr>
          <w:rFonts w:hint="eastAsia"/>
          <w:color w:val="auto"/>
          <w:sz w:val="24"/>
          <w:highlight w:val="none"/>
          <w:lang w:val="en-US" w:eastAsia="zh-CN"/>
        </w:rPr>
        <w:t>3</w:t>
      </w:r>
    </w:p>
    <w:p>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三、支出决算情况说明</w:t>
      </w:r>
      <w:r>
        <w:rPr>
          <w:rFonts w:hint="eastAsia"/>
          <w:color w:val="auto"/>
          <w:sz w:val="24"/>
          <w:highlight w:val="none"/>
          <w:lang w:val="en-US" w:eastAsia="zh-CN"/>
        </w:rPr>
        <w:tab/>
      </w:r>
      <w:r>
        <w:rPr>
          <w:rFonts w:hint="eastAsia"/>
          <w:color w:val="auto"/>
          <w:sz w:val="24"/>
          <w:highlight w:val="none"/>
          <w:lang w:val="en-US" w:eastAsia="zh-CN"/>
        </w:rPr>
        <w:t>4</w:t>
      </w:r>
    </w:p>
    <w:p>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四、财政拨款收入支出决算总体情况说明</w:t>
      </w:r>
      <w:r>
        <w:rPr>
          <w:rFonts w:hint="eastAsia"/>
          <w:color w:val="auto"/>
          <w:sz w:val="24"/>
          <w:highlight w:val="none"/>
          <w:lang w:val="en-US" w:eastAsia="zh-CN"/>
        </w:rPr>
        <w:tab/>
      </w:r>
      <w:r>
        <w:rPr>
          <w:rFonts w:hint="eastAsia"/>
          <w:color w:val="auto"/>
          <w:sz w:val="24"/>
          <w:highlight w:val="none"/>
          <w:lang w:val="en-US" w:eastAsia="zh-CN"/>
        </w:rPr>
        <w:t>5</w:t>
      </w:r>
    </w:p>
    <w:p>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五、一般公共预算财政拨款支出决算情况说明</w:t>
      </w:r>
      <w:r>
        <w:rPr>
          <w:rFonts w:hint="eastAsia"/>
          <w:color w:val="auto"/>
          <w:sz w:val="24"/>
          <w:highlight w:val="none"/>
          <w:lang w:val="en-US" w:eastAsia="zh-CN"/>
        </w:rPr>
        <w:tab/>
      </w:r>
      <w:r>
        <w:rPr>
          <w:rFonts w:hint="eastAsia"/>
          <w:color w:val="auto"/>
          <w:sz w:val="24"/>
          <w:highlight w:val="none"/>
          <w:lang w:val="en-US" w:eastAsia="zh-CN"/>
        </w:rPr>
        <w:t>5</w:t>
      </w:r>
    </w:p>
    <w:p>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六、一般公共预算财政拨款基本支出决算情况说明</w:t>
      </w:r>
      <w:r>
        <w:rPr>
          <w:rFonts w:hint="eastAsia"/>
          <w:color w:val="auto"/>
          <w:sz w:val="24"/>
          <w:highlight w:val="none"/>
          <w:lang w:val="en-US" w:eastAsia="zh-CN"/>
        </w:rPr>
        <w:tab/>
      </w:r>
      <w:r>
        <w:rPr>
          <w:rFonts w:hint="eastAsia"/>
          <w:color w:val="auto"/>
          <w:sz w:val="24"/>
          <w:highlight w:val="none"/>
          <w:lang w:val="en-US" w:eastAsia="zh-CN"/>
        </w:rPr>
        <w:t>8</w:t>
      </w:r>
    </w:p>
    <w:p>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ab/>
      </w:r>
      <w:r>
        <w:rPr>
          <w:rFonts w:hint="eastAsia"/>
          <w:color w:val="auto"/>
          <w:sz w:val="24"/>
          <w:highlight w:val="none"/>
          <w:lang w:val="en-US" w:eastAsia="zh-CN"/>
        </w:rPr>
        <w:t>9</w:t>
      </w:r>
    </w:p>
    <w:p>
      <w:pPr>
        <w:pStyle w:val="10"/>
        <w:adjustRightInd w:val="0"/>
        <w:snapToGrid w:val="0"/>
        <w:spacing w:line="440" w:lineRule="exact"/>
        <w:jc w:val="left"/>
        <w:rPr>
          <w:rFonts w:hint="default" w:ascii="仿宋" w:hAnsi="仿宋" w:eastAsia="仿宋" w:cs="Times New Roman"/>
          <w:color w:val="auto"/>
          <w:sz w:val="24"/>
          <w:highlight w:val="none"/>
          <w:lang w:val="en-US"/>
        </w:rPr>
      </w:pPr>
      <w:r>
        <w:rPr>
          <w:rFonts w:hint="eastAsia"/>
          <w:color w:val="auto"/>
          <w:sz w:val="24"/>
          <w:highlight w:val="none"/>
        </w:rPr>
        <w:t>八、政府性基金预算支出决算情况说明</w:t>
      </w:r>
      <w:r>
        <w:rPr>
          <w:rFonts w:hint="eastAsia"/>
          <w:color w:val="auto"/>
          <w:sz w:val="24"/>
          <w:highlight w:val="none"/>
          <w:lang w:val="en-US" w:eastAsia="zh-CN"/>
        </w:rPr>
        <w:tab/>
      </w:r>
      <w:r>
        <w:rPr>
          <w:rFonts w:hint="eastAsia"/>
          <w:color w:val="auto"/>
          <w:sz w:val="24"/>
          <w:highlight w:val="none"/>
          <w:lang w:val="en-US" w:eastAsia="zh-CN"/>
        </w:rPr>
        <w:t>10</w:t>
      </w:r>
    </w:p>
    <w:p>
      <w:pPr>
        <w:pStyle w:val="10"/>
        <w:adjustRightInd w:val="0"/>
        <w:snapToGrid w:val="0"/>
        <w:spacing w:line="440" w:lineRule="exact"/>
        <w:jc w:val="left"/>
        <w:rPr>
          <w:rFonts w:hint="default"/>
          <w:color w:val="auto"/>
          <w:sz w:val="24"/>
          <w:highlight w:val="none"/>
          <w:lang w:val="en-US"/>
        </w:rPr>
      </w:pPr>
      <w:r>
        <w:rPr>
          <w:rFonts w:hint="eastAsia"/>
          <w:color w:val="auto"/>
          <w:sz w:val="24"/>
          <w:highlight w:val="none"/>
        </w:rPr>
        <w:t>九、国有资本经营预算支出决算情况说明</w:t>
      </w:r>
      <w:r>
        <w:rPr>
          <w:rFonts w:hint="eastAsia"/>
          <w:color w:val="auto"/>
          <w:sz w:val="24"/>
          <w:highlight w:val="none"/>
          <w:lang w:val="en-US" w:eastAsia="zh-CN"/>
        </w:rPr>
        <w:tab/>
      </w:r>
      <w:r>
        <w:rPr>
          <w:rFonts w:hint="eastAsia"/>
          <w:color w:val="auto"/>
          <w:sz w:val="24"/>
          <w:highlight w:val="none"/>
          <w:lang w:val="en-US" w:eastAsia="zh-CN"/>
        </w:rPr>
        <w:t>10</w:t>
      </w:r>
    </w:p>
    <w:p>
      <w:pPr>
        <w:pStyle w:val="10"/>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ab/>
      </w:r>
      <w:r>
        <w:rPr>
          <w:rFonts w:hint="eastAsia"/>
          <w:color w:val="auto"/>
          <w:sz w:val="24"/>
          <w:highlight w:val="none"/>
          <w:lang w:val="en-US" w:eastAsia="zh-CN"/>
        </w:rPr>
        <w:t>10</w:t>
      </w:r>
    </w:p>
    <w:p>
      <w:pPr>
        <w:pStyle w:val="9"/>
        <w:adjustRightInd w:val="0"/>
        <w:snapToGrid w:val="0"/>
        <w:spacing w:before="0" w:line="440" w:lineRule="exact"/>
        <w:jc w:val="left"/>
        <w:rPr>
          <w:rFonts w:hint="default" w:cs="Times New Roman"/>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ab/>
      </w:r>
      <w:r>
        <w:rPr>
          <w:rFonts w:hint="eastAsia"/>
          <w:color w:val="auto"/>
          <w:sz w:val="24"/>
          <w:highlight w:val="none"/>
          <w:lang w:val="en-US" w:eastAsia="zh-CN"/>
        </w:rPr>
        <w:t>12</w:t>
      </w:r>
    </w:p>
    <w:p>
      <w:pPr>
        <w:pStyle w:val="9"/>
        <w:adjustRightInd w:val="0"/>
        <w:snapToGrid w:val="0"/>
        <w:spacing w:before="0" w:line="440" w:lineRule="exact"/>
        <w:jc w:val="left"/>
        <w:rPr>
          <w:rFonts w:hint="default" w:cs="Times New Roman"/>
          <w:color w:val="auto"/>
          <w:sz w:val="24"/>
          <w:szCs w:val="24"/>
          <w:highlight w:val="none"/>
          <w:lang w:val="en-US"/>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ab/>
      </w:r>
      <w:r>
        <w:rPr>
          <w:rFonts w:hint="eastAsia"/>
          <w:color w:val="auto"/>
          <w:sz w:val="24"/>
          <w:highlight w:val="none"/>
          <w:lang w:val="en-US" w:eastAsia="zh-CN"/>
        </w:rPr>
        <w:t>14</w:t>
      </w:r>
    </w:p>
    <w:p>
      <w:pPr>
        <w:pStyle w:val="9"/>
        <w:adjustRightInd w:val="0"/>
        <w:snapToGrid w:val="0"/>
        <w:spacing w:before="0" w:line="440" w:lineRule="exact"/>
        <w:jc w:val="left"/>
        <w:rPr>
          <w:rFonts w:hint="default" w:cs="Times New Roman"/>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ab/>
      </w:r>
      <w:r>
        <w:rPr>
          <w:rFonts w:hint="eastAsia"/>
          <w:color w:val="auto"/>
          <w:sz w:val="24"/>
          <w:highlight w:val="none"/>
          <w:lang w:val="en-US" w:eastAsia="zh-CN"/>
        </w:rPr>
        <w:t>17</w:t>
      </w:r>
    </w:p>
    <w:p>
      <w:pPr>
        <w:pStyle w:val="10"/>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0"/>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0"/>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0"/>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0"/>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0"/>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0"/>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0"/>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0"/>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0"/>
        <w:adjustRightInd w:val="0"/>
        <w:snapToGrid w:val="0"/>
        <w:spacing w:line="440" w:lineRule="exact"/>
        <w:jc w:val="left"/>
        <w:rPr>
          <w:rFonts w:hint="eastAsia"/>
          <w:color w:val="auto"/>
          <w:sz w:val="24"/>
          <w:highlight w:val="none"/>
        </w:rPr>
        <w:sectPr>
          <w:pgSz w:w="11906" w:h="16838"/>
          <w:pgMar w:top="1440" w:right="1800" w:bottom="1440" w:left="1800" w:header="851" w:footer="992" w:gutter="0"/>
          <w:pgNumType w:fmt="decimal"/>
          <w:cols w:space="425" w:num="1"/>
          <w:docGrid w:type="lines" w:linePitch="312" w:charSpace="0"/>
        </w:sectPr>
      </w:pPr>
    </w:p>
    <w:p>
      <w:pPr>
        <w:pStyle w:val="10"/>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r>
        <w:rPr>
          <w:rFonts w:hint="eastAsia"/>
          <w:color w:val="auto"/>
          <w:sz w:val="24"/>
          <w:highlight w:val="none"/>
          <w:lang w:eastAsia="zh-CN"/>
        </w:rPr>
        <w:t>（</w:t>
      </w:r>
      <w:r>
        <w:rPr>
          <w:rFonts w:hint="eastAsia"/>
          <w:color w:val="auto"/>
          <w:sz w:val="24"/>
          <w:highlight w:val="none"/>
          <w:lang w:val="en-US" w:eastAsia="zh-CN"/>
        </w:rPr>
        <w:t>此表无数据</w:t>
      </w:r>
      <w:r>
        <w:rPr>
          <w:rFonts w:hint="eastAsia"/>
          <w:color w:val="auto"/>
          <w:sz w:val="24"/>
          <w:highlight w:val="none"/>
          <w:lang w:eastAsia="zh-CN"/>
        </w:rPr>
        <w:t>）</w:t>
      </w:r>
    </w:p>
    <w:p>
      <w:pPr>
        <w:pStyle w:val="10"/>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r>
        <w:rPr>
          <w:rFonts w:hint="eastAsia"/>
          <w:color w:val="auto"/>
          <w:sz w:val="24"/>
          <w:highlight w:val="none"/>
          <w:lang w:eastAsia="zh-CN"/>
        </w:rPr>
        <w:t>（</w:t>
      </w:r>
      <w:r>
        <w:rPr>
          <w:rFonts w:hint="eastAsia"/>
          <w:color w:val="auto"/>
          <w:sz w:val="24"/>
          <w:highlight w:val="none"/>
          <w:lang w:val="en-US" w:eastAsia="zh-CN"/>
        </w:rPr>
        <w:t>此表无数据</w:t>
      </w:r>
      <w:r>
        <w:rPr>
          <w:rFonts w:hint="eastAsia"/>
          <w:color w:val="auto"/>
          <w:sz w:val="24"/>
          <w:highlight w:val="none"/>
          <w:lang w:eastAsia="zh-CN"/>
        </w:rPr>
        <w:t>）</w:t>
      </w:r>
    </w:p>
    <w:p>
      <w:pPr>
        <w:pStyle w:val="10"/>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color w:val="auto"/>
          <w:sz w:val="24"/>
          <w:highlight w:val="none"/>
          <w:lang w:eastAsia="zh-CN"/>
        </w:rPr>
        <w:t>（</w:t>
      </w:r>
      <w:r>
        <w:rPr>
          <w:rFonts w:hint="eastAsia"/>
          <w:color w:val="auto"/>
          <w:sz w:val="24"/>
          <w:highlight w:val="none"/>
          <w:lang w:val="en-US" w:eastAsia="zh-CN"/>
        </w:rPr>
        <w:t>此表无数据</w:t>
      </w:r>
      <w:r>
        <w:rPr>
          <w:rFonts w:hint="eastAsia"/>
          <w:color w:val="auto"/>
          <w:sz w:val="24"/>
          <w:highlight w:val="none"/>
          <w:lang w:eastAsia="zh-CN"/>
        </w:rPr>
        <w:t>）</w:t>
      </w:r>
    </w:p>
    <w:p>
      <w:pPr>
        <w:pStyle w:val="10"/>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r>
        <w:rPr>
          <w:rFonts w:hint="eastAsia"/>
          <w:color w:val="auto"/>
          <w:sz w:val="24"/>
          <w:highlight w:val="none"/>
          <w:lang w:eastAsia="zh-CN"/>
        </w:rPr>
        <w:t>（</w:t>
      </w:r>
      <w:r>
        <w:rPr>
          <w:rFonts w:hint="eastAsia"/>
          <w:color w:val="auto"/>
          <w:sz w:val="24"/>
          <w:highlight w:val="none"/>
          <w:lang w:val="en-US" w:eastAsia="zh-CN"/>
        </w:rPr>
        <w:t>此表无数据</w:t>
      </w:r>
      <w:r>
        <w:rPr>
          <w:rFonts w:hint="eastAsia"/>
          <w:color w:val="auto"/>
          <w:sz w:val="24"/>
          <w:highlight w:val="none"/>
          <w:lang w:eastAsia="zh-CN"/>
        </w:rPr>
        <w:t>）</w:t>
      </w:r>
    </w:p>
    <w:p>
      <w:pPr>
        <w:pStyle w:val="3"/>
        <w:jc w:val="center"/>
        <w:rPr>
          <w:rFonts w:hint="eastAsia" w:ascii="黑体" w:hAnsi="黑体" w:eastAsia="黑体"/>
          <w:b w:val="0"/>
          <w:color w:val="auto"/>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3"/>
        <w:jc w:val="center"/>
        <w:rPr>
          <w:rStyle w:val="1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14"/>
          <w:rFonts w:hint="eastAsia" w:ascii="黑体" w:hAnsi="黑体" w:eastAsia="黑体"/>
          <w:b w:val="0"/>
          <w:bCs w:val="0"/>
          <w:color w:val="auto"/>
          <w:highlight w:val="none"/>
        </w:rPr>
        <w:t>概况</w:t>
      </w:r>
    </w:p>
    <w:p>
      <w:pPr>
        <w:widowControl/>
        <w:jc w:val="left"/>
        <w:rPr>
          <w:rFonts w:ascii="黑体" w:eastAsia="黑体"/>
          <w:color w:val="auto"/>
          <w:sz w:val="32"/>
          <w:szCs w:val="32"/>
          <w:highlight w:val="none"/>
        </w:rPr>
      </w:pPr>
    </w:p>
    <w:p>
      <w:pPr>
        <w:pStyle w:val="4"/>
        <w:numPr>
          <w:ilvl w:val="0"/>
          <w:numId w:val="1"/>
        </w:numPr>
        <w:rPr>
          <w:rStyle w:val="15"/>
          <w:rFonts w:hint="eastAsia" w:ascii="黑体" w:hAnsi="黑体" w:eastAsia="黑体"/>
          <w:b w:val="0"/>
          <w:bCs w:val="0"/>
          <w:color w:val="auto"/>
          <w:highlight w:val="none"/>
          <w:lang w:eastAsia="zh-CN"/>
        </w:rPr>
      </w:pPr>
      <w:r>
        <w:rPr>
          <w:rStyle w:val="15"/>
          <w:rFonts w:hint="eastAsia" w:ascii="黑体" w:hAnsi="黑体" w:eastAsia="黑体"/>
          <w:b w:val="0"/>
          <w:bCs w:val="0"/>
          <w:color w:val="auto"/>
          <w:highlight w:val="none"/>
          <w:lang w:eastAsia="zh-CN"/>
        </w:rPr>
        <w:t>主要职责</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贯彻执行党和国家有关幼儿教育的方针、政策以及教育法规、规章，坚持正确的办园方向。</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执行上级的指示和决议；贯彻执行《幼儿教育纲要》和《幼儿园工作规程》，深化改革，强化管理，使各项工作程序化，规范化，制度化，不断提高保教水平。</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严格执行上级部门关于教育经费、教育拨款、教育基建的办法和方案；贯彻执行上级部门有关学生资助工作方针和政策，落实本园贫困家庭幼儿的资助工作。</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实行保育和教育相结合的原则，对幼儿实施体、智、德、美等方面全面发展的教育，促进其身心和谐发展。为家长解除后顾之忧，热忱为家长服务。</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5.严格执行幼儿园教师资格证书制度；统筹规划幼儿园教师和管理人员队伍建设；负责幼儿园全体教师的继续教育和培训工作，加强幼儿园人才队伍建设。</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6.严格执行幼儿园安全、卫生保健制度，保证幼儿身心健康和生命安全。充分利用幼儿和社区的资源优势，面向家长开展多种形式的早期教育宣传、指导等服务，促进家庭教育质量的不断提高。</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7.以《幼儿园教育指导纲要》《幼儿园工作规程》《3-6岁儿童学习与发展指南》为依据，结合幼儿的年龄特点、发展经验和需要制定适合幼儿身心健康发展的教育活动。</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8.尊重幼儿的人格尊严和基本权利，尊重幼儿身心发展的特点和规律，为幼儿提供健康、丰富的生活和活动环境。合理组织幼儿一日生活活动</w:t>
      </w:r>
      <w:r>
        <w:rPr>
          <w:rFonts w:hint="eastAsia" w:ascii="仿宋" w:hAnsi="仿宋" w:eastAsia="仿宋"/>
          <w:sz w:val="32"/>
          <w:szCs w:val="32"/>
          <w:lang w:eastAsia="zh-CN"/>
        </w:rPr>
        <w:t>和其他</w:t>
      </w:r>
      <w:r>
        <w:rPr>
          <w:rFonts w:hint="eastAsia" w:ascii="仿宋" w:hAnsi="仿宋" w:eastAsia="仿宋"/>
          <w:sz w:val="32"/>
          <w:szCs w:val="32"/>
        </w:rPr>
        <w:t>活动，促进幼儿体智德美等和谐发展，全面实施素质教育。</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lang w:eastAsia="zh-CN"/>
        </w:rPr>
      </w:pPr>
      <w:r>
        <w:rPr>
          <w:rFonts w:hint="eastAsia" w:ascii="仿宋" w:hAnsi="仿宋" w:eastAsia="仿宋" w:cs="Times New Roman"/>
          <w:b w:val="0"/>
          <w:bCs w:val="0"/>
          <w:kern w:val="2"/>
          <w:sz w:val="32"/>
          <w:szCs w:val="32"/>
          <w:lang w:val="en-US" w:eastAsia="zh-CN" w:bidi="ar-SA"/>
        </w:rPr>
        <w:t>9.贯彻幼儿教育法规、传播科学教育理念、开展教育科学研究、培训师资，推动学前教育的良性发展。</w:t>
      </w:r>
    </w:p>
    <w:p>
      <w:pPr>
        <w:pStyle w:val="4"/>
        <w:numPr>
          <w:ilvl w:val="0"/>
          <w:numId w:val="0"/>
        </w:numPr>
        <w:rPr>
          <w:rFonts w:hint="eastAsia" w:ascii="黑体" w:hAnsi="黑体" w:eastAsia="黑体"/>
          <w:b w:val="0"/>
          <w:color w:val="auto"/>
          <w:highlight w:val="none"/>
          <w:lang w:val="en-US" w:eastAsia="zh-CN"/>
        </w:rPr>
      </w:pP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本单位为广元市利州区教育局所属二级预算单位，单位性质为财政补助事业单位，内设部门6个（园长办公室、安办、园务处、财务部、人事部、党建处）。正式在职教职工年初5人，年末5人。临聘教职工38人，安保人员2人。退休教师0人。教学班11个（小班4个，中班4个，大班3个），在园幼儿367人。</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14"/>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14"/>
          <w:rFonts w:hint="eastAsia" w:ascii="黑体" w:hAnsi="黑体" w:eastAsia="黑体"/>
          <w:b w:val="0"/>
          <w:bCs/>
          <w:color w:val="auto"/>
          <w:highlight w:val="none"/>
          <w:lang w:eastAsia="zh-CN"/>
        </w:rPr>
        <w:t>单位</w:t>
      </w:r>
      <w:r>
        <w:rPr>
          <w:rStyle w:val="14"/>
          <w:rFonts w:hint="eastAsia" w:ascii="黑体" w:hAnsi="黑体" w:eastAsia="黑体"/>
          <w:b w:val="0"/>
          <w:bCs/>
          <w:color w:val="auto"/>
          <w:highlight w:val="none"/>
        </w:rPr>
        <w:t>决算情况说明</w:t>
      </w:r>
    </w:p>
    <w:p>
      <w:pPr>
        <w:rPr>
          <w:color w:val="auto"/>
          <w:highlight w:val="none"/>
        </w:rPr>
      </w:pPr>
    </w:p>
    <w:p>
      <w:pPr>
        <w:pStyle w:val="16"/>
        <w:numPr>
          <w:ilvl w:val="0"/>
          <w:numId w:val="0"/>
        </w:numPr>
        <w:spacing w:line="600" w:lineRule="exact"/>
        <w:ind w:left="640" w:leftChars="0"/>
        <w:outlineLvl w:val="1"/>
        <w:rPr>
          <w:rStyle w:val="15"/>
          <w:rFonts w:ascii="黑体" w:hAnsi="黑体" w:eastAsia="黑体"/>
          <w:b w:val="0"/>
          <w:color w:val="auto"/>
          <w:highlight w:val="none"/>
        </w:rPr>
      </w:pPr>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15"/>
          <w:rFonts w:hint="eastAsia" w:ascii="黑体" w:hAnsi="黑体" w:eastAsia="黑体"/>
          <w:b w:val="0"/>
          <w:color w:val="auto"/>
          <w:highlight w:val="none"/>
        </w:rPr>
        <w:t>入支出决算总体情况说明</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168.43</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本单位为民转公回购园，无2022年数据。</w:t>
      </w:r>
    </w:p>
    <w:p>
      <w:pPr>
        <w:pStyle w:val="2"/>
        <w:rPr>
          <w:rFonts w:hint="eastAsia"/>
          <w:lang w:eastAsia="zh-CN"/>
        </w:rPr>
      </w:pPr>
      <w:r>
        <w:rPr>
          <w:rFonts w:hint="eastAsia"/>
          <w:lang w:eastAsia="zh-CN"/>
        </w:rPr>
        <w:drawing>
          <wp:inline distT="0" distB="0" distL="114300" distR="114300">
            <wp:extent cx="5256530" cy="2988310"/>
            <wp:effectExtent l="5080" t="4445" r="889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6"/>
        <w:numPr>
          <w:ilvl w:val="0"/>
          <w:numId w:val="0"/>
        </w:numPr>
        <w:spacing w:line="600" w:lineRule="exact"/>
        <w:ind w:left="640" w:leftChars="0"/>
        <w:outlineLvl w:val="1"/>
        <w:rPr>
          <w:rStyle w:val="15"/>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15"/>
          <w:rFonts w:hint="eastAsia" w:ascii="黑体" w:hAnsi="黑体" w:eastAsia="黑体"/>
          <w:b w:val="0"/>
          <w:color w:val="auto"/>
          <w:highlight w:val="none"/>
        </w:rPr>
        <w:t>入决算情况说明</w:t>
      </w:r>
    </w:p>
    <w:p>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本年收入合计</w:t>
      </w:r>
      <w:r>
        <w:rPr>
          <w:rFonts w:hint="eastAsia" w:ascii="仿宋" w:hAnsi="仿宋" w:eastAsia="仿宋"/>
          <w:color w:val="auto"/>
          <w:sz w:val="32"/>
          <w:szCs w:val="32"/>
          <w:highlight w:val="none"/>
          <w:lang w:val="en-US" w:eastAsia="zh-CN"/>
        </w:rPr>
        <w:t>168.43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168.40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99.98</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eastAsia="宋体"/>
          <w:lang w:eastAsia="zh-CN"/>
        </w:rPr>
      </w:pPr>
      <w:r>
        <w:rPr>
          <w:rFonts w:hint="eastAsia" w:eastAsia="宋体"/>
          <w:lang w:eastAsia="zh-CN"/>
        </w:rPr>
        <w:drawing>
          <wp:inline distT="0" distB="0" distL="114300" distR="114300">
            <wp:extent cx="5256530" cy="2988310"/>
            <wp:effectExtent l="5080" t="4445" r="15240" b="17145"/>
            <wp:docPr id="14" name="图表 14"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6"/>
        <w:numPr>
          <w:ilvl w:val="0"/>
          <w:numId w:val="0"/>
        </w:numPr>
        <w:spacing w:line="600" w:lineRule="exact"/>
        <w:ind w:left="640" w:leftChars="0"/>
        <w:outlineLvl w:val="1"/>
        <w:rPr>
          <w:rStyle w:val="15"/>
          <w:rFonts w:ascii="黑体" w:hAnsi="黑体" w:eastAsia="黑体"/>
          <w:b w:val="0"/>
          <w:color w:val="auto"/>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15"/>
          <w:rFonts w:hint="eastAsia" w:ascii="黑体" w:hAnsi="黑体" w:eastAsia="黑体"/>
          <w:b w:val="0"/>
          <w:color w:val="auto"/>
          <w:highlight w:val="none"/>
        </w:rPr>
        <w:t>出决算情况说明</w:t>
      </w:r>
    </w:p>
    <w:p>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本年支出合计</w:t>
      </w:r>
      <w:r>
        <w:rPr>
          <w:rFonts w:hint="eastAsia" w:ascii="仿宋" w:hAnsi="仿宋" w:eastAsia="仿宋"/>
          <w:color w:val="auto"/>
          <w:sz w:val="32"/>
          <w:szCs w:val="32"/>
          <w:highlight w:val="none"/>
          <w:lang w:val="en-US" w:eastAsia="zh-CN"/>
        </w:rPr>
        <w:t>168.43</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57.2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33.96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111.23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66.04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方正仿宋_GB2312" w:eastAsia="方正仿宋_GB2312"/>
          <w:color w:val="auto"/>
          <w:sz w:val="32"/>
          <w:szCs w:val="32"/>
          <w:highlight w:val="none"/>
        </w:rPr>
      </w:pPr>
      <w:r>
        <w:rPr>
          <w:rFonts w:ascii="方正仿宋_GB2312" w:eastAsia="方正仿宋_GB2312"/>
          <w:color w:val="auto"/>
          <w:sz w:val="32"/>
          <w:szCs w:val="32"/>
        </w:rPr>
        <w:drawing>
          <wp:anchor distT="0" distB="0" distL="114300" distR="114300" simplePos="0" relativeHeight="251660288" behindDoc="0" locked="0" layoutInCell="1" allowOverlap="1">
            <wp:simplePos x="0" y="0"/>
            <wp:positionH relativeFrom="column">
              <wp:posOffset>102870</wp:posOffset>
            </wp:positionH>
            <wp:positionV relativeFrom="paragraph">
              <wp:posOffset>329565</wp:posOffset>
            </wp:positionV>
            <wp:extent cx="5039995" cy="2129790"/>
            <wp:effectExtent l="4445" t="4445" r="22860" b="184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15"/>
          <w:rFonts w:ascii="黑体" w:hAnsi="黑体" w:eastAsia="黑体"/>
          <w:b w:val="0"/>
          <w:color w:val="auto"/>
          <w:highlight w:val="none"/>
        </w:rPr>
      </w:pPr>
      <w:r>
        <w:rPr>
          <w:rFonts w:hint="eastAsia" w:ascii="黑体" w:hAnsi="黑体" w:eastAsia="黑体"/>
          <w:color w:val="auto"/>
          <w:sz w:val="32"/>
          <w:szCs w:val="32"/>
          <w:highlight w:val="none"/>
        </w:rPr>
        <w:t>四、财</w:t>
      </w:r>
      <w:r>
        <w:rPr>
          <w:rStyle w:val="15"/>
          <w:rFonts w:hint="eastAsia" w:ascii="黑体" w:hAnsi="黑体" w:eastAsia="黑体"/>
          <w:b w:val="0"/>
          <w:color w:val="auto"/>
          <w:highlight w:val="none"/>
        </w:rPr>
        <w:t>政拨款收入支出决算总体情况说明</w:t>
      </w:r>
    </w:p>
    <w:p>
      <w:pPr>
        <w:spacing w:line="600" w:lineRule="exact"/>
        <w:ind w:firstLine="640"/>
        <w:rPr>
          <w:rFonts w:hint="eastAsia" w:ascii="黑体" w:hAnsi="黑体" w:eastAsia="黑体"/>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168.43</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相比，财政拨款收、支总计各减少</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Style w:val="15"/>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5"/>
          <w:rFonts w:hint="eastAsia" w:ascii="黑体" w:hAnsi="黑体" w:eastAsia="黑体"/>
          <w:b w:val="0"/>
          <w:color w:val="auto"/>
          <w:highlight w:val="none"/>
        </w:rPr>
        <w:t>般公共预算财政拨款支出决算情况说明</w:t>
      </w: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（一）一般公共预算财政拨款支出决算总体情况</w: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168.4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168.4</w:t>
      </w:r>
      <w:r>
        <w:rPr>
          <w:rFonts w:hint="eastAsia" w:ascii="仿宋" w:hAnsi="仿宋" w:eastAsia="仿宋"/>
          <w:color w:val="auto"/>
          <w:sz w:val="32"/>
          <w:szCs w:val="32"/>
          <w:highlight w:val="none"/>
        </w:rPr>
        <w:t>万元，主要用于以下方面</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166.09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 xml:space="preserve">98.62 </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1.93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 xml:space="preserve">1.14 </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0.08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 xml:space="preserve">0.04 </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 xml:space="preserve">0.2 </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118110</wp:posOffset>
            </wp:positionH>
            <wp:positionV relativeFrom="paragraph">
              <wp:posOffset>262255</wp:posOffset>
            </wp:positionV>
            <wp:extent cx="5256530" cy="2988310"/>
            <wp:effectExtent l="5080" t="4445" r="15240" b="17145"/>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p>
    <w:p>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lang w:eastAsia="zh-CN"/>
        </w:rPr>
        <w:t>2023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度一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168.43</w:t>
      </w:r>
      <w:r>
        <w:rPr>
          <w:rFonts w:hint="eastAsia" w:ascii="仿宋" w:hAnsi="仿宋" w:eastAsia="仿宋"/>
          <w:color w:val="auto"/>
          <w:sz w:val="32"/>
          <w:szCs w:val="32"/>
          <w:highlight w:val="none"/>
        </w:rPr>
        <w:t>，</w:t>
      </w:r>
      <w:r>
        <w:rPr>
          <w:rStyle w:val="13"/>
          <w:rFonts w:hint="eastAsia" w:ascii="仿宋" w:hAnsi="仿宋" w:eastAsia="仿宋" w:cs="Times New Roman"/>
          <w:bCs/>
          <w:color w:val="auto"/>
          <w:sz w:val="32"/>
          <w:szCs w:val="32"/>
          <w:highlight w:val="none"/>
          <w:lang w:val="en-US" w:eastAsia="zh-CN"/>
        </w:rPr>
        <w:t>全年预算数为</w:t>
      </w:r>
      <w:r>
        <w:rPr>
          <w:rFonts w:hint="eastAsia" w:ascii="仿宋" w:hAnsi="仿宋" w:eastAsia="仿宋"/>
          <w:color w:val="auto"/>
          <w:sz w:val="32"/>
          <w:szCs w:val="32"/>
          <w:highlight w:val="none"/>
          <w:lang w:val="en-US" w:eastAsia="zh-CN"/>
        </w:rPr>
        <w:t>168.43，</w:t>
      </w:r>
      <w:r>
        <w:rPr>
          <w:rStyle w:val="13"/>
          <w:rFonts w:hint="eastAsia" w:ascii="仿宋" w:hAnsi="仿宋" w:eastAsia="仿宋"/>
          <w:bCs/>
          <w:color w:val="auto"/>
          <w:sz w:val="32"/>
          <w:szCs w:val="32"/>
          <w:highlight w:val="none"/>
        </w:rPr>
        <w:t>完成预算</w:t>
      </w:r>
      <w:r>
        <w:rPr>
          <w:rFonts w:hint="eastAsia" w:ascii="仿宋" w:hAnsi="仿宋" w:eastAsia="仿宋" w:cs="Times New Roman"/>
          <w:color w:val="auto"/>
          <w:sz w:val="32"/>
          <w:szCs w:val="32"/>
          <w:highlight w:val="none"/>
          <w:lang w:val="en-US" w:eastAsia="zh-CN"/>
        </w:rPr>
        <w:t>100%。</w:t>
      </w:r>
      <w:r>
        <w:rPr>
          <w:rStyle w:val="13"/>
          <w:rFonts w:hint="eastAsia" w:ascii="仿宋" w:hAnsi="仿宋" w:eastAsia="仿宋"/>
          <w:bCs/>
          <w:color w:val="auto"/>
          <w:sz w:val="32"/>
          <w:szCs w:val="32"/>
          <w:highlight w:val="none"/>
        </w:rPr>
        <w:t>其中：</w:t>
      </w:r>
    </w:p>
    <w:p>
      <w:pPr>
        <w:spacing w:line="600" w:lineRule="exact"/>
        <w:ind w:firstLine="643" w:firstLineChars="200"/>
        <w:rPr>
          <w:rFonts w:ascii="仿宋" w:hAnsi="仿宋" w:eastAsia="仿宋"/>
          <w:b/>
          <w:color w:val="auto"/>
          <w:sz w:val="32"/>
          <w:szCs w:val="32"/>
          <w:highlight w:val="none"/>
        </w:rPr>
      </w:pPr>
      <w:r>
        <w:rPr>
          <w:rStyle w:val="13"/>
          <w:rFonts w:ascii="仿宋" w:hAnsi="仿宋" w:eastAsia="仿宋"/>
          <w:bCs/>
          <w:color w:val="auto"/>
          <w:sz w:val="32"/>
          <w:szCs w:val="32"/>
          <w:highlight w:val="none"/>
        </w:rPr>
        <w:t>1.</w:t>
      </w:r>
      <w:r>
        <w:rPr>
          <w:rStyle w:val="13"/>
          <w:rFonts w:hint="eastAsia" w:ascii="仿宋" w:hAnsi="仿宋" w:eastAsia="仿宋"/>
          <w:bCs/>
          <w:color w:val="auto"/>
          <w:sz w:val="32"/>
          <w:szCs w:val="32"/>
          <w:highlight w:val="none"/>
        </w:rPr>
        <w:t>教育（类）</w:t>
      </w:r>
      <w:r>
        <w:rPr>
          <w:rStyle w:val="13"/>
          <w:rFonts w:hint="eastAsia" w:ascii="仿宋" w:hAnsi="仿宋" w:eastAsia="仿宋"/>
          <w:bCs/>
          <w:color w:val="auto"/>
          <w:sz w:val="32"/>
          <w:szCs w:val="32"/>
          <w:highlight w:val="none"/>
          <w:lang w:val="en-US" w:eastAsia="zh-CN"/>
        </w:rPr>
        <w:t>普通教育</w:t>
      </w:r>
      <w:r>
        <w:rPr>
          <w:rStyle w:val="13"/>
          <w:rFonts w:hint="eastAsia" w:ascii="仿宋" w:hAnsi="仿宋" w:eastAsia="仿宋"/>
          <w:bCs/>
          <w:color w:val="auto"/>
          <w:sz w:val="32"/>
          <w:szCs w:val="32"/>
          <w:highlight w:val="none"/>
        </w:rPr>
        <w:t>（款）</w:t>
      </w:r>
      <w:r>
        <w:rPr>
          <w:rStyle w:val="13"/>
          <w:rFonts w:hint="eastAsia" w:ascii="仿宋" w:hAnsi="仿宋" w:eastAsia="仿宋"/>
          <w:bCs/>
          <w:color w:val="auto"/>
          <w:sz w:val="32"/>
          <w:szCs w:val="32"/>
          <w:highlight w:val="none"/>
          <w:lang w:val="en-US" w:eastAsia="zh-CN"/>
        </w:rPr>
        <w:t>学前教育</w:t>
      </w:r>
      <w:r>
        <w:rPr>
          <w:rStyle w:val="13"/>
          <w:rFonts w:hint="eastAsia" w:ascii="仿宋" w:hAnsi="仿宋" w:eastAsia="仿宋"/>
          <w:bCs/>
          <w:color w:val="auto"/>
          <w:sz w:val="32"/>
          <w:szCs w:val="32"/>
          <w:highlight w:val="none"/>
        </w:rPr>
        <w:t>（项）</w:t>
      </w:r>
      <w:r>
        <w:rPr>
          <w:rStyle w:val="13"/>
          <w:rFonts w:hint="eastAsia" w:ascii="仿宋" w:hAnsi="仿宋" w:eastAsia="仿宋"/>
          <w:bCs/>
          <w:color w:val="auto"/>
          <w:sz w:val="32"/>
          <w:szCs w:val="32"/>
          <w:highlight w:val="none"/>
          <w:lang w:eastAsia="zh-CN"/>
        </w:rPr>
        <w:t>：</w:t>
      </w:r>
      <w:r>
        <w:rPr>
          <w:rStyle w:val="13"/>
          <w:rFonts w:ascii="仿宋" w:hAnsi="仿宋" w:eastAsia="仿宋"/>
          <w:b w:val="0"/>
          <w:bCs/>
          <w:color w:val="auto"/>
          <w:sz w:val="32"/>
          <w:szCs w:val="32"/>
          <w:highlight w:val="none"/>
        </w:rPr>
        <w:t xml:space="preserve"> </w:t>
      </w:r>
      <w:r>
        <w:rPr>
          <w:rStyle w:val="13"/>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166.13</w:t>
      </w:r>
      <w:r>
        <w:rPr>
          <w:rStyle w:val="13"/>
          <w:rFonts w:hint="eastAsia" w:ascii="仿宋" w:hAnsi="仿宋" w:eastAsia="仿宋"/>
          <w:b w:val="0"/>
          <w:bCs/>
          <w:color w:val="auto"/>
          <w:sz w:val="32"/>
          <w:szCs w:val="32"/>
          <w:highlight w:val="none"/>
        </w:rPr>
        <w:t>万元，</w:t>
      </w:r>
      <w:r>
        <w:rPr>
          <w:rStyle w:val="13"/>
          <w:rFonts w:hint="eastAsia" w:ascii="仿宋" w:hAnsi="仿宋" w:eastAsia="仿宋"/>
          <w:b w:val="0"/>
          <w:bCs/>
          <w:color w:val="auto"/>
          <w:sz w:val="32"/>
          <w:szCs w:val="32"/>
          <w:highlight w:val="none"/>
          <w:lang w:val="en-US" w:eastAsia="zh-CN"/>
        </w:rPr>
        <w:t>全年预算为166.13万元，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val="en-US" w:eastAsia="zh-CN"/>
        </w:rPr>
        <w:t>全年持平</w:t>
      </w:r>
      <w:r>
        <w:rPr>
          <w:rStyle w:val="13"/>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3"/>
          <w:rFonts w:hint="eastAsia" w:ascii="仿宋" w:hAnsi="仿宋" w:eastAsia="仿宋"/>
          <w:bCs/>
          <w:color w:val="auto"/>
          <w:sz w:val="32"/>
          <w:szCs w:val="32"/>
          <w:highlight w:val="none"/>
          <w:lang w:val="en-US" w:eastAsia="zh-CN"/>
        </w:rPr>
        <w:t>2</w:t>
      </w:r>
      <w:r>
        <w:rPr>
          <w:rStyle w:val="13"/>
          <w:rFonts w:ascii="仿宋" w:hAnsi="仿宋" w:eastAsia="仿宋"/>
          <w:bCs/>
          <w:color w:val="auto"/>
          <w:sz w:val="32"/>
          <w:szCs w:val="32"/>
          <w:highlight w:val="none"/>
        </w:rPr>
        <w:t>.</w:t>
      </w:r>
      <w:r>
        <w:rPr>
          <w:rStyle w:val="13"/>
          <w:rFonts w:hint="eastAsia" w:ascii="仿宋" w:hAnsi="仿宋" w:eastAsia="仿宋"/>
          <w:bCs/>
          <w:color w:val="auto"/>
          <w:sz w:val="32"/>
          <w:szCs w:val="32"/>
          <w:highlight w:val="none"/>
        </w:rPr>
        <w:t>社会保障和就业（类）</w:t>
      </w:r>
      <w:r>
        <w:rPr>
          <w:rStyle w:val="13"/>
          <w:rFonts w:hint="eastAsia" w:ascii="仿宋" w:hAnsi="仿宋" w:eastAsia="仿宋"/>
          <w:bCs/>
          <w:color w:val="auto"/>
          <w:sz w:val="32"/>
          <w:szCs w:val="32"/>
          <w:highlight w:val="none"/>
          <w:lang w:eastAsia="zh-CN"/>
        </w:rPr>
        <w:t>：</w:t>
      </w:r>
      <w:r>
        <w:rPr>
          <w:rStyle w:val="13"/>
          <w:rFonts w:ascii="仿宋" w:hAnsi="仿宋" w:eastAsia="仿宋"/>
          <w:b w:val="0"/>
          <w:bCs/>
          <w:color w:val="auto"/>
          <w:sz w:val="32"/>
          <w:szCs w:val="32"/>
          <w:highlight w:val="none"/>
        </w:rPr>
        <w:t xml:space="preserve"> </w:t>
      </w:r>
      <w:r>
        <w:rPr>
          <w:rStyle w:val="13"/>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1.93</w:t>
      </w:r>
      <w:r>
        <w:rPr>
          <w:rStyle w:val="13"/>
          <w:rFonts w:hint="eastAsia" w:ascii="仿宋" w:hAnsi="仿宋" w:eastAsia="仿宋"/>
          <w:b w:val="0"/>
          <w:bCs/>
          <w:color w:val="auto"/>
          <w:sz w:val="32"/>
          <w:szCs w:val="32"/>
          <w:highlight w:val="none"/>
        </w:rPr>
        <w:t>万元，</w:t>
      </w:r>
      <w:r>
        <w:rPr>
          <w:rStyle w:val="13"/>
          <w:rFonts w:hint="eastAsia" w:ascii="仿宋" w:hAnsi="仿宋" w:eastAsia="仿宋"/>
          <w:b w:val="0"/>
          <w:bCs/>
          <w:color w:val="auto"/>
          <w:sz w:val="32"/>
          <w:szCs w:val="32"/>
          <w:highlight w:val="none"/>
          <w:lang w:val="en-US" w:eastAsia="zh-CN"/>
        </w:rPr>
        <w:t>全年预算为1.93万元，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val="en-US" w:eastAsia="zh-CN"/>
        </w:rPr>
        <w:t>全年持平</w:t>
      </w:r>
      <w:r>
        <w:rPr>
          <w:rStyle w:val="13"/>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3"/>
          <w:rFonts w:hint="eastAsia" w:ascii="仿宋" w:hAnsi="仿宋" w:eastAsia="仿宋"/>
          <w:bCs/>
          <w:color w:val="auto"/>
          <w:sz w:val="32"/>
          <w:szCs w:val="32"/>
          <w:highlight w:val="none"/>
          <w:lang w:val="en-US" w:eastAsia="zh-CN"/>
        </w:rPr>
        <w:t>3</w:t>
      </w:r>
      <w:r>
        <w:rPr>
          <w:rStyle w:val="13"/>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3"/>
          <w:rFonts w:hint="eastAsia" w:ascii="仿宋" w:hAnsi="仿宋" w:eastAsia="仿宋"/>
          <w:bCs/>
          <w:color w:val="auto"/>
          <w:sz w:val="32"/>
          <w:szCs w:val="32"/>
          <w:highlight w:val="none"/>
        </w:rPr>
        <w:t>（类）</w:t>
      </w:r>
      <w:r>
        <w:rPr>
          <w:rStyle w:val="13"/>
          <w:rFonts w:hint="eastAsia" w:ascii="仿宋" w:hAnsi="仿宋" w:eastAsia="仿宋"/>
          <w:bCs/>
          <w:color w:val="auto"/>
          <w:sz w:val="32"/>
          <w:szCs w:val="32"/>
          <w:highlight w:val="none"/>
          <w:lang w:eastAsia="zh-CN"/>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0.08</w:t>
      </w:r>
      <w:r>
        <w:rPr>
          <w:rStyle w:val="13"/>
          <w:rFonts w:hint="eastAsia" w:ascii="仿宋" w:hAnsi="仿宋" w:eastAsia="仿宋"/>
          <w:b w:val="0"/>
          <w:bCs/>
          <w:color w:val="auto"/>
          <w:sz w:val="32"/>
          <w:szCs w:val="32"/>
          <w:highlight w:val="none"/>
        </w:rPr>
        <w:t>万元，</w:t>
      </w:r>
      <w:r>
        <w:rPr>
          <w:rStyle w:val="13"/>
          <w:rFonts w:hint="eastAsia" w:ascii="仿宋" w:hAnsi="仿宋" w:eastAsia="仿宋"/>
          <w:b w:val="0"/>
          <w:bCs/>
          <w:color w:val="auto"/>
          <w:sz w:val="32"/>
          <w:szCs w:val="32"/>
          <w:highlight w:val="none"/>
          <w:lang w:val="en-US" w:eastAsia="zh-CN"/>
        </w:rPr>
        <w:t>全年预算为0.08万元，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val="en-US" w:eastAsia="zh-CN"/>
        </w:rPr>
        <w:t>全年持平</w:t>
      </w:r>
      <w:r>
        <w:rPr>
          <w:rStyle w:val="13"/>
          <w:rFonts w:hint="eastAsia" w:ascii="仿宋" w:hAnsi="仿宋" w:eastAsia="仿宋"/>
          <w:b w:val="0"/>
          <w:bCs/>
          <w:color w:val="auto"/>
          <w:sz w:val="32"/>
          <w:szCs w:val="32"/>
          <w:highlight w:val="none"/>
        </w:rPr>
        <w:t>。</w:t>
      </w:r>
    </w:p>
    <w:p>
      <w:pPr>
        <w:spacing w:line="600" w:lineRule="exact"/>
        <w:rPr>
          <w:rFonts w:ascii="仿宋" w:hAnsi="仿宋" w:eastAsia="仿宋"/>
          <w:b/>
          <w:color w:val="auto"/>
          <w:sz w:val="32"/>
          <w:szCs w:val="32"/>
          <w:highlight w:val="none"/>
        </w:rPr>
      </w:pPr>
      <w:r>
        <w:rPr>
          <w:rFonts w:hint="eastAsia" w:ascii="仿宋" w:hAnsi="仿宋" w:eastAsia="仿宋"/>
          <w:color w:val="auto"/>
          <w:sz w:val="32"/>
          <w:szCs w:val="32"/>
          <w:highlight w:val="none"/>
          <w:lang w:val="en-US" w:eastAsia="zh-CN"/>
        </w:rPr>
        <w:t xml:space="preserve">    </w:t>
      </w:r>
      <w:r>
        <w:rPr>
          <w:rStyle w:val="13"/>
          <w:rFonts w:hint="eastAsia" w:ascii="仿宋" w:hAnsi="仿宋" w:eastAsia="仿宋" w:cs="Times New Roman"/>
          <w:bCs/>
          <w:color w:val="auto"/>
          <w:sz w:val="32"/>
          <w:szCs w:val="32"/>
          <w:highlight w:val="none"/>
          <w:lang w:val="en-US" w:eastAsia="zh-CN"/>
        </w:rPr>
        <w:t>4.住房保障（类）：</w:t>
      </w:r>
      <w:r>
        <w:rPr>
          <w:rStyle w:val="13"/>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0.3</w:t>
      </w:r>
      <w:r>
        <w:rPr>
          <w:rStyle w:val="13"/>
          <w:rFonts w:hint="eastAsia" w:ascii="仿宋" w:hAnsi="仿宋" w:eastAsia="仿宋"/>
          <w:b w:val="0"/>
          <w:bCs/>
          <w:color w:val="auto"/>
          <w:sz w:val="32"/>
          <w:szCs w:val="32"/>
          <w:highlight w:val="none"/>
        </w:rPr>
        <w:t>万元</w:t>
      </w:r>
      <w:r>
        <w:rPr>
          <w:rStyle w:val="13"/>
          <w:rFonts w:hint="eastAsia" w:ascii="仿宋" w:hAnsi="仿宋" w:eastAsia="仿宋"/>
          <w:b w:val="0"/>
          <w:bCs/>
          <w:color w:val="auto"/>
          <w:sz w:val="32"/>
          <w:szCs w:val="32"/>
          <w:highlight w:val="none"/>
          <w:lang w:eastAsia="zh-CN"/>
        </w:rPr>
        <w:t>，</w:t>
      </w:r>
      <w:r>
        <w:rPr>
          <w:rStyle w:val="13"/>
          <w:rFonts w:hint="eastAsia" w:ascii="仿宋" w:hAnsi="仿宋" w:eastAsia="仿宋"/>
          <w:b w:val="0"/>
          <w:bCs/>
          <w:color w:val="auto"/>
          <w:sz w:val="32"/>
          <w:szCs w:val="32"/>
          <w:highlight w:val="none"/>
          <w:lang w:val="en-US" w:eastAsia="zh-CN"/>
        </w:rPr>
        <w:t>全年预算为0.3万元，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lang w:val="en-US" w:eastAsia="zh-CN"/>
        </w:rPr>
        <w:t>全年持平</w:t>
      </w:r>
      <w:r>
        <w:rPr>
          <w:rStyle w:val="13"/>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15"/>
          <w:color w:val="FF0000"/>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5"/>
          <w:rFonts w:hint="eastAsia" w:ascii="黑体" w:hAnsi="黑体" w:eastAsia="黑体"/>
          <w:b w:val="0"/>
          <w:color w:val="auto"/>
          <w:highlight w:val="none"/>
        </w:rPr>
        <w:t>般公共预算财政拨款基本支出决算情况说明</w:t>
      </w:r>
      <w:r>
        <w:rPr>
          <w:rStyle w:val="15"/>
          <w:rFonts w:ascii="黑体" w:hAnsi="黑体" w:eastAsia="黑体"/>
          <w:b w:val="0"/>
          <w:color w:val="FF0000"/>
          <w:highlight w:val="none"/>
        </w:rPr>
        <w:tab/>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一般公共预算财政拨款基本支出</w:t>
      </w:r>
      <w:r>
        <w:rPr>
          <w:rFonts w:hint="eastAsia" w:ascii="仿宋" w:hAnsi="仿宋" w:eastAsia="仿宋"/>
          <w:color w:val="auto"/>
          <w:sz w:val="32"/>
          <w:szCs w:val="32"/>
          <w:highlight w:val="none"/>
          <w:lang w:val="en-US" w:eastAsia="zh-CN"/>
        </w:rPr>
        <w:t>168.4</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36.77</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pStyle w:val="2"/>
      </w:pP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20.40</w:t>
      </w:r>
      <w:r>
        <w:rPr>
          <w:rFonts w:hint="eastAsia" w:ascii="仿宋" w:hAnsi="仿宋" w:eastAsia="仿宋"/>
          <w:color w:val="auto"/>
          <w:sz w:val="32"/>
          <w:szCs w:val="32"/>
          <w:highlight w:val="none"/>
        </w:rPr>
        <w:t>万元，主要包括：</w:t>
      </w:r>
      <w:r>
        <w:rPr>
          <w:rFonts w:hint="eastAsia" w:ascii="仿宋" w:hAnsi="仿宋" w:eastAsia="仿宋"/>
          <w:color w:val="auto"/>
          <w:sz w:val="32"/>
          <w:szCs w:val="32"/>
          <w:highlight w:val="none"/>
          <w:lang w:val="en-US" w:eastAsia="zh-CN"/>
        </w:rPr>
        <w:t>商品和服务支出、</w:t>
      </w:r>
      <w:r>
        <w:rPr>
          <w:rFonts w:hint="eastAsia" w:ascii="仿宋" w:hAnsi="仿宋" w:eastAsia="仿宋"/>
          <w:color w:val="auto"/>
          <w:sz w:val="32"/>
          <w:szCs w:val="32"/>
          <w:highlight w:val="none"/>
        </w:rPr>
        <w:t>办公费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水费、电费、邮电费、差旅费、维修（护）费、租赁费、培训费、劳务费、委托业务费、工会经费、福利费、其他商品和服务支出、</w:t>
      </w:r>
      <w:r>
        <w:rPr>
          <w:rFonts w:hint="eastAsia" w:ascii="仿宋" w:hAnsi="仿宋" w:eastAsia="仿宋"/>
          <w:color w:val="auto"/>
          <w:sz w:val="32"/>
          <w:szCs w:val="32"/>
          <w:highlight w:val="none"/>
          <w:lang w:val="en-US" w:eastAsia="zh-CN"/>
        </w:rPr>
        <w:t>资本性支出、</w:t>
      </w:r>
      <w:r>
        <w:rPr>
          <w:rFonts w:hint="eastAsia" w:ascii="仿宋" w:hAnsi="仿宋" w:eastAsia="仿宋"/>
          <w:color w:val="auto"/>
          <w:sz w:val="32"/>
          <w:szCs w:val="32"/>
          <w:highlight w:val="none"/>
        </w:rPr>
        <w:t>办公设备购置。</w:t>
      </w:r>
    </w:p>
    <w:p>
      <w:pPr>
        <w:spacing w:line="600" w:lineRule="exact"/>
        <w:ind w:firstLine="640"/>
        <w:outlineLvl w:val="1"/>
        <w:rPr>
          <w:rStyle w:val="15"/>
          <w:rFonts w:ascii="黑体" w:hAnsi="黑体" w:eastAsia="黑体"/>
          <w:b w:val="0"/>
          <w:color w:val="auto"/>
          <w:highlight w:val="none"/>
        </w:rPr>
      </w:pPr>
      <w:r>
        <w:rPr>
          <w:rFonts w:hint="eastAsia" w:ascii="黑体" w:eastAsia="黑体"/>
          <w:color w:val="auto"/>
          <w:sz w:val="32"/>
          <w:szCs w:val="32"/>
          <w:highlight w:val="none"/>
        </w:rPr>
        <w:t>七、</w:t>
      </w:r>
      <w:r>
        <w:rPr>
          <w:rStyle w:val="15"/>
          <w:rFonts w:hint="eastAsia" w:ascii="黑体" w:hAnsi="黑体" w:eastAsia="黑体"/>
          <w:b w:val="0"/>
          <w:color w:val="auto"/>
          <w:highlight w:val="none"/>
        </w:rPr>
        <w:t>财政拨款</w:t>
      </w:r>
      <w:r>
        <w:rPr>
          <w:rStyle w:val="15"/>
          <w:rFonts w:hint="eastAsia" w:ascii="黑体" w:hAnsi="黑体" w:eastAsia="黑体"/>
          <w:color w:val="auto"/>
          <w:highlight w:val="none"/>
        </w:rPr>
        <w:t>“</w:t>
      </w:r>
      <w:r>
        <w:rPr>
          <w:rStyle w:val="15"/>
          <w:rFonts w:hint="eastAsia" w:ascii="黑体" w:hAnsi="黑体" w:eastAsia="黑体"/>
          <w:b w:val="0"/>
          <w:color w:val="auto"/>
          <w:highlight w:val="none"/>
        </w:rPr>
        <w:t>三公”经费支出决算情况说明</w:t>
      </w:r>
    </w:p>
    <w:p>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（一）“三公”经费财政拨款支出决算总体情况说明</w: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较上年度增加</w:t>
      </w:r>
      <w:r>
        <w:rPr>
          <w:rFonts w:hint="eastAsia" w:ascii="仿宋" w:hAnsi="仿宋" w:eastAsia="仿宋"/>
          <w:color w:val="auto"/>
          <w:sz w:val="32"/>
          <w:szCs w:val="32"/>
          <w:highlight w:val="none"/>
          <w:lang w:val="en-US" w:eastAsia="zh-CN"/>
        </w:rPr>
        <w:t>/减少0万元，增长/下降0%。较上年数据持平，</w:t>
      </w:r>
      <w:r>
        <w:rPr>
          <w:rFonts w:hint="eastAsia" w:ascii="仿宋" w:hAnsi="仿宋" w:eastAsia="仿宋"/>
          <w:color w:val="auto"/>
          <w:sz w:val="32"/>
          <w:szCs w:val="32"/>
          <w:highlight w:val="none"/>
        </w:rPr>
        <w:t>主要原因是</w:t>
      </w:r>
      <w:r>
        <w:rPr>
          <w:rFonts w:hint="eastAsia" w:ascii="仿宋" w:hAnsi="仿宋" w:eastAsia="仿宋"/>
          <w:color w:val="auto"/>
          <w:sz w:val="32"/>
          <w:szCs w:val="32"/>
          <w:highlight w:val="none"/>
          <w:lang w:val="en-US" w:eastAsia="zh-CN"/>
        </w:rPr>
        <w:t>新建学校全年未做三公经费支出</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方正仿宋_GB2312" w:eastAsia="方正仿宋_GB2312"/>
          <w:b/>
          <w:color w:val="auto"/>
          <w:sz w:val="32"/>
          <w:szCs w:val="32"/>
          <w:highlight w:val="none"/>
        </w:rPr>
      </w:pPr>
      <w:r>
        <w:rPr>
          <w:rFonts w:ascii="方正仿宋_GB2312" w:eastAsia="方正仿宋_GB2312"/>
          <w:b/>
          <w:color w:val="auto"/>
          <w:sz w:val="32"/>
          <w:szCs w:val="32"/>
          <w:highlight w:val="none"/>
        </w:rPr>
        <w:t>1.</w:t>
      </w:r>
      <w:r>
        <w:rPr>
          <w:rFonts w:hint="eastAsia" w:ascii="方正仿宋_GB2312" w:eastAsia="方正仿宋_GB2312"/>
          <w:b/>
          <w:color w:val="auto"/>
          <w:sz w:val="32"/>
          <w:szCs w:val="32"/>
          <w:highlight w:val="none"/>
        </w:rPr>
        <w:t>因公出国（境）经费支出</w:t>
      </w:r>
      <w:r>
        <w:rPr>
          <w:rFonts w:hint="eastAsia" w:ascii="方正仿宋_GB2312" w:eastAsia="方正仿宋_GB2312"/>
          <w:b/>
          <w:color w:val="auto"/>
          <w:sz w:val="32"/>
          <w:szCs w:val="32"/>
          <w:highlight w:val="none"/>
          <w:lang w:val="en-US" w:eastAsia="zh-CN"/>
        </w:rPr>
        <w:t>0</w:t>
      </w:r>
      <w:r>
        <w:rPr>
          <w:rFonts w:hint="eastAsia" w:ascii="方正仿宋_GB2312" w:eastAsia="方正仿宋_GB2312"/>
          <w:color w:val="auto"/>
          <w:sz w:val="32"/>
          <w:szCs w:val="32"/>
          <w:highlight w:val="none"/>
        </w:rPr>
        <w:t>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Fonts w:hint="eastAsia" w:ascii="方正仿宋_GB2312" w:eastAsia="方正仿宋_GB2312"/>
          <w:color w:val="auto"/>
          <w:sz w:val="32"/>
          <w:szCs w:val="32"/>
          <w:highlight w:val="none"/>
        </w:rPr>
        <w:t>全年安排因公出国（境）团</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组次，出国（境）</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人。因公出国（境）支出决算比</w:t>
      </w:r>
      <w:r>
        <w:rPr>
          <w:rFonts w:hint="eastAsia" w:ascii="方正仿宋_GB2312" w:eastAsia="方正仿宋_GB2312"/>
          <w:color w:val="auto"/>
          <w:sz w:val="32"/>
          <w:szCs w:val="32"/>
          <w:highlight w:val="none"/>
          <w:lang w:eastAsia="zh-CN"/>
        </w:rPr>
        <w:t>2022</w:t>
      </w:r>
      <w:r>
        <w:rPr>
          <w:rFonts w:hint="eastAsia" w:ascii="方正仿宋_GB2312" w:eastAsia="方正仿宋_GB2312"/>
          <w:color w:val="auto"/>
          <w:sz w:val="32"/>
          <w:szCs w:val="32"/>
          <w:highlight w:val="none"/>
        </w:rPr>
        <w:t>年</w:t>
      </w:r>
      <w:r>
        <w:rPr>
          <w:rFonts w:hint="eastAsia" w:ascii="方正仿宋_GB2312" w:eastAsia="方正仿宋_GB2312"/>
          <w:color w:val="auto"/>
          <w:sz w:val="32"/>
          <w:szCs w:val="32"/>
          <w:highlight w:val="none"/>
          <w:lang w:eastAsia="zh-CN"/>
        </w:rPr>
        <w:t>度</w:t>
      </w:r>
      <w:r>
        <w:rPr>
          <w:rFonts w:hint="eastAsia" w:ascii="方正仿宋_GB2312" w:eastAsia="方正仿宋_GB2312"/>
          <w:color w:val="auto"/>
          <w:sz w:val="32"/>
          <w:szCs w:val="32"/>
          <w:highlight w:val="none"/>
        </w:rPr>
        <w:t>增加</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减少</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万元，增长</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下降</w:t>
      </w:r>
      <w:r>
        <w:rPr>
          <w:rFonts w:hint="eastAsia" w:ascii="方正仿宋_GB2312" w:eastAsia="方正仿宋_GB2312"/>
          <w:color w:val="auto"/>
          <w:sz w:val="32"/>
          <w:szCs w:val="32"/>
          <w:highlight w:val="none"/>
          <w:lang w:val="en-US" w:eastAsia="zh-CN"/>
        </w:rPr>
        <w:t>0</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w:t>
      </w:r>
      <w:r>
        <w:rPr>
          <w:rFonts w:hint="eastAsia" w:ascii="方正仿宋_GB2312" w:eastAsia="方正仿宋_GB2312"/>
          <w:color w:val="auto"/>
          <w:sz w:val="32"/>
          <w:szCs w:val="32"/>
          <w:highlight w:val="none"/>
          <w:lang w:val="en-US" w:eastAsia="zh-CN"/>
        </w:rPr>
        <w:t>较上年数据持平</w:t>
      </w:r>
      <w:r>
        <w:rPr>
          <w:rFonts w:hint="eastAsia" w:ascii="方正仿宋_GB2312" w:eastAsia="方正仿宋_GB2312"/>
          <w:color w:val="auto"/>
          <w:sz w:val="32"/>
          <w:szCs w:val="32"/>
          <w:highlight w:val="none"/>
        </w:rPr>
        <w:t>。</w:t>
      </w:r>
    </w:p>
    <w:p>
      <w:pPr>
        <w:spacing w:line="600" w:lineRule="exact"/>
        <w:ind w:firstLine="640"/>
        <w:rPr>
          <w:rFonts w:ascii="方正仿宋_GB2312" w:eastAsia="方正仿宋_GB2312"/>
          <w:b/>
          <w:color w:val="auto"/>
          <w:sz w:val="32"/>
          <w:szCs w:val="32"/>
          <w:highlight w:val="none"/>
        </w:rPr>
      </w:pPr>
      <w:r>
        <w:rPr>
          <w:rFonts w:ascii="方正仿宋_GB2312" w:eastAsia="方正仿宋_GB2312"/>
          <w:b/>
          <w:color w:val="auto"/>
          <w:sz w:val="32"/>
          <w:szCs w:val="32"/>
          <w:highlight w:val="none"/>
        </w:rPr>
        <w:t>2.</w:t>
      </w:r>
      <w:r>
        <w:rPr>
          <w:rFonts w:hint="eastAsia" w:ascii="方正仿宋_GB2312" w:eastAsia="方正仿宋_GB2312"/>
          <w:b/>
          <w:color w:val="auto"/>
          <w:sz w:val="32"/>
          <w:szCs w:val="32"/>
          <w:highlight w:val="none"/>
        </w:rPr>
        <w:t>公务用车购置及运行维护费支出</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w:t>
      </w:r>
      <w:r>
        <w:rPr>
          <w:rFonts w:hint="eastAsia" w:ascii="方正仿宋_GB2312" w:eastAsia="方正仿宋_GB2312"/>
          <w:color w:val="auto"/>
          <w:sz w:val="32"/>
          <w:szCs w:val="32"/>
          <w:highlight w:val="none"/>
          <w:lang w:eastAsia="zh-CN"/>
        </w:rPr>
        <w:t>，</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Fonts w:hint="eastAsia" w:ascii="方正仿宋_GB2312" w:eastAsia="方正仿宋_GB2312"/>
          <w:color w:val="auto"/>
          <w:sz w:val="32"/>
          <w:szCs w:val="32"/>
          <w:highlight w:val="none"/>
        </w:rPr>
        <w:t>公务用车购置及运行维护费支出决算比</w:t>
      </w:r>
      <w:r>
        <w:rPr>
          <w:rFonts w:hint="eastAsia" w:ascii="方正仿宋_GB2312" w:eastAsia="方正仿宋_GB2312"/>
          <w:color w:val="auto"/>
          <w:sz w:val="32"/>
          <w:szCs w:val="32"/>
          <w:highlight w:val="none"/>
          <w:lang w:eastAsia="zh-CN"/>
        </w:rPr>
        <w:t>2022</w:t>
      </w:r>
      <w:r>
        <w:rPr>
          <w:rFonts w:hint="eastAsia" w:ascii="方正仿宋_GB2312" w:eastAsia="方正仿宋_GB2312"/>
          <w:color w:val="auto"/>
          <w:sz w:val="32"/>
          <w:szCs w:val="32"/>
          <w:highlight w:val="none"/>
        </w:rPr>
        <w:t>年</w:t>
      </w:r>
      <w:r>
        <w:rPr>
          <w:rFonts w:hint="eastAsia" w:ascii="方正仿宋_GB2312" w:eastAsia="方正仿宋_GB2312"/>
          <w:color w:val="auto"/>
          <w:sz w:val="32"/>
          <w:szCs w:val="32"/>
          <w:highlight w:val="none"/>
          <w:lang w:eastAsia="zh-CN"/>
        </w:rPr>
        <w:t>度</w:t>
      </w:r>
      <w:r>
        <w:rPr>
          <w:rFonts w:hint="eastAsia" w:ascii="方正仿宋_GB2312" w:eastAsia="方正仿宋_GB2312"/>
          <w:color w:val="auto"/>
          <w:sz w:val="32"/>
          <w:szCs w:val="32"/>
          <w:highlight w:val="none"/>
        </w:rPr>
        <w:t>增加</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减少</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万元，增长</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下降</w:t>
      </w:r>
      <w:r>
        <w:rPr>
          <w:rFonts w:hint="eastAsia" w:ascii="方正仿宋_GB2312" w:eastAsia="方正仿宋_GB2312"/>
          <w:color w:val="auto"/>
          <w:sz w:val="32"/>
          <w:szCs w:val="32"/>
          <w:highlight w:val="none"/>
          <w:lang w:val="en-US" w:eastAsia="zh-CN"/>
        </w:rPr>
        <w:t>0</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w:t>
      </w:r>
      <w:r>
        <w:rPr>
          <w:rFonts w:hint="eastAsia" w:ascii="方正仿宋_GB2312" w:eastAsia="方正仿宋_GB2312"/>
          <w:color w:val="auto"/>
          <w:sz w:val="32"/>
          <w:szCs w:val="32"/>
          <w:highlight w:val="none"/>
          <w:lang w:val="en-US" w:eastAsia="zh-CN"/>
        </w:rPr>
        <w:t>较上年数据持平</w:t>
      </w:r>
      <w:r>
        <w:rPr>
          <w:rFonts w:hint="eastAsia" w:ascii="方正仿宋_GB2312" w:eastAsia="方正仿宋_GB2312"/>
          <w:color w:val="auto"/>
          <w:sz w:val="32"/>
          <w:szCs w:val="32"/>
          <w:highlight w:val="none"/>
        </w:rPr>
        <w:t>。</w:t>
      </w:r>
    </w:p>
    <w:p>
      <w:pPr>
        <w:spacing w:line="600" w:lineRule="exact"/>
        <w:ind w:firstLine="640" w:firstLineChars="200"/>
        <w:rPr>
          <w:rFonts w:ascii="方正仿宋_GB2312" w:eastAsia="方正仿宋_GB2312"/>
          <w:b/>
          <w:color w:val="auto"/>
          <w:sz w:val="32"/>
          <w:szCs w:val="32"/>
          <w:highlight w:val="none"/>
        </w:rPr>
      </w:pPr>
      <w:r>
        <w:rPr>
          <w:rFonts w:hint="eastAsia" w:ascii="方正仿宋_GB2312" w:eastAsia="方正仿宋_GB2312"/>
          <w:color w:val="auto"/>
          <w:sz w:val="32"/>
          <w:szCs w:val="32"/>
          <w:highlight w:val="none"/>
        </w:rPr>
        <w:t>其中：</w:t>
      </w:r>
      <w:r>
        <w:rPr>
          <w:rFonts w:hint="eastAsia" w:ascii="方正仿宋_GB2312" w:eastAsia="方正仿宋_GB2312"/>
          <w:b/>
          <w:color w:val="auto"/>
          <w:sz w:val="32"/>
          <w:szCs w:val="32"/>
          <w:highlight w:val="none"/>
        </w:rPr>
        <w:t>公务用车购置支出</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万元。截至</w:t>
      </w:r>
      <w:r>
        <w:rPr>
          <w:rFonts w:hint="eastAsia" w:ascii="方正仿宋_GB2312" w:eastAsia="方正仿宋_GB2312"/>
          <w:color w:val="auto"/>
          <w:sz w:val="32"/>
          <w:szCs w:val="32"/>
          <w:highlight w:val="none"/>
          <w:lang w:eastAsia="zh-CN"/>
        </w:rPr>
        <w:t>2023</w:t>
      </w:r>
      <w:r>
        <w:rPr>
          <w:rFonts w:hint="eastAsia" w:ascii="方正仿宋_GB2312" w:eastAsia="方正仿宋_GB2312"/>
          <w:color w:val="auto"/>
          <w:sz w:val="32"/>
          <w:szCs w:val="32"/>
          <w:highlight w:val="none"/>
        </w:rPr>
        <w:t>年</w:t>
      </w:r>
      <w:r>
        <w:rPr>
          <w:rFonts w:ascii="方正仿宋_GB2312" w:eastAsia="方正仿宋_GB2312"/>
          <w:color w:val="auto"/>
          <w:sz w:val="32"/>
          <w:szCs w:val="32"/>
          <w:highlight w:val="none"/>
        </w:rPr>
        <w:t>12</w:t>
      </w:r>
      <w:r>
        <w:rPr>
          <w:rFonts w:hint="eastAsia" w:ascii="方正仿宋_GB2312" w:eastAsia="方正仿宋_GB2312"/>
          <w:color w:val="auto"/>
          <w:sz w:val="32"/>
          <w:szCs w:val="32"/>
          <w:highlight w:val="none"/>
        </w:rPr>
        <w:t>月</w:t>
      </w:r>
      <w:r>
        <w:rPr>
          <w:rFonts w:hint="eastAsia" w:ascii="方正仿宋_GB2312" w:eastAsia="方正仿宋_GB2312"/>
          <w:color w:val="auto"/>
          <w:sz w:val="32"/>
          <w:szCs w:val="32"/>
          <w:highlight w:val="none"/>
          <w:lang w:val="en-US" w:eastAsia="zh-CN"/>
        </w:rPr>
        <w:t>31日</w:t>
      </w:r>
      <w:r>
        <w:rPr>
          <w:rFonts w:hint="eastAsia" w:ascii="方正仿宋_GB2312" w:eastAsia="方正仿宋_GB2312"/>
          <w:color w:val="auto"/>
          <w:sz w:val="32"/>
          <w:szCs w:val="32"/>
          <w:highlight w:val="none"/>
        </w:rPr>
        <w:t>，单位共有公务用车</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辆。</w:t>
      </w:r>
    </w:p>
    <w:p>
      <w:pPr>
        <w:spacing w:line="600" w:lineRule="exact"/>
        <w:ind w:firstLine="640"/>
        <w:rPr>
          <w:rFonts w:hint="eastAsia" w:ascii="方正仿宋_GB2312" w:eastAsia="方正仿宋_GB2312"/>
          <w:color w:val="auto"/>
          <w:sz w:val="32"/>
          <w:szCs w:val="32"/>
          <w:highlight w:val="none"/>
        </w:rPr>
      </w:pPr>
      <w:r>
        <w:rPr>
          <w:rFonts w:hint="eastAsia" w:ascii="方正仿宋_GB2312" w:eastAsia="方正仿宋_GB2312"/>
          <w:b/>
          <w:color w:val="auto"/>
          <w:sz w:val="32"/>
          <w:szCs w:val="32"/>
          <w:highlight w:val="none"/>
        </w:rPr>
        <w:t>公务用车运行维护费支出</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w:t>
      </w:r>
    </w:p>
    <w:p>
      <w:pPr>
        <w:spacing w:line="600" w:lineRule="exact"/>
        <w:ind w:firstLine="640"/>
        <w:rPr>
          <w:rFonts w:ascii="方正仿宋_GB2312" w:eastAsia="方正仿宋_GB2312"/>
          <w:color w:val="auto"/>
          <w:sz w:val="32"/>
          <w:szCs w:val="32"/>
          <w:highlight w:val="none"/>
        </w:rPr>
      </w:pPr>
      <w:r>
        <w:rPr>
          <w:rFonts w:ascii="方正仿宋_GB2312" w:eastAsia="方正仿宋_GB2312"/>
          <w:b/>
          <w:color w:val="auto"/>
          <w:sz w:val="32"/>
          <w:szCs w:val="32"/>
          <w:highlight w:val="none"/>
        </w:rPr>
        <w:t>3.</w:t>
      </w:r>
      <w:r>
        <w:rPr>
          <w:rFonts w:hint="eastAsia" w:ascii="方正仿宋_GB2312" w:eastAsia="方正仿宋_GB2312"/>
          <w:b/>
          <w:color w:val="auto"/>
          <w:sz w:val="32"/>
          <w:szCs w:val="32"/>
          <w:highlight w:val="none"/>
        </w:rPr>
        <w:t>公务接待费支出</w:t>
      </w:r>
      <w:r>
        <w:rPr>
          <w:rFonts w:hint="eastAsia" w:ascii="方正仿宋_GB2312" w:eastAsia="方正仿宋_GB2312"/>
          <w:b/>
          <w:color w:val="auto"/>
          <w:sz w:val="32"/>
          <w:szCs w:val="32"/>
          <w:highlight w:val="none"/>
          <w:lang w:val="en-US" w:eastAsia="zh-CN"/>
        </w:rPr>
        <w:t>0</w:t>
      </w:r>
      <w:r>
        <w:rPr>
          <w:rFonts w:hint="eastAsia" w:ascii="方正仿宋_GB2312" w:eastAsia="方正仿宋_GB2312"/>
          <w:color w:val="auto"/>
          <w:sz w:val="32"/>
          <w:szCs w:val="32"/>
          <w:highlight w:val="none"/>
        </w:rPr>
        <w:t>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Fonts w:hint="eastAsia" w:ascii="方正仿宋_GB2312" w:eastAsia="方正仿宋_GB2312"/>
          <w:color w:val="auto"/>
          <w:sz w:val="32"/>
          <w:szCs w:val="32"/>
          <w:highlight w:val="none"/>
        </w:rPr>
        <w:t>公务接待费支出决算比</w:t>
      </w:r>
      <w:r>
        <w:rPr>
          <w:rFonts w:hint="eastAsia" w:ascii="方正仿宋_GB2312" w:eastAsia="方正仿宋_GB2312"/>
          <w:color w:val="auto"/>
          <w:sz w:val="32"/>
          <w:szCs w:val="32"/>
          <w:highlight w:val="none"/>
          <w:lang w:eastAsia="zh-CN"/>
        </w:rPr>
        <w:t>2022</w:t>
      </w:r>
      <w:r>
        <w:rPr>
          <w:rFonts w:hint="eastAsia" w:ascii="方正仿宋_GB2312" w:eastAsia="方正仿宋_GB2312"/>
          <w:color w:val="auto"/>
          <w:sz w:val="32"/>
          <w:szCs w:val="32"/>
          <w:highlight w:val="none"/>
        </w:rPr>
        <w:t>年</w:t>
      </w:r>
      <w:r>
        <w:rPr>
          <w:rFonts w:hint="eastAsia" w:ascii="方正仿宋_GB2312" w:eastAsia="方正仿宋_GB2312"/>
          <w:color w:val="auto"/>
          <w:sz w:val="32"/>
          <w:szCs w:val="32"/>
          <w:highlight w:val="none"/>
          <w:lang w:eastAsia="zh-CN"/>
        </w:rPr>
        <w:t>度</w:t>
      </w:r>
      <w:r>
        <w:rPr>
          <w:rFonts w:hint="eastAsia" w:ascii="方正仿宋_GB2312" w:eastAsia="方正仿宋_GB2312"/>
          <w:color w:val="auto"/>
          <w:sz w:val="32"/>
          <w:szCs w:val="32"/>
          <w:highlight w:val="none"/>
        </w:rPr>
        <w:t>增加</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减少</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万元，增长</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下降</w:t>
      </w:r>
      <w:r>
        <w:rPr>
          <w:rFonts w:hint="eastAsia" w:ascii="方正仿宋_GB2312" w:eastAsia="方正仿宋_GB2312"/>
          <w:color w:val="auto"/>
          <w:sz w:val="32"/>
          <w:szCs w:val="32"/>
          <w:highlight w:val="none"/>
          <w:lang w:val="en-US" w:eastAsia="zh-CN"/>
        </w:rPr>
        <w:t>0</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w:t>
      </w:r>
      <w:r>
        <w:rPr>
          <w:rFonts w:hint="eastAsia" w:ascii="方正仿宋_GB2312" w:eastAsia="方正仿宋_GB2312"/>
          <w:color w:val="auto"/>
          <w:sz w:val="32"/>
          <w:szCs w:val="32"/>
          <w:highlight w:val="none"/>
          <w:lang w:val="en-US" w:eastAsia="zh-CN"/>
        </w:rPr>
        <w:t>较上年数据持平</w:t>
      </w:r>
      <w:r>
        <w:rPr>
          <w:rFonts w:hint="eastAsia" w:ascii="方正仿宋_GB2312" w:eastAsia="方正仿宋_GB2312"/>
          <w:color w:val="auto"/>
          <w:sz w:val="32"/>
          <w:szCs w:val="32"/>
          <w:highlight w:val="none"/>
        </w:rPr>
        <w:t>。其中：</w:t>
      </w:r>
    </w:p>
    <w:p>
      <w:pPr>
        <w:spacing w:line="600" w:lineRule="exact"/>
        <w:ind w:firstLine="640"/>
        <w:rPr>
          <w:rFonts w:hint="eastAsia" w:ascii="方正仿宋_GB2312" w:eastAsia="方正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方正仿宋_GB2312" w:eastAsia="方正仿宋_GB2312"/>
          <w:color w:val="auto"/>
          <w:sz w:val="32"/>
          <w:szCs w:val="32"/>
          <w:highlight w:val="none"/>
        </w:rPr>
        <w:t>万元。国内公务接待</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批次，</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人次（不包括陪同人员），共计支出</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w:t>
      </w:r>
      <w:r>
        <w:rPr>
          <w:rFonts w:hint="eastAsia" w:ascii="方正仿宋_GB2312" w:eastAsia="方正仿宋_GB2312"/>
          <w:color w:val="auto"/>
          <w:sz w:val="32"/>
          <w:szCs w:val="32"/>
          <w:highlight w:val="none"/>
          <w:lang w:eastAsia="zh-CN"/>
        </w:rPr>
        <w:t>。</w:t>
      </w:r>
    </w:p>
    <w:p>
      <w:pPr>
        <w:spacing w:line="600" w:lineRule="exact"/>
        <w:ind w:firstLine="643" w:firstLineChars="200"/>
        <w:rPr>
          <w:rFonts w:ascii="方正仿宋_GB2312" w:eastAsia="方正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方正仿宋_GB2312" w:eastAsia="方正仿宋_GB2312"/>
          <w:color w:val="auto"/>
          <w:sz w:val="32"/>
          <w:szCs w:val="32"/>
          <w:highlight w:val="none"/>
        </w:rPr>
        <w:t>万元</w:t>
      </w:r>
      <w:r>
        <w:rPr>
          <w:rFonts w:hint="eastAsia" w:ascii="方正仿宋_GB2312" w:eastAsia="方正仿宋_GB2312"/>
          <w:color w:val="auto"/>
          <w:sz w:val="32"/>
          <w:szCs w:val="32"/>
          <w:highlight w:val="none"/>
          <w:lang w:eastAsia="zh-CN"/>
        </w:rPr>
        <w:t>。</w:t>
      </w:r>
      <w:r>
        <w:rPr>
          <w:rFonts w:hint="eastAsia" w:ascii="方正仿宋_GB2312" w:eastAsia="方正仿宋_GB2312"/>
          <w:color w:val="auto"/>
          <w:sz w:val="32"/>
          <w:szCs w:val="32"/>
          <w:highlight w:val="none"/>
        </w:rPr>
        <w:t>外事接待</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批次，</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人</w:t>
      </w:r>
      <w:r>
        <w:rPr>
          <w:rFonts w:hint="eastAsia" w:ascii="方正仿宋_GB2312" w:eastAsia="方正仿宋_GB2312"/>
          <w:color w:val="auto"/>
          <w:sz w:val="32"/>
          <w:szCs w:val="32"/>
          <w:highlight w:val="none"/>
          <w:lang w:eastAsia="zh-CN"/>
        </w:rPr>
        <w:t>次（不包括陪同人员）</w:t>
      </w:r>
      <w:r>
        <w:rPr>
          <w:rFonts w:hint="eastAsia" w:ascii="方正仿宋_GB2312" w:eastAsia="方正仿宋_GB2312"/>
          <w:color w:val="auto"/>
          <w:sz w:val="32"/>
          <w:szCs w:val="32"/>
          <w:highlight w:val="none"/>
        </w:rPr>
        <w:t>，共计支出</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w:t>
      </w:r>
    </w:p>
    <w:p>
      <w:pPr>
        <w:spacing w:line="600" w:lineRule="exact"/>
        <w:ind w:firstLine="640"/>
        <w:outlineLvl w:val="1"/>
        <w:rPr>
          <w:rFonts w:ascii="黑体" w:eastAsia="黑体"/>
          <w:color w:val="auto"/>
          <w:sz w:val="32"/>
          <w:szCs w:val="32"/>
          <w:highlight w:val="none"/>
        </w:rPr>
      </w:pPr>
    </w:p>
    <w:p>
      <w:pPr>
        <w:spacing w:line="600" w:lineRule="exact"/>
        <w:ind w:firstLine="640"/>
        <w:outlineLvl w:val="1"/>
        <w:rPr>
          <w:rStyle w:val="15"/>
          <w:rFonts w:ascii="黑体" w:hAnsi="黑体" w:eastAsia="黑体"/>
          <w:color w:val="auto"/>
          <w:highlight w:val="none"/>
        </w:rPr>
      </w:pPr>
      <w:r>
        <w:rPr>
          <w:rFonts w:hint="eastAsia" w:ascii="黑体" w:eastAsia="黑体"/>
          <w:color w:val="auto"/>
          <w:sz w:val="32"/>
          <w:szCs w:val="32"/>
          <w:highlight w:val="none"/>
        </w:rPr>
        <w:t>八、</w:t>
      </w:r>
      <w:r>
        <w:rPr>
          <w:rStyle w:val="15"/>
          <w:rFonts w:hint="eastAsia" w:ascii="黑体" w:hAnsi="黑体" w:eastAsia="黑体"/>
          <w:b w:val="0"/>
          <w:color w:val="auto"/>
          <w:highlight w:val="none"/>
        </w:rPr>
        <w:t>政府性基金预算支出决算情况说明</w:t>
      </w:r>
    </w:p>
    <w:p>
      <w:pPr>
        <w:spacing w:line="600" w:lineRule="exact"/>
        <w:ind w:firstLine="640"/>
        <w:rPr>
          <w:rFonts w:hint="eastAsia" w:ascii="方正仿宋_GB2312" w:eastAsia="方正仿宋_GB2312"/>
          <w:color w:val="auto"/>
          <w:sz w:val="32"/>
          <w:szCs w:val="32"/>
          <w:highlight w:val="none"/>
          <w:lang w:val="en-US" w:eastAsia="zh-CN"/>
        </w:rPr>
      </w:pPr>
      <w:r>
        <w:rPr>
          <w:rFonts w:hint="eastAsia" w:ascii="方正仿宋_GB2312" w:eastAsia="方正仿宋_GB2312"/>
          <w:color w:val="auto"/>
          <w:sz w:val="32"/>
          <w:szCs w:val="32"/>
          <w:highlight w:val="none"/>
          <w:lang w:val="en-US" w:eastAsia="zh-CN"/>
        </w:rPr>
        <w:t>本年度未安排政府性基金双职工支出，</w:t>
      </w:r>
      <w:r>
        <w:rPr>
          <w:rFonts w:ascii="方正仿宋_GB2312" w:eastAsia="方正仿宋_GB2312"/>
          <w:color w:val="auto"/>
          <w:sz w:val="32"/>
          <w:szCs w:val="32"/>
          <w:highlight w:val="none"/>
        </w:rPr>
        <w:t>20</w:t>
      </w:r>
      <w:r>
        <w:rPr>
          <w:rFonts w:hint="eastAsia" w:ascii="方正仿宋_GB2312" w:eastAsia="方正仿宋_GB2312"/>
          <w:color w:val="auto"/>
          <w:sz w:val="32"/>
          <w:szCs w:val="32"/>
          <w:highlight w:val="none"/>
          <w:lang w:val="en-US" w:eastAsia="zh-CN"/>
        </w:rPr>
        <w:t>23</w:t>
      </w:r>
      <w:r>
        <w:rPr>
          <w:rFonts w:hint="eastAsia" w:ascii="方正仿宋_GB2312" w:eastAsia="方正仿宋_GB2312"/>
          <w:color w:val="auto"/>
          <w:sz w:val="32"/>
          <w:szCs w:val="32"/>
          <w:highlight w:val="none"/>
        </w:rPr>
        <w:t>年政府性基金预算</w:t>
      </w:r>
      <w:r>
        <w:rPr>
          <w:rFonts w:hint="eastAsia" w:ascii="方正仿宋_GB2312" w:eastAsia="方正仿宋_GB2312"/>
          <w:color w:val="auto"/>
          <w:sz w:val="32"/>
          <w:szCs w:val="32"/>
          <w:highlight w:val="none"/>
          <w:lang w:eastAsia="zh-CN"/>
        </w:rPr>
        <w:t>财政</w:t>
      </w:r>
      <w:r>
        <w:rPr>
          <w:rFonts w:hint="eastAsia" w:ascii="方正仿宋_GB2312" w:eastAsia="方正仿宋_GB2312"/>
          <w:color w:val="auto"/>
          <w:sz w:val="32"/>
          <w:szCs w:val="32"/>
          <w:highlight w:val="none"/>
        </w:rPr>
        <w:t>拨款支出</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w:t>
      </w:r>
    </w:p>
    <w:p>
      <w:pPr>
        <w:pStyle w:val="2"/>
        <w:rPr>
          <w:rFonts w:hint="default"/>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5"/>
          <w:rFonts w:ascii="黑体" w:hAnsi="黑体" w:eastAsia="黑体"/>
          <w:b w:val="0"/>
          <w:color w:val="auto"/>
          <w:highlight w:val="none"/>
        </w:rPr>
      </w:pPr>
      <w:r>
        <w:rPr>
          <w:rStyle w:val="15"/>
          <w:rFonts w:hint="eastAsia" w:ascii="黑体" w:hAnsi="黑体" w:eastAsia="黑体"/>
          <w:b w:val="0"/>
          <w:color w:val="auto"/>
          <w:highlight w:val="none"/>
          <w:lang w:eastAsia="zh-CN"/>
        </w:rPr>
        <w:t>九、</w:t>
      </w:r>
      <w:r>
        <w:rPr>
          <w:rStyle w:val="15"/>
          <w:rFonts w:hint="eastAsia" w:ascii="黑体" w:hAnsi="黑体" w:eastAsia="黑体"/>
          <w:b w:val="0"/>
          <w:color w:val="auto"/>
          <w:highlight w:val="none"/>
        </w:rPr>
        <w:t>国有资本经营预算支出决算情况说明</w:t>
      </w:r>
    </w:p>
    <w:p>
      <w:pPr>
        <w:spacing w:line="600" w:lineRule="exact"/>
        <w:ind w:firstLine="640"/>
        <w:rPr>
          <w:rFonts w:hint="default" w:ascii="方正仿宋_GB2312" w:eastAsia="方正仿宋_GB2312"/>
          <w:color w:val="auto"/>
          <w:sz w:val="32"/>
          <w:szCs w:val="32"/>
          <w:highlight w:val="none"/>
          <w:lang w:val="en-US" w:eastAsia="zh-CN"/>
        </w:rPr>
      </w:pPr>
      <w:r>
        <w:rPr>
          <w:rFonts w:ascii="方正仿宋_GB2312" w:eastAsia="方正仿宋_GB2312"/>
          <w:color w:val="auto"/>
          <w:sz w:val="32"/>
          <w:szCs w:val="32"/>
          <w:highlight w:val="none"/>
        </w:rPr>
        <w:t>20</w:t>
      </w:r>
      <w:r>
        <w:rPr>
          <w:rFonts w:hint="eastAsia" w:ascii="方正仿宋_GB2312" w:eastAsia="方正仿宋_GB2312"/>
          <w:color w:val="auto"/>
          <w:sz w:val="32"/>
          <w:szCs w:val="32"/>
          <w:highlight w:val="none"/>
          <w:lang w:val="en-US" w:eastAsia="zh-CN"/>
        </w:rPr>
        <w:t>23</w:t>
      </w:r>
      <w:r>
        <w:rPr>
          <w:rFonts w:hint="eastAsia" w:ascii="方正仿宋_GB2312" w:eastAsia="方正仿宋_GB2312"/>
          <w:color w:val="auto"/>
          <w:sz w:val="32"/>
          <w:szCs w:val="32"/>
          <w:highlight w:val="none"/>
        </w:rPr>
        <w:t>年国有资本经营预算</w:t>
      </w:r>
      <w:r>
        <w:rPr>
          <w:rFonts w:hint="eastAsia" w:ascii="方正仿宋_GB2312" w:eastAsia="方正仿宋_GB2312"/>
          <w:color w:val="auto"/>
          <w:sz w:val="32"/>
          <w:szCs w:val="32"/>
          <w:highlight w:val="none"/>
          <w:lang w:eastAsia="zh-CN"/>
        </w:rPr>
        <w:t>财政</w:t>
      </w:r>
      <w:r>
        <w:rPr>
          <w:rFonts w:hint="eastAsia" w:ascii="方正仿宋_GB2312" w:eastAsia="方正仿宋_GB2312"/>
          <w:color w:val="auto"/>
          <w:sz w:val="32"/>
          <w:szCs w:val="32"/>
          <w:highlight w:val="none"/>
        </w:rPr>
        <w:t>拨款支出</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w:t>
      </w:r>
      <w:r>
        <w:rPr>
          <w:rFonts w:hint="eastAsia" w:ascii="方正仿宋_GB2312" w:eastAsia="方正仿宋_GB2312"/>
          <w:color w:val="auto"/>
          <w:sz w:val="32"/>
          <w:szCs w:val="32"/>
          <w:highlight w:val="none"/>
          <w:lang w:val="en-US" w:eastAsia="zh-CN"/>
        </w:rPr>
        <w:t>与2022年决算持平。</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ascii="方正小标宋简体" w:hAnsi="方正小标宋简体" w:eastAsia="方正小标宋简体" w:cs="方正小标宋简体"/>
          <w:color w:val="auto"/>
          <w:sz w:val="44"/>
          <w:szCs w:val="4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15"/>
          <w:rFonts w:hint="eastAsia" w:ascii="黑体" w:hAnsi="黑体" w:eastAsia="黑体"/>
          <w:b w:val="0"/>
          <w:color w:val="auto"/>
          <w:highlight w:val="none"/>
        </w:rPr>
      </w:pPr>
      <w:r>
        <w:rPr>
          <w:rStyle w:val="15"/>
          <w:rFonts w:hint="eastAsia" w:ascii="黑体" w:hAnsi="黑体" w:eastAsia="黑体"/>
          <w:b w:val="0"/>
          <w:color w:val="auto"/>
          <w:highlight w:val="none"/>
          <w:lang w:eastAsia="zh-CN"/>
        </w:rPr>
        <w:t>十、</w:t>
      </w:r>
      <w:r>
        <w:rPr>
          <w:rStyle w:val="15"/>
          <w:rFonts w:hint="eastAsia" w:ascii="黑体" w:hAnsi="黑体" w:eastAsia="黑体"/>
          <w:b w:val="0"/>
          <w:color w:val="auto"/>
          <w:highlight w:val="none"/>
        </w:rPr>
        <w:t>其他重要事项的情况说明</w:t>
      </w:r>
    </w:p>
    <w:p>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rPr>
        <w:t>（一）机关运行经费支出情况</w:t>
      </w:r>
    </w:p>
    <w:p>
      <w:pPr>
        <w:spacing w:line="600" w:lineRule="exact"/>
        <w:ind w:firstLine="640" w:firstLineChars="200"/>
        <w:rPr>
          <w:rFonts w:ascii="方正仿宋_GB2312" w:eastAsia="方正仿宋_GB2312"/>
          <w:color w:val="auto"/>
          <w:sz w:val="32"/>
          <w:szCs w:val="32"/>
          <w:highlight w:val="none"/>
        </w:rPr>
      </w:pPr>
      <w:r>
        <w:rPr>
          <w:rFonts w:hint="eastAsia" w:ascii="方正仿宋_GB2312" w:eastAsia="方正仿宋_GB2312"/>
          <w:color w:val="auto"/>
          <w:sz w:val="32"/>
          <w:szCs w:val="32"/>
          <w:highlight w:val="none"/>
          <w:lang w:eastAsia="zh-CN"/>
        </w:rPr>
        <w:t>2023</w:t>
      </w:r>
      <w:r>
        <w:rPr>
          <w:rFonts w:hint="eastAsia" w:ascii="方正仿宋_GB2312" w:eastAsia="方正仿宋_GB2312"/>
          <w:color w:val="auto"/>
          <w:sz w:val="32"/>
          <w:szCs w:val="32"/>
          <w:highlight w:val="none"/>
        </w:rPr>
        <w:t>年</w:t>
      </w:r>
      <w:r>
        <w:rPr>
          <w:rFonts w:hint="eastAsia" w:ascii="方正仿宋_GB2312" w:eastAsia="方正仿宋_GB2312"/>
          <w:color w:val="auto"/>
          <w:sz w:val="32"/>
          <w:szCs w:val="32"/>
          <w:highlight w:val="none"/>
          <w:lang w:eastAsia="zh-CN"/>
        </w:rPr>
        <w:t>度</w:t>
      </w:r>
      <w:r>
        <w:rPr>
          <w:rFonts w:hint="eastAsia" w:ascii="方正仿宋_GB2312" w:eastAsia="方正仿宋_GB2312"/>
          <w:color w:val="auto"/>
          <w:sz w:val="32"/>
          <w:szCs w:val="32"/>
          <w:highlight w:val="none"/>
        </w:rPr>
        <w:t>，</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机关运行经费支出</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万元，比</w:t>
      </w:r>
      <w:r>
        <w:rPr>
          <w:rFonts w:hint="eastAsia" w:ascii="方正仿宋_GB2312" w:eastAsia="方正仿宋_GB2312"/>
          <w:color w:val="auto"/>
          <w:sz w:val="32"/>
          <w:szCs w:val="32"/>
          <w:highlight w:val="none"/>
          <w:lang w:eastAsia="zh-CN"/>
        </w:rPr>
        <w:t>2022</w:t>
      </w:r>
      <w:r>
        <w:rPr>
          <w:rFonts w:hint="eastAsia" w:ascii="方正仿宋_GB2312" w:eastAsia="方正仿宋_GB2312"/>
          <w:color w:val="auto"/>
          <w:sz w:val="32"/>
          <w:szCs w:val="32"/>
          <w:highlight w:val="none"/>
        </w:rPr>
        <w:t>年</w:t>
      </w:r>
      <w:r>
        <w:rPr>
          <w:rFonts w:hint="eastAsia" w:ascii="方正仿宋_GB2312" w:eastAsia="方正仿宋_GB2312"/>
          <w:color w:val="auto"/>
          <w:sz w:val="32"/>
          <w:szCs w:val="32"/>
          <w:highlight w:val="none"/>
          <w:lang w:eastAsia="zh-CN"/>
        </w:rPr>
        <w:t>度</w:t>
      </w:r>
      <w:r>
        <w:rPr>
          <w:rFonts w:hint="eastAsia" w:ascii="方正仿宋_GB2312" w:eastAsia="方正仿宋_GB2312"/>
          <w:color w:val="auto"/>
          <w:sz w:val="32"/>
          <w:szCs w:val="32"/>
          <w:highlight w:val="none"/>
        </w:rPr>
        <w:t>增加</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减少</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万元，增长</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下降</w:t>
      </w:r>
      <w:r>
        <w:rPr>
          <w:rFonts w:hint="eastAsia" w:ascii="方正仿宋_GB2312" w:eastAsia="方正仿宋_GB2312"/>
          <w:color w:val="auto"/>
          <w:sz w:val="32"/>
          <w:szCs w:val="32"/>
          <w:highlight w:val="none"/>
          <w:lang w:val="en-US" w:eastAsia="zh-CN"/>
        </w:rPr>
        <w:t>0</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lang w:eastAsia="zh-CN"/>
        </w:rPr>
        <w:t>，</w:t>
      </w:r>
      <w:r>
        <w:rPr>
          <w:rFonts w:hint="eastAsia" w:ascii="方正仿宋_GB2312" w:eastAsia="方正仿宋_GB2312"/>
          <w:color w:val="auto"/>
          <w:sz w:val="32"/>
          <w:szCs w:val="32"/>
          <w:highlight w:val="none"/>
        </w:rPr>
        <w:t>与</w:t>
      </w:r>
      <w:r>
        <w:rPr>
          <w:rFonts w:hint="eastAsia" w:ascii="方正仿宋_GB2312" w:eastAsia="方正仿宋_GB2312"/>
          <w:color w:val="auto"/>
          <w:sz w:val="32"/>
          <w:szCs w:val="32"/>
          <w:highlight w:val="none"/>
          <w:lang w:eastAsia="zh-CN"/>
        </w:rPr>
        <w:t>2022</w:t>
      </w:r>
      <w:r>
        <w:rPr>
          <w:rFonts w:hint="eastAsia" w:ascii="方正仿宋_GB2312" w:eastAsia="方正仿宋_GB2312"/>
          <w:color w:val="auto"/>
          <w:sz w:val="32"/>
          <w:szCs w:val="32"/>
          <w:highlight w:val="none"/>
        </w:rPr>
        <w:t>年</w:t>
      </w:r>
      <w:r>
        <w:rPr>
          <w:rFonts w:hint="eastAsia" w:ascii="方正仿宋_GB2312" w:eastAsia="方正仿宋_GB2312"/>
          <w:color w:val="auto"/>
          <w:sz w:val="32"/>
          <w:szCs w:val="32"/>
          <w:highlight w:val="none"/>
          <w:lang w:eastAsia="zh-CN"/>
        </w:rPr>
        <w:t>度</w:t>
      </w:r>
      <w:r>
        <w:rPr>
          <w:rFonts w:hint="eastAsia" w:ascii="方正仿宋_GB2312" w:eastAsia="方正仿宋_GB2312"/>
          <w:color w:val="auto"/>
          <w:sz w:val="32"/>
          <w:szCs w:val="32"/>
          <w:highlight w:val="none"/>
        </w:rPr>
        <w:t>决算数持平。</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p>
    <w:p>
      <w:pPr>
        <w:spacing w:line="600" w:lineRule="exact"/>
        <w:ind w:firstLine="640" w:firstLineChars="200"/>
        <w:rPr>
          <w:rFonts w:ascii="方正仿宋_GB2312" w:eastAsia="方正仿宋_GB2312"/>
          <w:color w:val="auto"/>
          <w:sz w:val="32"/>
          <w:szCs w:val="32"/>
          <w:highlight w:val="none"/>
        </w:rPr>
      </w:pPr>
      <w:r>
        <w:rPr>
          <w:rFonts w:hint="eastAsia" w:ascii="方正仿宋_GB2312" w:eastAsia="方正仿宋_GB2312"/>
          <w:color w:val="auto"/>
          <w:sz w:val="32"/>
          <w:szCs w:val="32"/>
          <w:highlight w:val="none"/>
          <w:lang w:eastAsia="zh-CN"/>
        </w:rPr>
        <w:t>2023</w:t>
      </w:r>
      <w:r>
        <w:rPr>
          <w:rFonts w:hint="eastAsia" w:ascii="方正仿宋_GB2312" w:eastAsia="方正仿宋_GB2312"/>
          <w:color w:val="auto"/>
          <w:sz w:val="32"/>
          <w:szCs w:val="32"/>
          <w:highlight w:val="none"/>
        </w:rPr>
        <w:t>年</w:t>
      </w:r>
      <w:r>
        <w:rPr>
          <w:rFonts w:hint="eastAsia" w:ascii="方正仿宋_GB2312" w:eastAsia="方正仿宋_GB2312"/>
          <w:color w:val="auto"/>
          <w:sz w:val="32"/>
          <w:szCs w:val="32"/>
          <w:highlight w:val="none"/>
          <w:lang w:eastAsia="zh-CN"/>
        </w:rPr>
        <w:t>度</w:t>
      </w:r>
      <w:r>
        <w:rPr>
          <w:rFonts w:hint="eastAsia" w:ascii="方正仿宋_GB2312" w:eastAsia="方正仿宋_GB2312"/>
          <w:color w:val="auto"/>
          <w:sz w:val="32"/>
          <w:szCs w:val="32"/>
          <w:highlight w:val="none"/>
        </w:rPr>
        <w:t>，政府采购支出总额</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万元，其中：政府采购货物支出</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万元、政府采购工程支出</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万元、政府采购服务支出</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万元。授予中小企业合同金额</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万元，占政府采购支出总额的</w:t>
      </w:r>
      <w:r>
        <w:rPr>
          <w:rFonts w:hint="eastAsia" w:ascii="方正仿宋_GB2312" w:eastAsia="方正仿宋_GB2312"/>
          <w:color w:val="auto"/>
          <w:sz w:val="32"/>
          <w:szCs w:val="32"/>
          <w:highlight w:val="none"/>
          <w:lang w:val="en-US" w:eastAsia="zh-CN"/>
        </w:rPr>
        <w:t>0</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，其中：授予小微企业合同金额</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万元，占政府采购支出总额的</w:t>
      </w:r>
      <w:r>
        <w:rPr>
          <w:rFonts w:hint="eastAsia" w:ascii="方正仿宋_GB2312" w:eastAsia="方正仿宋_GB2312"/>
          <w:color w:val="auto"/>
          <w:sz w:val="32"/>
          <w:szCs w:val="32"/>
          <w:highlight w:val="none"/>
          <w:lang w:val="en-US" w:eastAsia="zh-CN"/>
        </w:rPr>
        <w:t>0</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p>
    <w:p>
      <w:pPr>
        <w:autoSpaceDE w:val="0"/>
        <w:autoSpaceDN w:val="0"/>
        <w:adjustRightInd w:val="0"/>
        <w:spacing w:line="600" w:lineRule="exact"/>
        <w:ind w:firstLine="640" w:firstLineChars="200"/>
        <w:jc w:val="left"/>
        <w:rPr>
          <w:rFonts w:hint="eastAsia" w:ascii="方正仿宋_GB2312" w:eastAsia="方正仿宋_GB2312"/>
          <w:color w:val="auto"/>
          <w:sz w:val="32"/>
          <w:szCs w:val="32"/>
          <w:highlight w:val="none"/>
        </w:rPr>
      </w:pPr>
      <w:r>
        <w:rPr>
          <w:rFonts w:hint="eastAsia" w:ascii="方正仿宋_GB2312" w:eastAsia="方正仿宋_GB2312"/>
          <w:color w:val="auto"/>
          <w:sz w:val="32"/>
          <w:szCs w:val="32"/>
          <w:highlight w:val="none"/>
        </w:rPr>
        <w:t>截至</w:t>
      </w:r>
      <w:r>
        <w:rPr>
          <w:rFonts w:hint="eastAsia" w:ascii="方正仿宋_GB2312" w:eastAsia="方正仿宋_GB2312"/>
          <w:color w:val="auto"/>
          <w:sz w:val="32"/>
          <w:szCs w:val="32"/>
          <w:highlight w:val="none"/>
          <w:lang w:eastAsia="zh-CN"/>
        </w:rPr>
        <w:t>2023</w:t>
      </w:r>
      <w:r>
        <w:rPr>
          <w:rFonts w:hint="eastAsia" w:ascii="方正仿宋_GB2312" w:eastAsia="方正仿宋_GB2312"/>
          <w:color w:val="auto"/>
          <w:sz w:val="32"/>
          <w:szCs w:val="32"/>
          <w:highlight w:val="none"/>
        </w:rPr>
        <w:t>年</w:t>
      </w:r>
      <w:r>
        <w:rPr>
          <w:rFonts w:ascii="方正仿宋_GB2312" w:eastAsia="方正仿宋_GB2312"/>
          <w:color w:val="auto"/>
          <w:sz w:val="32"/>
          <w:szCs w:val="32"/>
          <w:highlight w:val="none"/>
        </w:rPr>
        <w:t>12</w:t>
      </w:r>
      <w:r>
        <w:rPr>
          <w:rFonts w:hint="eastAsia" w:ascii="方正仿宋_GB2312" w:eastAsia="方正仿宋_GB2312"/>
          <w:color w:val="auto"/>
          <w:sz w:val="32"/>
          <w:szCs w:val="32"/>
          <w:highlight w:val="none"/>
        </w:rPr>
        <w:t>月</w:t>
      </w:r>
      <w:r>
        <w:rPr>
          <w:rFonts w:ascii="方正仿宋_GB2312" w:eastAsia="方正仿宋_GB2312"/>
          <w:color w:val="auto"/>
          <w:sz w:val="32"/>
          <w:szCs w:val="32"/>
          <w:highlight w:val="none"/>
        </w:rPr>
        <w:t>31</w:t>
      </w:r>
      <w:r>
        <w:rPr>
          <w:rFonts w:hint="eastAsia" w:ascii="方正仿宋_GB2312" w:eastAsia="方正仿宋_GB2312"/>
          <w:color w:val="auto"/>
          <w:sz w:val="32"/>
          <w:szCs w:val="32"/>
          <w:highlight w:val="none"/>
        </w:rPr>
        <w:t>日，共有车辆</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辆，其中：主要领导干部用车</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辆、机要通信用车</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辆、应急保障用车</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辆、其他用车</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辆</w:t>
      </w:r>
      <w:r>
        <w:rPr>
          <w:rFonts w:hint="eastAsia" w:ascii="方正仿宋_GB2312" w:eastAsia="方正仿宋_GB2312"/>
          <w:color w:val="auto"/>
          <w:sz w:val="32"/>
          <w:szCs w:val="32"/>
          <w:highlight w:val="none"/>
          <w:lang w:eastAsia="zh-CN"/>
        </w:rPr>
        <w:t>。</w:t>
      </w:r>
      <w:r>
        <w:rPr>
          <w:rFonts w:hint="eastAsia" w:ascii="方正仿宋_GB2312" w:eastAsia="方正仿宋_GB2312"/>
          <w:color w:val="auto"/>
          <w:sz w:val="32"/>
          <w:szCs w:val="32"/>
          <w:highlight w:val="none"/>
        </w:rPr>
        <w:t>单价</w:t>
      </w:r>
      <w:r>
        <w:rPr>
          <w:rFonts w:ascii="方正仿宋_GB2312" w:eastAsia="方正仿宋_GB2312"/>
          <w:color w:val="auto"/>
          <w:sz w:val="32"/>
          <w:szCs w:val="32"/>
          <w:highlight w:val="none"/>
        </w:rPr>
        <w:t>50</w:t>
      </w:r>
      <w:r>
        <w:rPr>
          <w:rFonts w:hint="eastAsia" w:ascii="方正仿宋_GB2312" w:eastAsia="方正仿宋_GB2312"/>
          <w:color w:val="auto"/>
          <w:sz w:val="32"/>
          <w:szCs w:val="32"/>
          <w:highlight w:val="none"/>
        </w:rPr>
        <w:t>万元以上通用设备</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台（套），单价</w:t>
      </w:r>
      <w:r>
        <w:rPr>
          <w:rFonts w:ascii="方正仿宋_GB2312" w:eastAsia="方正仿宋_GB2312"/>
          <w:color w:val="auto"/>
          <w:sz w:val="32"/>
          <w:szCs w:val="32"/>
          <w:highlight w:val="none"/>
        </w:rPr>
        <w:t>100</w:t>
      </w:r>
      <w:r>
        <w:rPr>
          <w:rFonts w:hint="eastAsia" w:ascii="方正仿宋_GB2312" w:eastAsia="方正仿宋_GB2312"/>
          <w:color w:val="auto"/>
          <w:sz w:val="32"/>
          <w:szCs w:val="32"/>
          <w:highlight w:val="none"/>
        </w:rPr>
        <w:t>万元以上专用设备</w:t>
      </w:r>
      <w:r>
        <w:rPr>
          <w:rFonts w:hint="eastAsia" w:ascii="方正仿宋_GB2312" w:eastAsia="方正仿宋_GB2312"/>
          <w:color w:val="auto"/>
          <w:sz w:val="32"/>
          <w:szCs w:val="32"/>
          <w:highlight w:val="none"/>
          <w:lang w:eastAsia="zh-CN"/>
        </w:rPr>
        <w:t>（不含车辆）</w:t>
      </w:r>
      <w:r>
        <w:rPr>
          <w:rFonts w:hint="eastAsia" w:ascii="方正仿宋_GB2312" w:eastAsia="方正仿宋_GB2312"/>
          <w:color w:val="auto"/>
          <w:sz w:val="32"/>
          <w:szCs w:val="32"/>
          <w:highlight w:val="none"/>
          <w:lang w:val="en-US" w:eastAsia="zh-CN"/>
        </w:rPr>
        <w:t>0</w:t>
      </w:r>
      <w:r>
        <w:rPr>
          <w:rFonts w:hint="eastAsia" w:ascii="方正仿宋_GB2312" w:eastAsia="方正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autoSpaceDE w:val="0"/>
        <w:autoSpaceDN w:val="0"/>
        <w:adjustRightInd w:val="0"/>
        <w:spacing w:line="600" w:lineRule="exact"/>
        <w:ind w:firstLine="640" w:firstLineChars="200"/>
        <w:jc w:val="left"/>
        <w:rPr>
          <w:rFonts w:hint="eastAsia" w:ascii="方正仿宋_GB2312" w:eastAsia="方正仿宋_GB2312"/>
          <w:color w:val="auto"/>
          <w:sz w:val="32"/>
          <w:szCs w:val="32"/>
          <w:highlight w:val="none"/>
        </w:rPr>
      </w:pPr>
      <w:r>
        <w:rPr>
          <w:rFonts w:hint="eastAsia" w:ascii="方正仿宋_GB2312" w:eastAsia="方正仿宋_GB2312"/>
          <w:color w:val="auto"/>
          <w:sz w:val="32"/>
          <w:szCs w:val="32"/>
          <w:highlight w:val="none"/>
        </w:rPr>
        <w:t>根据预算绩效管理要求，本单位在202</w:t>
      </w:r>
      <w:r>
        <w:rPr>
          <w:rFonts w:hint="eastAsia" w:ascii="方正仿宋_GB2312" w:eastAsia="方正仿宋_GB2312"/>
          <w:color w:val="auto"/>
          <w:sz w:val="32"/>
          <w:szCs w:val="32"/>
          <w:highlight w:val="none"/>
          <w:lang w:val="en-US" w:eastAsia="zh-CN"/>
        </w:rPr>
        <w:t>3</w:t>
      </w:r>
      <w:r>
        <w:rPr>
          <w:rFonts w:hint="eastAsia" w:ascii="方正仿宋_GB2312" w:eastAsia="方正仿宋_GB2312"/>
          <w:color w:val="auto"/>
          <w:sz w:val="32"/>
          <w:szCs w:val="32"/>
          <w:highlight w:val="none"/>
        </w:rPr>
        <w:t>年度预算编制阶段，组织对</w:t>
      </w:r>
      <w:r>
        <w:rPr>
          <w:rFonts w:hint="eastAsia" w:ascii="方正仿宋_GB2312" w:eastAsia="方正仿宋_GB2312"/>
          <w:color w:val="auto"/>
          <w:sz w:val="32"/>
          <w:szCs w:val="32"/>
          <w:highlight w:val="none"/>
          <w:lang w:val="en-US" w:eastAsia="zh-CN"/>
        </w:rPr>
        <w:t>广元市利州区雪峰第一幼儿园教职工工会福利</w:t>
      </w:r>
      <w:r>
        <w:rPr>
          <w:rFonts w:hint="eastAsia" w:ascii="方正仿宋_GB2312" w:eastAsia="方正仿宋_GB2312"/>
          <w:color w:val="auto"/>
          <w:sz w:val="32"/>
          <w:szCs w:val="32"/>
          <w:highlight w:val="none"/>
        </w:rPr>
        <w:t>项目开展了预算事前绩效评估，对项目编制了绩效目标，预算执行过程中，</w:t>
      </w:r>
      <w:r>
        <w:rPr>
          <w:rFonts w:hint="eastAsia" w:ascii="方正仿宋_GB2312" w:eastAsia="方正仿宋_GB2312"/>
          <w:color w:val="auto"/>
          <w:sz w:val="32"/>
          <w:szCs w:val="32"/>
          <w:highlight w:val="none"/>
          <w:lang w:val="en-US" w:eastAsia="zh-CN"/>
        </w:rPr>
        <w:t>对</w:t>
      </w:r>
      <w:r>
        <w:rPr>
          <w:rFonts w:hint="eastAsia" w:ascii="方正仿宋_GB2312" w:eastAsia="方正仿宋_GB2312"/>
          <w:color w:val="auto"/>
          <w:sz w:val="32"/>
          <w:szCs w:val="32"/>
          <w:highlight w:val="none"/>
        </w:rPr>
        <w:t>项目开展绩效监控，组织</w:t>
      </w:r>
      <w:r>
        <w:rPr>
          <w:rFonts w:hint="eastAsia" w:ascii="方正仿宋_GB2312" w:eastAsia="方正仿宋_GB2312"/>
          <w:color w:val="auto"/>
          <w:sz w:val="32"/>
          <w:szCs w:val="32"/>
          <w:highlight w:val="none"/>
          <w:lang w:val="en-US" w:eastAsia="zh-CN"/>
        </w:rPr>
        <w:t>代管资金</w:t>
      </w:r>
      <w:r>
        <w:rPr>
          <w:rFonts w:hint="eastAsia" w:ascii="方正仿宋_GB2312" w:eastAsia="方正仿宋_GB2312"/>
          <w:color w:val="auto"/>
          <w:sz w:val="32"/>
          <w:szCs w:val="32"/>
          <w:highlight w:val="none"/>
        </w:rPr>
        <w:t>项目开展绩效自评，绩效自评表详见</w:t>
      </w:r>
      <w:r>
        <w:rPr>
          <w:rFonts w:hint="eastAsia" w:ascii="方正仿宋_GB2312" w:eastAsia="方正仿宋_GB2312"/>
          <w:color w:val="auto"/>
          <w:sz w:val="32"/>
          <w:szCs w:val="32"/>
          <w:highlight w:val="none"/>
          <w:lang w:eastAsia="zh-CN"/>
        </w:rPr>
        <w:t>第四部分</w:t>
      </w:r>
      <w:r>
        <w:rPr>
          <w:rFonts w:hint="eastAsia" w:ascii="方正仿宋_GB2312" w:eastAsia="方正仿宋_GB2312"/>
          <w:color w:val="auto"/>
          <w:sz w:val="32"/>
          <w:szCs w:val="32"/>
          <w:highlight w:val="none"/>
        </w:rPr>
        <w:t>附件。</w:t>
      </w:r>
    </w:p>
    <w:p>
      <w:pPr>
        <w:spacing w:line="600" w:lineRule="exact"/>
        <w:ind w:firstLine="640" w:firstLineChars="200"/>
        <w:rPr>
          <w:rFonts w:hint="eastAsia" w:ascii="方正仿宋_GB2312" w:hAnsi="Times New Roman" w:eastAsia="方正仿宋_GB2312" w:cs="Times New Roman"/>
          <w:color w:val="auto"/>
          <w:sz w:val="32"/>
          <w:szCs w:val="32"/>
          <w:highlight w:val="none"/>
          <w:lang w:eastAsia="zh-CN"/>
        </w:rPr>
      </w:pPr>
      <w:r>
        <w:rPr>
          <w:rFonts w:hint="eastAsia" w:ascii="方正仿宋_GB2312" w:hAnsi="Times New Roman" w:eastAsia="方正仿宋_GB2312" w:cs="Times New Roman"/>
          <w:color w:val="auto"/>
          <w:sz w:val="32"/>
          <w:szCs w:val="32"/>
          <w:highlight w:val="none"/>
          <w:lang w:eastAsia="zh-CN"/>
        </w:rPr>
        <w:br w:type="page"/>
      </w:r>
    </w:p>
    <w:p>
      <w:pPr>
        <w:numPr>
          <w:ilvl w:val="0"/>
          <w:numId w:val="0"/>
        </w:numPr>
        <w:spacing w:line="600" w:lineRule="exact"/>
        <w:jc w:val="center"/>
        <w:outlineLvl w:val="0"/>
        <w:rPr>
          <w:rStyle w:val="14"/>
          <w:rFonts w:ascii="黑体" w:hAnsi="黑体" w:eastAsia="黑体"/>
          <w:b w:val="0"/>
          <w:color w:val="auto"/>
          <w:highlight w:val="none"/>
        </w:rPr>
      </w:pPr>
      <w:r>
        <w:rPr>
          <w:rFonts w:hint="eastAsia" w:ascii="黑体" w:hAnsi="黑体" w:eastAsia="黑体"/>
          <w:color w:val="auto"/>
          <w:sz w:val="44"/>
          <w:szCs w:val="44"/>
          <w:highlight w:val="none"/>
          <w:lang w:eastAsia="zh-CN"/>
        </w:rPr>
        <w:t>第三部分</w:t>
      </w:r>
      <w:r>
        <w:rPr>
          <w:rFonts w:hint="eastAsia" w:ascii="黑体" w:hAnsi="黑体" w:eastAsia="黑体"/>
          <w:color w:val="auto"/>
          <w:sz w:val="44"/>
          <w:szCs w:val="44"/>
          <w:highlight w:val="none"/>
          <w:lang w:val="en-US" w:eastAsia="zh-CN"/>
        </w:rPr>
        <w:t xml:space="preserve">  </w:t>
      </w:r>
      <w:r>
        <w:rPr>
          <w:rFonts w:hint="eastAsia" w:ascii="黑体" w:hAnsi="黑体" w:eastAsia="黑体"/>
          <w:color w:val="auto"/>
          <w:sz w:val="44"/>
          <w:szCs w:val="44"/>
          <w:highlight w:val="none"/>
        </w:rPr>
        <w:t>名</w:t>
      </w:r>
      <w:r>
        <w:rPr>
          <w:rStyle w:val="14"/>
          <w:rFonts w:hint="eastAsia" w:ascii="黑体" w:hAnsi="黑体" w:eastAsia="黑体"/>
          <w:b w:val="0"/>
          <w:color w:val="auto"/>
          <w:highlight w:val="none"/>
        </w:rPr>
        <w:t>词解释</w:t>
      </w:r>
    </w:p>
    <w:p>
      <w:pPr>
        <w:spacing w:line="600" w:lineRule="exact"/>
        <w:jc w:val="left"/>
        <w:rPr>
          <w:rFonts w:ascii="宋体"/>
          <w:b/>
          <w:color w:val="auto"/>
          <w:sz w:val="44"/>
          <w:szCs w:val="44"/>
          <w:highlight w:val="none"/>
        </w:rPr>
      </w:pPr>
    </w:p>
    <w:p>
      <w:pPr>
        <w:pStyle w:val="17"/>
        <w:spacing w:line="560" w:lineRule="exact"/>
        <w:ind w:firstLine="640" w:firstLineChars="200"/>
        <w:rPr>
          <w:rFonts w:ascii="方正仿宋_GB2312" w:eastAsia="方正仿宋_GB2312"/>
          <w:color w:val="auto"/>
          <w:sz w:val="32"/>
          <w:szCs w:val="32"/>
          <w:highlight w:val="none"/>
        </w:rPr>
      </w:pPr>
      <w:r>
        <w:rPr>
          <w:rFonts w:ascii="方正仿宋_GB2312" w:eastAsia="方正仿宋_GB2312"/>
          <w:color w:val="auto"/>
          <w:sz w:val="32"/>
          <w:szCs w:val="32"/>
          <w:highlight w:val="none"/>
        </w:rPr>
        <w:t>1.</w:t>
      </w:r>
      <w:r>
        <w:rPr>
          <w:rFonts w:hint="eastAsia" w:ascii="方正仿宋_GB2312" w:eastAsia="方正仿宋_GB2312"/>
          <w:color w:val="auto"/>
          <w:sz w:val="32"/>
          <w:szCs w:val="32"/>
          <w:highlight w:val="none"/>
        </w:rPr>
        <w:t>财政拨款收入：指单位从同级财政部门取得的财政预算资金。</w:t>
      </w:r>
    </w:p>
    <w:p>
      <w:pPr>
        <w:pStyle w:val="17"/>
        <w:spacing w:line="560" w:lineRule="exact"/>
        <w:ind w:firstLine="640" w:firstLineChars="200"/>
        <w:rPr>
          <w:rFonts w:ascii="方正仿宋_GB2312" w:eastAsia="方正仿宋_GB2312"/>
          <w:color w:val="auto"/>
          <w:sz w:val="32"/>
          <w:szCs w:val="32"/>
          <w:highlight w:val="none"/>
        </w:rPr>
      </w:pPr>
      <w:r>
        <w:rPr>
          <w:rFonts w:ascii="方正仿宋_GB2312" w:eastAsia="方正仿宋_GB2312"/>
          <w:color w:val="auto"/>
          <w:sz w:val="32"/>
          <w:szCs w:val="32"/>
          <w:highlight w:val="none"/>
        </w:rPr>
        <w:t>2.</w:t>
      </w:r>
      <w:r>
        <w:rPr>
          <w:rFonts w:hint="eastAsia" w:ascii="方正仿宋_GB2312" w:eastAsia="方正仿宋_GB2312"/>
          <w:color w:val="auto"/>
          <w:sz w:val="32"/>
          <w:szCs w:val="32"/>
          <w:highlight w:val="none"/>
        </w:rPr>
        <w:t>事业收入：指事业单位开展专业业务活动及辅助活动取得的收入。</w:t>
      </w:r>
    </w:p>
    <w:p>
      <w:pPr>
        <w:pStyle w:val="17"/>
        <w:spacing w:line="560" w:lineRule="exact"/>
        <w:ind w:firstLine="640" w:firstLineChars="200"/>
        <w:rPr>
          <w:rFonts w:hint="eastAsia" w:ascii="方正仿宋_GB2312" w:eastAsia="方正仿宋_GB2312"/>
          <w:color w:val="auto"/>
          <w:sz w:val="32"/>
          <w:szCs w:val="32"/>
          <w:highlight w:val="none"/>
        </w:rPr>
      </w:pPr>
      <w:r>
        <w:rPr>
          <w:rFonts w:ascii="方正仿宋_GB2312" w:eastAsia="方正仿宋_GB2312"/>
          <w:color w:val="auto"/>
          <w:sz w:val="32"/>
          <w:szCs w:val="32"/>
          <w:highlight w:val="none"/>
        </w:rPr>
        <w:t>3.</w:t>
      </w:r>
      <w:r>
        <w:rPr>
          <w:rFonts w:hint="eastAsia" w:ascii="方正仿宋_GB2312" w:eastAsia="方正仿宋_GB2312"/>
          <w:color w:val="auto"/>
          <w:sz w:val="32"/>
          <w:szCs w:val="32"/>
          <w:highlight w:val="none"/>
        </w:rPr>
        <w:t>经营收入：指事业单位在专业业务活动及其辅助活动之外开展非独立核算经营活动取得的收入。</w:t>
      </w:r>
    </w:p>
    <w:p>
      <w:pPr>
        <w:pStyle w:val="17"/>
        <w:spacing w:line="560" w:lineRule="exact"/>
        <w:ind w:firstLine="640" w:firstLineChars="200"/>
        <w:rPr>
          <w:rFonts w:ascii="方正仿宋_GB2312" w:eastAsia="方正仿宋_GB2312"/>
          <w:color w:val="auto"/>
          <w:sz w:val="32"/>
          <w:szCs w:val="32"/>
          <w:highlight w:val="none"/>
        </w:rPr>
      </w:pPr>
      <w:r>
        <w:rPr>
          <w:rFonts w:ascii="方正仿宋_GB2312" w:eastAsia="方正仿宋_GB2312"/>
          <w:color w:val="auto"/>
          <w:sz w:val="32"/>
          <w:szCs w:val="32"/>
          <w:highlight w:val="none"/>
        </w:rPr>
        <w:t>4.</w:t>
      </w:r>
      <w:r>
        <w:rPr>
          <w:rFonts w:hint="eastAsia" w:ascii="方正仿宋_GB2312" w:eastAsia="方正仿宋_GB2312"/>
          <w:color w:val="auto"/>
          <w:sz w:val="32"/>
          <w:szCs w:val="32"/>
          <w:highlight w:val="none"/>
        </w:rPr>
        <w:t>其他收入：指单位取得的除上述收入以外的各项收入。</w:t>
      </w:r>
      <w:r>
        <w:rPr>
          <w:rFonts w:ascii="方正仿宋_GB2312" w:eastAsia="方正仿宋_GB2312"/>
          <w:color w:val="auto"/>
          <w:sz w:val="32"/>
          <w:szCs w:val="32"/>
          <w:highlight w:val="none"/>
        </w:rPr>
        <w:t xml:space="preserve"> </w:t>
      </w:r>
    </w:p>
    <w:p>
      <w:pPr>
        <w:pStyle w:val="17"/>
        <w:spacing w:line="560" w:lineRule="exact"/>
        <w:ind w:firstLine="640" w:firstLineChars="200"/>
        <w:rPr>
          <w:rFonts w:ascii="方正仿宋_GB2312" w:eastAsia="方正仿宋_GB2312"/>
          <w:color w:val="auto"/>
          <w:sz w:val="32"/>
          <w:szCs w:val="32"/>
          <w:highlight w:val="none"/>
        </w:rPr>
      </w:pPr>
      <w:r>
        <w:rPr>
          <w:rFonts w:ascii="方正仿宋_GB2312" w:eastAsia="方正仿宋_GB2312"/>
          <w:color w:val="auto"/>
          <w:sz w:val="32"/>
          <w:szCs w:val="32"/>
          <w:highlight w:val="none"/>
        </w:rPr>
        <w:t>5.</w:t>
      </w:r>
      <w:r>
        <w:rPr>
          <w:rFonts w:hint="eastAsia" w:ascii="方正仿宋_GB2312" w:hAnsi="华文中宋" w:eastAsia="方正仿宋_GB2312"/>
          <w:sz w:val="32"/>
          <w:szCs w:val="32"/>
          <w:u w:val="none"/>
          <w:lang w:eastAsia="zh-CN"/>
        </w:rPr>
        <w:t>使用非财政拨款结余（含专用结余）</w:t>
      </w:r>
      <w:r>
        <w:rPr>
          <w:rFonts w:hint="eastAsia" w:ascii="方正仿宋_GB2312" w:eastAsia="方正仿宋_GB2312"/>
          <w:color w:val="auto"/>
          <w:sz w:val="32"/>
          <w:szCs w:val="32"/>
          <w:highlight w:val="none"/>
        </w:rPr>
        <w:t>：指事业单位</w:t>
      </w:r>
      <w:r>
        <w:rPr>
          <w:rFonts w:hint="eastAsia" w:ascii="方正仿宋_GB2312" w:eastAsia="方正仿宋_GB2312"/>
          <w:color w:val="auto"/>
          <w:sz w:val="32"/>
          <w:szCs w:val="32"/>
          <w:highlight w:val="none"/>
          <w:lang w:eastAsia="zh-CN"/>
        </w:rPr>
        <w:t>使用以前年度积累的非财政拨款结余弥补当年收支差额的金额。</w:t>
      </w:r>
      <w:r>
        <w:rPr>
          <w:rFonts w:ascii="方正仿宋_GB2312" w:eastAsia="方正仿宋_GB2312"/>
          <w:color w:val="auto"/>
          <w:sz w:val="32"/>
          <w:szCs w:val="32"/>
          <w:highlight w:val="none"/>
        </w:rPr>
        <w:t xml:space="preserve"> </w:t>
      </w:r>
    </w:p>
    <w:p>
      <w:pPr>
        <w:pStyle w:val="17"/>
        <w:spacing w:line="560" w:lineRule="exact"/>
        <w:ind w:firstLine="640" w:firstLineChars="200"/>
        <w:rPr>
          <w:rFonts w:ascii="方正仿宋_GB2312" w:eastAsia="方正仿宋_GB2312"/>
          <w:color w:val="auto"/>
          <w:sz w:val="32"/>
          <w:szCs w:val="32"/>
          <w:highlight w:val="none"/>
        </w:rPr>
      </w:pPr>
      <w:r>
        <w:rPr>
          <w:rFonts w:ascii="方正仿宋_GB2312" w:eastAsia="方正仿宋_GB2312"/>
          <w:color w:val="auto"/>
          <w:sz w:val="32"/>
          <w:szCs w:val="32"/>
          <w:highlight w:val="none"/>
        </w:rPr>
        <w:t>6.</w:t>
      </w:r>
      <w:r>
        <w:rPr>
          <w:rFonts w:hint="eastAsia" w:ascii="方正仿宋_GB2312" w:eastAsia="方正仿宋_GB2312"/>
          <w:color w:val="auto"/>
          <w:sz w:val="32"/>
          <w:szCs w:val="32"/>
          <w:highlight w:val="none"/>
        </w:rPr>
        <w:t>年初结转和结余：指以前年度尚未完成、结转到本年按有关规定继续使用的资金。</w:t>
      </w:r>
      <w:r>
        <w:rPr>
          <w:rFonts w:ascii="方正仿宋_GB2312" w:eastAsia="方正仿宋_GB2312"/>
          <w:color w:val="auto"/>
          <w:sz w:val="32"/>
          <w:szCs w:val="32"/>
          <w:highlight w:val="none"/>
        </w:rPr>
        <w:t xml:space="preserve"> </w:t>
      </w:r>
    </w:p>
    <w:p>
      <w:pPr>
        <w:pStyle w:val="17"/>
        <w:spacing w:line="560" w:lineRule="exact"/>
        <w:ind w:firstLine="640" w:firstLineChars="200"/>
        <w:rPr>
          <w:rFonts w:ascii="方正仿宋_GB2312" w:eastAsia="方正仿宋_GB2312"/>
          <w:color w:val="auto"/>
          <w:sz w:val="32"/>
          <w:szCs w:val="32"/>
          <w:highlight w:val="none"/>
        </w:rPr>
      </w:pPr>
      <w:r>
        <w:rPr>
          <w:rFonts w:ascii="方正仿宋_GB2312" w:eastAsia="方正仿宋_GB2312"/>
          <w:color w:val="auto"/>
          <w:sz w:val="32"/>
          <w:szCs w:val="32"/>
          <w:highlight w:val="none"/>
        </w:rPr>
        <w:t>7.</w:t>
      </w:r>
      <w:r>
        <w:rPr>
          <w:rFonts w:hint="eastAsia" w:ascii="方正仿宋_GB2312" w:eastAsia="方正仿宋_GB2312"/>
          <w:color w:val="auto"/>
          <w:sz w:val="32"/>
          <w:szCs w:val="32"/>
          <w:highlight w:val="none"/>
        </w:rPr>
        <w:t>结余分配：指事业单位按照会计制度规定</w:t>
      </w:r>
      <w:r>
        <w:rPr>
          <w:rFonts w:hint="eastAsia" w:ascii="方正仿宋_GB2312" w:eastAsia="方正仿宋_GB2312"/>
          <w:color w:val="auto"/>
          <w:sz w:val="32"/>
          <w:szCs w:val="32"/>
          <w:highlight w:val="none"/>
          <w:lang w:eastAsia="zh-CN"/>
        </w:rPr>
        <w:t>缴纳的所得税、提取的专用结余以及转入非财政拨款结余的金额</w:t>
      </w:r>
      <w:r>
        <w:rPr>
          <w:rFonts w:hint="eastAsia" w:ascii="方正仿宋_GB2312" w:eastAsia="方正仿宋_GB2312"/>
          <w:color w:val="auto"/>
          <w:sz w:val="32"/>
          <w:szCs w:val="32"/>
          <w:highlight w:val="none"/>
        </w:rPr>
        <w:t>等。</w:t>
      </w:r>
    </w:p>
    <w:p>
      <w:pPr>
        <w:pStyle w:val="17"/>
        <w:spacing w:line="560" w:lineRule="exact"/>
        <w:ind w:firstLine="640" w:firstLineChars="200"/>
        <w:rPr>
          <w:rFonts w:ascii="方正仿宋_GB2312" w:eastAsia="方正仿宋_GB2312"/>
          <w:color w:val="auto"/>
          <w:sz w:val="32"/>
          <w:szCs w:val="32"/>
          <w:highlight w:val="none"/>
        </w:rPr>
      </w:pPr>
      <w:r>
        <w:rPr>
          <w:rFonts w:ascii="方正仿宋_GB2312" w:eastAsia="方正仿宋_GB2312"/>
          <w:color w:val="auto"/>
          <w:sz w:val="32"/>
          <w:szCs w:val="32"/>
          <w:highlight w:val="none"/>
        </w:rPr>
        <w:t>8</w:t>
      </w:r>
      <w:r>
        <w:rPr>
          <w:rFonts w:hint="eastAsia" w:ascii="方正仿宋_GB2312" w:eastAsia="方正仿宋_GB2312"/>
          <w:color w:val="auto"/>
          <w:sz w:val="32"/>
          <w:szCs w:val="32"/>
          <w:highlight w:val="none"/>
          <w:lang w:val="en-US" w:eastAsia="zh-CN"/>
        </w:rPr>
        <w:t>.</w:t>
      </w:r>
      <w:r>
        <w:rPr>
          <w:rFonts w:hint="eastAsia" w:ascii="方正仿宋_GB2312" w:eastAsia="方正仿宋_GB2312"/>
          <w:color w:val="auto"/>
          <w:sz w:val="32"/>
          <w:szCs w:val="32"/>
          <w:highlight w:val="none"/>
        </w:rPr>
        <w:t>年末结转和结余：指单位按有关规定结转到下年或以后年度继续使用的资金。</w:t>
      </w:r>
    </w:p>
    <w:p>
      <w:pPr>
        <w:ind w:firstLine="640" w:firstLineChars="200"/>
        <w:rPr>
          <w:rFonts w:ascii="方正仿宋_GB2312" w:eastAsia="方正仿宋_GB2312"/>
          <w:color w:val="auto"/>
          <w:sz w:val="32"/>
          <w:szCs w:val="32"/>
          <w:highlight w:val="none"/>
        </w:rPr>
      </w:pPr>
      <w:r>
        <w:rPr>
          <w:rFonts w:hint="eastAsia" w:ascii="方正仿宋_GB2312" w:eastAsia="方正仿宋_GB2312"/>
          <w:color w:val="auto"/>
          <w:sz w:val="32"/>
          <w:szCs w:val="32"/>
          <w:highlight w:val="none"/>
          <w:lang w:val="en-US" w:eastAsia="zh-CN"/>
        </w:rPr>
        <w:t>9</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基本支出：指为保障机构正常运转、完成日常工作任务而发生的人员支出和公用支出。</w:t>
      </w:r>
    </w:p>
    <w:p>
      <w:pPr>
        <w:ind w:firstLine="640" w:firstLineChars="200"/>
        <w:rPr>
          <w:rFonts w:ascii="方正仿宋_GB2312" w:eastAsia="方正仿宋_GB2312"/>
          <w:color w:val="auto"/>
          <w:sz w:val="32"/>
          <w:szCs w:val="32"/>
          <w:highlight w:val="none"/>
        </w:rPr>
      </w:pPr>
      <w:r>
        <w:rPr>
          <w:rFonts w:hint="eastAsia" w:ascii="方正仿宋_GB2312" w:eastAsia="方正仿宋_GB2312"/>
          <w:color w:val="auto"/>
          <w:sz w:val="32"/>
          <w:szCs w:val="32"/>
          <w:highlight w:val="none"/>
          <w:lang w:val="en-US" w:eastAsia="zh-CN"/>
        </w:rPr>
        <w:t>10</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项目支出：指在基本支出之外为完成特定行政任务和事业发展目标所发生的支出。</w:t>
      </w:r>
      <w:r>
        <w:rPr>
          <w:rFonts w:ascii="方正仿宋_GB2312" w:eastAsia="方正仿宋_GB2312"/>
          <w:color w:val="auto"/>
          <w:sz w:val="32"/>
          <w:szCs w:val="32"/>
          <w:highlight w:val="none"/>
        </w:rPr>
        <w:t xml:space="preserve"> </w:t>
      </w:r>
    </w:p>
    <w:p>
      <w:pPr>
        <w:ind w:firstLine="640" w:firstLineChars="200"/>
        <w:rPr>
          <w:rFonts w:ascii="方正仿宋_GB2312" w:eastAsia="方正仿宋_GB2312"/>
          <w:color w:val="auto"/>
          <w:sz w:val="32"/>
          <w:szCs w:val="32"/>
          <w:highlight w:val="none"/>
        </w:rPr>
      </w:pPr>
      <w:r>
        <w:rPr>
          <w:rFonts w:hint="eastAsia" w:ascii="方正仿宋_GB2312" w:eastAsia="方正仿宋_GB2312"/>
          <w:color w:val="auto"/>
          <w:sz w:val="32"/>
          <w:szCs w:val="32"/>
          <w:highlight w:val="none"/>
          <w:lang w:val="en-US" w:eastAsia="zh-CN"/>
        </w:rPr>
        <w:t>11</w:t>
      </w:r>
      <w:r>
        <w:rPr>
          <w:rFonts w:ascii="方正仿宋_GB2312" w:eastAsia="方正仿宋_GB2312"/>
          <w:color w:val="auto"/>
          <w:sz w:val="32"/>
          <w:szCs w:val="32"/>
          <w:highlight w:val="none"/>
        </w:rPr>
        <w:t>.</w:t>
      </w:r>
      <w:r>
        <w:rPr>
          <w:rFonts w:hint="eastAsia" w:ascii="方正仿宋_GB2312" w:eastAsia="方正仿宋_GB2312"/>
          <w:color w:val="auto"/>
          <w:sz w:val="32"/>
          <w:szCs w:val="32"/>
          <w:highlight w:val="none"/>
        </w:rPr>
        <w:t>经营支出：指事业单位在专业业务活动及其辅助活动之外开展非独立核算经营活动发生的支出。</w:t>
      </w:r>
    </w:p>
    <w:p>
      <w:pPr>
        <w:spacing w:line="600" w:lineRule="exact"/>
        <w:jc w:val="center"/>
        <w:outlineLvl w:val="0"/>
        <w:rPr>
          <w:rStyle w:val="14"/>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14"/>
          <w:rFonts w:hint="eastAsia" w:ascii="黑体" w:hAnsi="黑体" w:eastAsia="黑体"/>
          <w:b w:val="0"/>
          <w:color w:val="auto"/>
          <w:highlight w:val="none"/>
          <w:lang w:val="en-US" w:eastAsia="zh-CN"/>
        </w:rPr>
        <w:t>四</w:t>
      </w:r>
      <w:r>
        <w:rPr>
          <w:rStyle w:val="14"/>
          <w:rFonts w:hint="eastAsia" w:ascii="黑体" w:hAnsi="黑体" w:eastAsia="黑体"/>
          <w:b w:val="0"/>
          <w:color w:val="auto"/>
          <w:highlight w:val="none"/>
        </w:rPr>
        <w:t>部分 附表</w:t>
      </w:r>
      <w:bookmarkStart w:id="0" w:name="_Toc15396619"/>
    </w:p>
    <w:p>
      <w:pPr>
        <w:pStyle w:val="2"/>
        <w:rPr>
          <w:rStyle w:val="14"/>
          <w:rFonts w:hint="eastAsia" w:ascii="宋体" w:hAnsi="宋体" w:eastAsia="宋体" w:cs="宋体"/>
          <w:b w:val="0"/>
          <w:color w:val="auto"/>
          <w:sz w:val="32"/>
          <w:szCs w:val="32"/>
          <w:highlight w:val="none"/>
          <w:lang w:val="en-US" w:eastAsia="zh-CN"/>
        </w:rPr>
      </w:pPr>
    </w:p>
    <w:p>
      <w:pPr>
        <w:pStyle w:val="2"/>
        <w:ind w:firstLine="1280" w:firstLineChars="400"/>
        <w:rPr>
          <w:rFonts w:hint="eastAsia" w:ascii="宋体" w:hAnsi="宋体" w:eastAsia="宋体" w:cs="宋体"/>
          <w:sz w:val="32"/>
          <w:szCs w:val="32"/>
          <w:lang w:val="en-US" w:eastAsia="zh-CN"/>
        </w:rPr>
      </w:pPr>
      <w:r>
        <w:rPr>
          <w:rStyle w:val="14"/>
          <w:rFonts w:hint="eastAsia" w:ascii="宋体" w:hAnsi="宋体" w:eastAsia="宋体" w:cs="宋体"/>
          <w:b w:val="0"/>
          <w:color w:val="auto"/>
          <w:sz w:val="32"/>
          <w:szCs w:val="32"/>
          <w:highlight w:val="none"/>
          <w:lang w:val="en-US" w:eastAsia="zh-CN"/>
        </w:rPr>
        <w:t>部门预算项目支出绩效自评表（2023年度）</w:t>
      </w: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bookmarkStart w:id="10" w:name="_GoBack"/>
      <w:bookmarkEnd w:id="10"/>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14"/>
          <w:rFonts w:hint="eastAsia" w:ascii="黑体" w:hAnsi="黑体" w:eastAsia="黑体"/>
          <w:b w:val="0"/>
          <w:color w:val="auto"/>
          <w:highlight w:val="none"/>
        </w:rPr>
        <w:t>五部分 附表</w:t>
      </w:r>
    </w:p>
    <w:p>
      <w:pPr>
        <w:pStyle w:val="4"/>
        <w:rPr>
          <w:rFonts w:hint="eastAsia" w:ascii="仿宋" w:hAnsi="仿宋" w:eastAsia="仿宋"/>
          <w:b w:val="0"/>
          <w:color w:val="auto"/>
          <w:highlight w:val="none"/>
        </w:rPr>
      </w:pPr>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15"/>
          <w:rFonts w:hint="eastAsia" w:ascii="仿宋" w:hAnsi="仿宋" w:eastAsia="仿宋"/>
          <w:b w:val="0"/>
          <w:bCs w:val="0"/>
          <w:color w:val="auto"/>
          <w:highlight w:val="none"/>
        </w:rPr>
        <w:t>入支出决算总表</w:t>
      </w:r>
      <w:bookmarkEnd w:id="0"/>
    </w:p>
    <w:p>
      <w:pPr>
        <w:pStyle w:val="4"/>
        <w:rPr>
          <w:rFonts w:ascii="仿宋" w:hAnsi="仿宋" w:eastAsia="仿宋"/>
          <w:color w:val="auto"/>
          <w:highlight w:val="none"/>
        </w:rPr>
      </w:pPr>
      <w:bookmarkStart w:id="1" w:name="_Toc15396620"/>
      <w:r>
        <w:rPr>
          <w:rFonts w:hint="eastAsia" w:ascii="仿宋" w:hAnsi="仿宋" w:eastAsia="仿宋"/>
          <w:b w:val="0"/>
          <w:color w:val="auto"/>
          <w:highlight w:val="none"/>
        </w:rPr>
        <w:t>二、收</w:t>
      </w:r>
      <w:r>
        <w:rPr>
          <w:rStyle w:val="15"/>
          <w:rFonts w:hint="eastAsia" w:ascii="仿宋" w:hAnsi="仿宋" w:eastAsia="仿宋"/>
          <w:b w:val="0"/>
          <w:bCs w:val="0"/>
          <w:color w:val="auto"/>
          <w:highlight w:val="none"/>
        </w:rPr>
        <w:t>入决算表</w:t>
      </w:r>
      <w:bookmarkEnd w:id="1"/>
    </w:p>
    <w:p>
      <w:pPr>
        <w:pStyle w:val="4"/>
        <w:rPr>
          <w:rFonts w:ascii="仿宋" w:hAnsi="仿宋" w:eastAsia="仿宋"/>
          <w:color w:val="auto"/>
          <w:highlight w:val="none"/>
        </w:rPr>
      </w:pPr>
      <w:bookmarkStart w:id="2" w:name="_Toc15396621"/>
      <w:r>
        <w:rPr>
          <w:rStyle w:val="1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5"/>
          <w:rFonts w:hint="eastAsia" w:ascii="仿宋" w:hAnsi="仿宋" w:eastAsia="仿宋"/>
          <w:b w:val="0"/>
          <w:bCs w:val="0"/>
          <w:color w:val="auto"/>
          <w:highlight w:val="none"/>
        </w:rPr>
        <w:t>出决算表</w:t>
      </w:r>
      <w:bookmarkEnd w:id="2"/>
    </w:p>
    <w:p>
      <w:pPr>
        <w:pStyle w:val="4"/>
        <w:rPr>
          <w:rFonts w:ascii="仿宋" w:hAnsi="仿宋" w:eastAsia="仿宋"/>
          <w:b w:val="0"/>
          <w:color w:val="auto"/>
          <w:highlight w:val="none"/>
        </w:rPr>
      </w:pPr>
      <w:bookmarkStart w:id="3" w:name="_Toc15396622"/>
      <w:r>
        <w:rPr>
          <w:rStyle w:val="1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5"/>
          <w:rFonts w:hint="eastAsia" w:ascii="仿宋" w:hAnsi="仿宋" w:eastAsia="仿宋"/>
          <w:b w:val="0"/>
          <w:bCs w:val="0"/>
          <w:color w:val="auto"/>
          <w:highlight w:val="none"/>
        </w:rPr>
        <w:t>政拨款收入支出决算总表</w:t>
      </w:r>
      <w:bookmarkEnd w:id="3"/>
    </w:p>
    <w:p>
      <w:pPr>
        <w:pStyle w:val="4"/>
        <w:rPr>
          <w:rFonts w:ascii="仿宋" w:hAnsi="仿宋" w:eastAsia="仿宋"/>
          <w:color w:val="auto"/>
          <w:highlight w:val="none"/>
        </w:rPr>
      </w:pPr>
      <w:bookmarkStart w:id="4" w:name="_Toc15396623"/>
      <w:r>
        <w:rPr>
          <w:rStyle w:val="15"/>
          <w:rFonts w:hint="eastAsia" w:ascii="仿宋" w:hAnsi="仿宋" w:eastAsia="仿宋"/>
          <w:b w:val="0"/>
          <w:bCs w:val="0"/>
          <w:color w:val="auto"/>
          <w:highlight w:val="none"/>
        </w:rPr>
        <w:t>五、</w:t>
      </w:r>
      <w:bookmarkEnd w:id="4"/>
      <w:bookmarkStart w:id="5" w:name="_Toc15396624"/>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w:t>
      </w:r>
      <w:r>
        <w:rPr>
          <w:rStyle w:val="15"/>
          <w:rFonts w:hint="eastAsia" w:ascii="仿宋" w:hAnsi="仿宋" w:eastAsia="仿宋"/>
          <w:b w:val="0"/>
          <w:bCs w:val="0"/>
          <w:color w:val="auto"/>
          <w:highlight w:val="none"/>
          <w:lang w:val="en-US" w:eastAsia="zh-CN"/>
        </w:rPr>
        <w:t>收入</w:t>
      </w:r>
      <w:r>
        <w:rPr>
          <w:rStyle w:val="15"/>
          <w:rFonts w:hint="eastAsia" w:ascii="仿宋" w:hAnsi="仿宋" w:eastAsia="仿宋"/>
          <w:b w:val="0"/>
          <w:bCs w:val="0"/>
          <w:color w:val="auto"/>
          <w:highlight w:val="none"/>
        </w:rPr>
        <w:t>支出决算表</w:t>
      </w:r>
    </w:p>
    <w:p>
      <w:pPr>
        <w:pStyle w:val="4"/>
        <w:rPr>
          <w:rFonts w:ascii="仿宋" w:hAnsi="仿宋" w:eastAsia="仿宋"/>
          <w:color w:val="auto"/>
          <w:highlight w:val="none"/>
        </w:rPr>
      </w:pPr>
      <w:r>
        <w:rPr>
          <w:rStyle w:val="15"/>
          <w:rFonts w:hint="eastAsia" w:ascii="仿宋" w:hAnsi="仿宋" w:eastAsia="仿宋"/>
          <w:b w:val="0"/>
          <w:bCs w:val="0"/>
          <w:color w:val="auto"/>
          <w:highlight w:val="none"/>
        </w:rPr>
        <w:t>六、</w:t>
      </w:r>
      <w:bookmarkEnd w:id="5"/>
      <w:bookmarkStart w:id="6" w:name="_Toc15396625"/>
      <w:r>
        <w:rPr>
          <w:rFonts w:hint="eastAsia" w:ascii="仿宋" w:hAnsi="仿宋" w:eastAsia="仿宋"/>
          <w:b w:val="0"/>
          <w:color w:val="auto"/>
          <w:highlight w:val="none"/>
        </w:rPr>
        <w:t>一</w:t>
      </w:r>
      <w:r>
        <w:rPr>
          <w:rStyle w:val="15"/>
          <w:rFonts w:hint="eastAsia" w:ascii="仿宋" w:hAnsi="仿宋" w:eastAsia="仿宋"/>
          <w:b w:val="0"/>
          <w:bCs w:val="0"/>
          <w:color w:val="auto"/>
          <w:highlight w:val="none"/>
        </w:rPr>
        <w:t>般公共预算财政拨款</w:t>
      </w:r>
      <w:r>
        <w:rPr>
          <w:rStyle w:val="15"/>
          <w:rFonts w:hint="eastAsia" w:ascii="仿宋" w:hAnsi="仿宋" w:eastAsia="仿宋"/>
          <w:b w:val="0"/>
          <w:bCs w:val="0"/>
          <w:color w:val="auto"/>
          <w:highlight w:val="none"/>
          <w:lang w:val="en-US" w:eastAsia="zh-CN"/>
        </w:rPr>
        <w:t>基本</w:t>
      </w:r>
      <w:r>
        <w:rPr>
          <w:rStyle w:val="15"/>
          <w:rFonts w:hint="eastAsia" w:ascii="仿宋" w:hAnsi="仿宋" w:eastAsia="仿宋"/>
          <w:b w:val="0"/>
          <w:bCs w:val="0"/>
          <w:color w:val="auto"/>
          <w:highlight w:val="none"/>
        </w:rPr>
        <w:t>支出决算明细表</w:t>
      </w:r>
      <w:bookmarkEnd w:id="6"/>
    </w:p>
    <w:p>
      <w:pPr>
        <w:pStyle w:val="4"/>
        <w:rPr>
          <w:rFonts w:ascii="仿宋" w:hAnsi="仿宋" w:eastAsia="仿宋"/>
          <w:color w:val="auto"/>
          <w:highlight w:val="none"/>
        </w:rPr>
      </w:pPr>
      <w:bookmarkStart w:id="7" w:name="_Toc15396626"/>
      <w:r>
        <w:rPr>
          <w:rStyle w:val="15"/>
          <w:rFonts w:hint="eastAsia" w:ascii="仿宋" w:hAnsi="仿宋" w:eastAsia="仿宋"/>
          <w:b w:val="0"/>
          <w:bCs w:val="0"/>
          <w:color w:val="auto"/>
          <w:highlight w:val="none"/>
          <w:lang w:val="en-US" w:eastAsia="zh-CN"/>
        </w:rPr>
        <w:t>七</w:t>
      </w:r>
      <w:r>
        <w:rPr>
          <w:rStyle w:val="15"/>
          <w:rFonts w:hint="eastAsia" w:ascii="仿宋" w:hAnsi="仿宋" w:eastAsia="仿宋"/>
          <w:b w:val="0"/>
          <w:bCs w:val="0"/>
          <w:color w:val="auto"/>
          <w:highlight w:val="none"/>
        </w:rPr>
        <w:t>、</w:t>
      </w:r>
      <w:bookmarkEnd w:id="7"/>
      <w:r>
        <w:rPr>
          <w:rFonts w:hint="eastAsia" w:ascii="仿宋" w:hAnsi="仿宋" w:eastAsia="仿宋"/>
          <w:b w:val="0"/>
          <w:color w:val="auto"/>
          <w:highlight w:val="none"/>
        </w:rPr>
        <w:t>政</w:t>
      </w:r>
      <w:r>
        <w:rPr>
          <w:rStyle w:val="1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8" w:name="_Toc15396627"/>
      <w:r>
        <w:rPr>
          <w:rStyle w:val="15"/>
          <w:rFonts w:hint="eastAsia" w:ascii="仿宋" w:hAnsi="仿宋" w:eastAsia="仿宋"/>
          <w:b w:val="0"/>
          <w:bCs w:val="0"/>
          <w:color w:val="auto"/>
          <w:highlight w:val="none"/>
          <w:lang w:val="en-US" w:eastAsia="zh-CN"/>
        </w:rPr>
        <w:t>八</w:t>
      </w:r>
      <w:r>
        <w:rPr>
          <w:rStyle w:val="15"/>
          <w:rFonts w:hint="eastAsia" w:ascii="仿宋" w:hAnsi="仿宋" w:eastAsia="仿宋"/>
          <w:b w:val="0"/>
          <w:bCs w:val="0"/>
          <w:color w:val="auto"/>
          <w:highlight w:val="none"/>
        </w:rPr>
        <w:t>、</w:t>
      </w:r>
      <w:bookmarkEnd w:id="8"/>
      <w:r>
        <w:rPr>
          <w:rFonts w:hint="eastAsia" w:ascii="仿宋" w:hAnsi="仿宋" w:eastAsia="仿宋"/>
          <w:b w:val="0"/>
          <w:color w:val="auto"/>
          <w:highlight w:val="none"/>
        </w:rPr>
        <w:t>国</w:t>
      </w:r>
      <w:r>
        <w:rPr>
          <w:rStyle w:val="15"/>
          <w:rFonts w:hint="eastAsia" w:ascii="仿宋" w:hAnsi="仿宋" w:eastAsia="仿宋"/>
          <w:b w:val="0"/>
          <w:bCs w:val="0"/>
          <w:color w:val="auto"/>
          <w:highlight w:val="none"/>
        </w:rPr>
        <w:t>有资本经营预算</w:t>
      </w:r>
      <w:r>
        <w:rPr>
          <w:rStyle w:val="15"/>
          <w:rFonts w:hint="eastAsia" w:ascii="仿宋" w:hAnsi="仿宋" w:eastAsia="仿宋"/>
          <w:b w:val="0"/>
          <w:bCs w:val="0"/>
          <w:color w:val="auto"/>
          <w:highlight w:val="none"/>
          <w:lang w:eastAsia="zh-CN"/>
        </w:rPr>
        <w:t>财政拨款收入</w:t>
      </w:r>
      <w:r>
        <w:rPr>
          <w:rStyle w:val="15"/>
          <w:rFonts w:hint="eastAsia" w:ascii="仿宋" w:hAnsi="仿宋" w:eastAsia="仿宋"/>
          <w:b w:val="0"/>
          <w:bCs w:val="0"/>
          <w:color w:val="auto"/>
          <w:highlight w:val="none"/>
        </w:rPr>
        <w:t>支出决算表</w:t>
      </w:r>
    </w:p>
    <w:p>
      <w:pPr>
        <w:pStyle w:val="4"/>
      </w:pPr>
      <w:bookmarkStart w:id="9" w:name="_Toc15396628"/>
      <w:r>
        <w:rPr>
          <w:rStyle w:val="15"/>
          <w:rFonts w:hint="eastAsia" w:ascii="仿宋" w:hAnsi="仿宋" w:eastAsia="仿宋"/>
          <w:b w:val="0"/>
          <w:bCs w:val="0"/>
          <w:color w:val="auto"/>
          <w:highlight w:val="none"/>
          <w:lang w:val="en-US" w:eastAsia="zh-CN"/>
        </w:rPr>
        <w:t>九</w:t>
      </w:r>
      <w:r>
        <w:rPr>
          <w:rStyle w:val="15"/>
          <w:rFonts w:hint="eastAsia" w:ascii="仿宋" w:hAnsi="仿宋" w:eastAsia="仿宋"/>
          <w:b w:val="0"/>
          <w:bCs w:val="0"/>
          <w:color w:val="auto"/>
          <w:highlight w:val="none"/>
        </w:rPr>
        <w:t>、</w:t>
      </w:r>
      <w:bookmarkEnd w:id="9"/>
      <w:r>
        <w:rPr>
          <w:rStyle w:val="15"/>
          <w:rFonts w:hint="eastAsia" w:ascii="仿宋" w:hAnsi="仿宋" w:eastAsia="仿宋"/>
          <w:b w:val="0"/>
          <w:bCs w:val="0"/>
          <w:color w:val="auto"/>
          <w:highlight w:val="none"/>
          <w:lang w:val="en-US" w:eastAsia="zh-CN"/>
        </w:rPr>
        <w:t>部门决算量化评价表</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5DDD27-F030-4FB7-8E85-51A8DA4099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9F7FD2-36E5-49E5-A088-93DEDFC8AAD9}"/>
  </w:font>
  <w:font w:name="Cambria">
    <w:panose1 w:val="02040503050406030204"/>
    <w:charset w:val="00"/>
    <w:family w:val="roman"/>
    <w:pitch w:val="default"/>
    <w:sig w:usb0="E00006FF" w:usb1="420024FF" w:usb2="02000000" w:usb3="00000000" w:csb0="2000019F" w:csb1="00000000"/>
    <w:embedRegular r:id="rId3" w:fontKey="{838658FD-DB6B-4C4E-A358-90C6631920A7}"/>
  </w:font>
  <w:font w:name="方正仿宋_GB2312">
    <w:panose1 w:val="02000000000000000000"/>
    <w:charset w:val="86"/>
    <w:family w:val="auto"/>
    <w:pitch w:val="default"/>
    <w:sig w:usb0="A00002BF" w:usb1="184F6CFA" w:usb2="00000012" w:usb3="00000000" w:csb0="00040001" w:csb1="00000000"/>
    <w:embedRegular r:id="rId4" w:fontKey="{EDD9BD3E-EDDF-48A8-BDC5-D632DD1B76E1}"/>
  </w:font>
  <w:font w:name="仿宋">
    <w:panose1 w:val="02010609060101010101"/>
    <w:charset w:val="86"/>
    <w:family w:val="modern"/>
    <w:pitch w:val="default"/>
    <w:sig w:usb0="800002BF" w:usb1="38CF7CFA" w:usb2="00000016" w:usb3="00000000" w:csb0="00040001" w:csb1="00000000"/>
    <w:embedRegular r:id="rId5" w:fontKey="{4FE13443-5F6F-4863-9F5B-2B08284AB977}"/>
  </w:font>
  <w:font w:name="方正小标宋简体">
    <w:panose1 w:val="03000509000000000000"/>
    <w:charset w:val="86"/>
    <w:family w:val="script"/>
    <w:pitch w:val="default"/>
    <w:sig w:usb0="00000001" w:usb1="080E0000" w:usb2="00000000" w:usb3="00000000" w:csb0="00040000" w:csb1="00000000"/>
    <w:embedRegular r:id="rId6" w:fontKey="{13327EA1-904F-4387-AB53-EE1C673C3137}"/>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7" w:fontKey="{74B68AD5-8401-47E4-9B18-4B8A7104850C}"/>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bidi w:val="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eastAsia="宋体"/>
                        <w:lang w:val="en-US" w:eastAsia="zh-CN"/>
                      </w:rPr>
                    </w:pPr>
                    <w:r>
                      <w:rPr>
                        <w:rFonts w:hint="eastAsia"/>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ZmY5M2FkNThlNjViOTI3YTIyZWJkZjY1NWZjMTMifQ=="/>
  </w:docVars>
  <w:rsids>
    <w:rsidRoot w:val="13A13340"/>
    <w:rsid w:val="023F66B6"/>
    <w:rsid w:val="05151463"/>
    <w:rsid w:val="07131EBF"/>
    <w:rsid w:val="07FC5336"/>
    <w:rsid w:val="09615163"/>
    <w:rsid w:val="0A403527"/>
    <w:rsid w:val="0F707D9E"/>
    <w:rsid w:val="133B07D3"/>
    <w:rsid w:val="13A13340"/>
    <w:rsid w:val="1E8575F4"/>
    <w:rsid w:val="24B30B11"/>
    <w:rsid w:val="2A750617"/>
    <w:rsid w:val="2DBA137B"/>
    <w:rsid w:val="2FC43093"/>
    <w:rsid w:val="323B5CA2"/>
    <w:rsid w:val="339E473B"/>
    <w:rsid w:val="350F5CB3"/>
    <w:rsid w:val="36D848E7"/>
    <w:rsid w:val="374D38AB"/>
    <w:rsid w:val="3A3F02FA"/>
    <w:rsid w:val="3C461E13"/>
    <w:rsid w:val="3E295885"/>
    <w:rsid w:val="3E6622F9"/>
    <w:rsid w:val="40041DC9"/>
    <w:rsid w:val="41097C06"/>
    <w:rsid w:val="4396542E"/>
    <w:rsid w:val="497B34BB"/>
    <w:rsid w:val="4BFB1F84"/>
    <w:rsid w:val="507A1D0D"/>
    <w:rsid w:val="51DE62AD"/>
    <w:rsid w:val="522E717A"/>
    <w:rsid w:val="5310285D"/>
    <w:rsid w:val="54E776DE"/>
    <w:rsid w:val="55942811"/>
    <w:rsid w:val="57875362"/>
    <w:rsid w:val="579F7B8B"/>
    <w:rsid w:val="597903A1"/>
    <w:rsid w:val="5A8E2EAB"/>
    <w:rsid w:val="5B571A8D"/>
    <w:rsid w:val="60A9459B"/>
    <w:rsid w:val="688B17FA"/>
    <w:rsid w:val="69172DED"/>
    <w:rsid w:val="69A10A2C"/>
    <w:rsid w:val="6D306787"/>
    <w:rsid w:val="74033B6B"/>
    <w:rsid w:val="742C4C55"/>
    <w:rsid w:val="74DB0643"/>
    <w:rsid w:val="79E578F6"/>
    <w:rsid w:val="79FE6CF2"/>
    <w:rsid w:val="7B253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5">
    <w:name w:val="Body Text Indent"/>
    <w:basedOn w:val="1"/>
    <w:next w:val="6"/>
    <w:qFormat/>
    <w:uiPriority w:val="0"/>
    <w:pPr>
      <w:spacing w:after="120"/>
      <w:ind w:leftChars="200"/>
    </w:pPr>
    <w:rPr>
      <w:rFonts w:ascii="方正仿宋_GB2312"/>
      <w:szCs w:val="32"/>
    </w:rPr>
  </w:style>
  <w:style w:type="paragraph" w:styleId="6">
    <w:name w:val="Body Text First Indent 2"/>
    <w:basedOn w:val="5"/>
    <w:unhideWhenUsed/>
    <w:qFormat/>
    <w:uiPriority w:val="99"/>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0">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customStyle="1" w:styleId="14">
    <w:name w:val="标题 1 Char"/>
    <w:basedOn w:val="12"/>
    <w:link w:val="3"/>
    <w:qFormat/>
    <w:uiPriority w:val="9"/>
    <w:rPr>
      <w:b/>
      <w:bCs/>
      <w:kern w:val="44"/>
      <w:sz w:val="44"/>
      <w:szCs w:val="44"/>
    </w:rPr>
  </w:style>
  <w:style w:type="character" w:customStyle="1" w:styleId="15">
    <w:name w:val="标题 2 Char"/>
    <w:basedOn w:val="12"/>
    <w:link w:val="4"/>
    <w:qFormat/>
    <w:uiPriority w:val="9"/>
    <w:rPr>
      <w:rFonts w:ascii="Cambria" w:hAnsi="Cambria" w:eastAsia="宋体" w:cs="Times New Roman"/>
      <w:b/>
      <w:bCs/>
      <w:sz w:val="32"/>
      <w:szCs w:val="32"/>
    </w:rPr>
  </w:style>
  <w:style w:type="paragraph"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a:t>
            </a:r>
            <a:r>
              <a:t>总计</a:t>
            </a:r>
          </a:p>
        </c:rich>
      </c:tx>
      <c:layout>
        <c:manualLayout>
          <c:xMode val="edge"/>
          <c:yMode val="edge"/>
          <c:x val="0.423894660546026"/>
          <c:y val="0.023374415639609"/>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收、支决算总计（万元）</c:v>
                </c:pt>
              </c:strCache>
            </c:strRef>
          </c:tx>
          <c:spPr>
            <a:solidFill>
              <a:schemeClr val="accent1"/>
            </a:solidFill>
            <a:ln>
              <a:noFill/>
            </a:ln>
            <a:effectLst/>
          </c:spPr>
          <c:invertIfNegative val="0"/>
          <c:dLbls>
            <c:delete val="1"/>
          </c:dLbls>
          <c:cat>
            <c:strRef>
              <c:f>Sheet1!$A$2:$A$5</c:f>
              <c:strCache>
                <c:ptCount val="4"/>
                <c:pt idx="0">
                  <c:v>2022年</c:v>
                </c:pt>
                <c:pt idx="1">
                  <c:v>2023年</c:v>
                </c:pt>
              </c:strCache>
            </c:strRef>
          </c:cat>
          <c:val>
            <c:numRef>
              <c:f>Sheet1!$B$2:$B$5</c:f>
              <c:numCache>
                <c:formatCode>General</c:formatCode>
                <c:ptCount val="4"/>
                <c:pt idx="0">
                  <c:v>0</c:v>
                </c:pt>
                <c:pt idx="1">
                  <c:v>168.4</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2022年</c:v>
                </c:pt>
                <c:pt idx="1">
                  <c:v>2023年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2022年</c:v>
                </c:pt>
                <c:pt idx="1">
                  <c:v>2023年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46"/>
        <c:overlap val="-28"/>
        <c:axId val="822988390"/>
        <c:axId val="412914177"/>
      </c:barChart>
      <c:catAx>
        <c:axId val="8229883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914177"/>
        <c:crosses val="autoZero"/>
        <c:auto val="1"/>
        <c:lblAlgn val="ctr"/>
        <c:lblOffset val="100"/>
        <c:noMultiLvlLbl val="0"/>
      </c:catAx>
      <c:valAx>
        <c:axId val="41291417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298839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收入决算数</a:t>
            </a:r>
          </a:p>
        </c:rich>
      </c:tx>
      <c:layout/>
      <c:overlay val="0"/>
      <c:spPr>
        <a:noFill/>
        <a:ln>
          <a:noFill/>
        </a:ln>
        <a:effectLst/>
      </c:spPr>
    </c:title>
    <c:autoTitleDeleted val="0"/>
    <c:plotArea>
      <c:layout/>
      <c:pieChart>
        <c:varyColors val="1"/>
        <c:ser>
          <c:idx val="1"/>
          <c:order val="0"/>
          <c:tx>
            <c:strRef>
              <c:f>Sheet1!$B$1</c:f>
              <c:strCache>
                <c:ptCount val="1"/>
                <c:pt idx="0">
                  <c:v>收入数（万元）</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99.98</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0.02</a:t>
                    </a:r>
                    <a:r>
                      <a:t>%</a:t>
                    </a:r>
                  </a:p>
                </c:rich>
              </c:tx>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财政拨款收入</c:v>
                </c:pt>
                <c:pt idx="1">
                  <c:v>其他收入</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168.4</c:v>
                </c:pt>
                <c:pt idx="1">
                  <c:v>0.03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支出决算数（万元）</a:t>
            </a:r>
          </a:p>
        </c:rich>
      </c:tx>
      <c:layout/>
      <c:overlay val="0"/>
      <c:spPr>
        <a:noFill/>
        <a:ln>
          <a:noFill/>
        </a:ln>
        <a:effectLst/>
      </c:spPr>
    </c:title>
    <c:autoTitleDeleted val="0"/>
    <c:plotArea>
      <c:layout/>
      <c:pieChart>
        <c:varyColors val="1"/>
        <c:ser>
          <c:idx val="0"/>
          <c:order val="0"/>
          <c:tx>
            <c:strRef>
              <c:f>Sheet1!$B$1</c:f>
              <c:strCache>
                <c:ptCount val="1"/>
                <c:pt idx="0">
                  <c:v>支出数（万元）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Pt>
            <c:idx val="3"/>
            <c:bubble3D val="0"/>
            <c:spPr>
              <a:solidFill>
                <a:schemeClr val="accent1">
                  <a:lumMod val="60000"/>
                </a:schemeClr>
              </a:solidFill>
              <a:ln w="19050">
                <a:solidFill>
                  <a:schemeClr val="lt1"/>
                </a:solidFill>
              </a:ln>
              <a:effectLst/>
            </c:spPr>
          </c:dPt>
          <c:dPt>
            <c:idx val="4"/>
            <c:bubble3D val="0"/>
            <c:spPr>
              <a:solidFill>
                <a:schemeClr val="accent3">
                  <a:lumMod val="60000"/>
                </a:schemeClr>
              </a:solidFill>
              <a:ln w="19050">
                <a:solidFill>
                  <a:schemeClr val="lt1"/>
                </a:solidFill>
              </a:ln>
              <a:effectLst/>
            </c:spPr>
          </c:dPt>
          <c:dLbls>
            <c:dLbl>
              <c:idx val="0"/>
              <c:layout>
                <c:manualLayout>
                  <c:x val="0.160014513823165"/>
                  <c:y val="-0.083904823728399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35913524439131"/>
                  <c:y val="0.046182604374725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  </a:t>
                    </a:r>
                    <a:r>
                      <a:rPr lang="en-US" altLang="zh-CN"/>
                      <a:t>111.23</a:t>
                    </a:r>
                    <a:r>
                      <a:rPr altLang="en-US"/>
                      <a:t>，</a:t>
                    </a:r>
                    <a:r>
                      <a:rPr lang="en-US" altLang="zh-CN"/>
                      <a:t>,66.04</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strCache>
            </c:strRef>
          </c:cat>
          <c:val>
            <c:numRef>
              <c:f>Sheet1!$B$2:$B$6</c:f>
              <c:numCache>
                <c:formatCode>General</c:formatCode>
                <c:ptCount val="5"/>
                <c:pt idx="0">
                  <c:v>57.2</c:v>
                </c:pt>
                <c:pt idx="1">
                  <c:v>111.23</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egendEntry>
        <c:idx val="4"/>
        <c:delete val="1"/>
      </c:legendEntry>
      <c:layout>
        <c:manualLayout>
          <c:xMode val="edge"/>
          <c:yMode val="edge"/>
          <c:x val="0.0752068195597376"/>
          <c:y val="0.88334844363856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166.09</c:v>
                </c:pt>
                <c:pt idx="1">
                  <c:v>1.93</c:v>
                </c:pt>
                <c:pt idx="2">
                  <c:v>0.08</c:v>
                </c:pt>
                <c:pt idx="3">
                  <c:v>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6139</Words>
  <Characters>6663</Characters>
  <Lines>0</Lines>
  <Paragraphs>0</Paragraphs>
  <TotalTime>8</TotalTime>
  <ScaleCrop>false</ScaleCrop>
  <LinksUpToDate>false</LinksUpToDate>
  <CharactersWithSpaces>6716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2024-09-27T03:22:00Z</dcterms:created>
  <dc:creator>@南瘾浪</dc:creator>
  <cp:lastModifiedBy>86187</cp:lastModifiedBy>
  <dcterms:modified xsi:type="dcterms:W3CDTF">2024-10-13T08:20:38Z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BA970531CF52419DBC6DDCC3CBB66DD0_13</vt:lpwstr>
  </property>
</Properties>
</file>