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2E833">
      <w:pPr>
        <w:spacing w:line="600" w:lineRule="exact"/>
        <w:jc w:val="left"/>
        <w:outlineLvl w:val="9"/>
        <w:rPr>
          <w:rFonts w:ascii="方正小标宋简体" w:hAnsi="宋体" w:eastAsia="方正小标宋简体"/>
          <w:color w:val="auto"/>
          <w:sz w:val="21"/>
          <w:szCs w:val="21"/>
          <w:highlight w:val="none"/>
        </w:rPr>
      </w:pPr>
      <w:bookmarkStart w:id="0" w:name="_Toc15306267"/>
    </w:p>
    <w:p w14:paraId="5E703E03">
      <w:pPr>
        <w:spacing w:line="600" w:lineRule="exact"/>
        <w:jc w:val="center"/>
        <w:outlineLvl w:val="9"/>
        <w:rPr>
          <w:rFonts w:ascii="方正小标宋简体" w:hAnsi="宋体" w:eastAsia="方正小标宋简体"/>
          <w:color w:val="auto"/>
          <w:sz w:val="72"/>
          <w:szCs w:val="72"/>
          <w:highlight w:val="none"/>
        </w:rPr>
      </w:pPr>
    </w:p>
    <w:p w14:paraId="48A49531">
      <w:pPr>
        <w:spacing w:line="600" w:lineRule="exact"/>
        <w:jc w:val="center"/>
        <w:outlineLvl w:val="9"/>
        <w:rPr>
          <w:rFonts w:ascii="方正小标宋简体" w:hAnsi="宋体" w:eastAsia="方正小标宋简体"/>
          <w:color w:val="auto"/>
          <w:sz w:val="72"/>
          <w:szCs w:val="72"/>
          <w:highlight w:val="none"/>
        </w:rPr>
      </w:pPr>
    </w:p>
    <w:p w14:paraId="6299DBB7">
      <w:pPr>
        <w:pStyle w:val="2"/>
        <w:suppressAutoHyphens/>
        <w:bidi w:val="0"/>
        <w:spacing w:before="0" w:beforeLines="-2147483648" w:after="140" w:line="276" w:lineRule="auto"/>
        <w:jc w:val="center"/>
        <w:rPr>
          <w:rFonts w:hint="eastAsia" w:ascii="方正小标宋简体" w:hAnsi="宋体" w:eastAsia="方正小标宋简体" w:cs="Times New Roman"/>
          <w:color w:val="auto"/>
          <w:kern w:val="2"/>
          <w:sz w:val="44"/>
          <w:szCs w:val="44"/>
          <w:highlight w:val="none"/>
          <w:lang w:val="en-US" w:eastAsia="zh-CN" w:bidi="ar-SA"/>
        </w:rPr>
      </w:pPr>
      <w:bookmarkStart w:id="1" w:name="_Toc15377425"/>
      <w:bookmarkStart w:id="2" w:name="_Toc15396597"/>
      <w:bookmarkStart w:id="3" w:name="_Toc15378441"/>
      <w:bookmarkStart w:id="4" w:name="_Toc15396475"/>
      <w:bookmarkStart w:id="5" w:name="_Toc15377193"/>
      <w:r>
        <w:rPr>
          <w:rFonts w:hint="eastAsia" w:ascii="方正小标宋简体" w:hAnsi="宋体" w:eastAsia="方正小标宋简体" w:cs="Times New Roman"/>
          <w:color w:val="auto"/>
          <w:kern w:val="2"/>
          <w:sz w:val="44"/>
          <w:szCs w:val="44"/>
          <w:highlight w:val="none"/>
          <w:lang w:val="en-US" w:eastAsia="zh-CN" w:bidi="ar-SA"/>
        </w:rPr>
        <w:t>2023年度</w:t>
      </w:r>
      <w:bookmarkEnd w:id="0"/>
      <w:bookmarkEnd w:id="1"/>
      <w:bookmarkEnd w:id="2"/>
      <w:bookmarkEnd w:id="3"/>
      <w:bookmarkEnd w:id="4"/>
      <w:bookmarkEnd w:id="5"/>
      <w:bookmarkStart w:id="6" w:name="_Toc15396598"/>
      <w:bookmarkStart w:id="7" w:name="_Toc15377194"/>
      <w:bookmarkStart w:id="8" w:name="_Toc15396476"/>
      <w:bookmarkStart w:id="9" w:name="_Toc15377426"/>
      <w:bookmarkStart w:id="10" w:name="_Toc15378442"/>
      <w:bookmarkStart w:id="11" w:name="_Toc15306268"/>
    </w:p>
    <w:p w14:paraId="459345A4">
      <w:pPr>
        <w:pStyle w:val="2"/>
        <w:suppressAutoHyphens/>
        <w:bidi w:val="0"/>
        <w:spacing w:before="0" w:beforeLines="-2147483648" w:after="140" w:line="276" w:lineRule="auto"/>
        <w:jc w:val="center"/>
        <w:rPr>
          <w:rFonts w:hint="eastAsia" w:ascii="方正小标宋简体" w:hAnsi="宋体" w:eastAsia="方正小标宋简体" w:cs="Times New Roman"/>
          <w:color w:val="auto"/>
          <w:kern w:val="2"/>
          <w:sz w:val="44"/>
          <w:szCs w:val="44"/>
          <w:highlight w:val="none"/>
          <w:lang w:val="en-US" w:eastAsia="zh-CN" w:bidi="ar-SA"/>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方正小标宋简体" w:hAnsi="宋体" w:eastAsia="方正小标宋简体" w:cs="Times New Roman"/>
          <w:b/>
          <w:bCs/>
          <w:color w:val="auto"/>
          <w:kern w:val="2"/>
          <w:sz w:val="44"/>
          <w:szCs w:val="44"/>
          <w:highlight w:val="none"/>
          <w:lang w:val="en-US" w:eastAsia="zh-CN" w:bidi="ar-SA"/>
        </w:rPr>
        <w:t>广元市利州区三堆国凡幼儿园决算</w:t>
      </w:r>
      <w:bookmarkEnd w:id="6"/>
      <w:bookmarkEnd w:id="7"/>
      <w:bookmarkEnd w:id="8"/>
      <w:bookmarkEnd w:id="9"/>
      <w:bookmarkEnd w:id="10"/>
      <w:bookmarkEnd w:id="11"/>
    </w:p>
    <w:p w14:paraId="571D1C80">
      <w:pPr>
        <w:pStyle w:val="2"/>
        <w:rPr>
          <w:rFonts w:hint="eastAsia"/>
          <w:color w:val="auto"/>
          <w:sz w:val="24"/>
          <w:highlight w:val="none"/>
        </w:rPr>
      </w:pPr>
    </w:p>
    <w:p w14:paraId="4428F594">
      <w:pPr>
        <w:pStyle w:val="2"/>
        <w:rPr>
          <w:rFonts w:hint="eastAsia"/>
          <w:color w:val="auto"/>
          <w:sz w:val="24"/>
          <w:highlight w:val="none"/>
        </w:rPr>
      </w:pPr>
    </w:p>
    <w:sdt>
      <w:sdtPr>
        <w:rPr>
          <w:rFonts w:ascii="宋体" w:hAnsi="宋体" w:eastAsia="宋体" w:cs="Times New Roman"/>
          <w:kern w:val="2"/>
          <w:sz w:val="21"/>
          <w:szCs w:val="24"/>
          <w:lang w:val="en-US" w:eastAsia="zh-CN" w:bidi="ar-SA"/>
        </w:rPr>
        <w:id w:val="147474525"/>
        <w15:color w:val="DBDBDB"/>
        <w:docPartObj>
          <w:docPartGallery w:val="Table of Contents"/>
          <w:docPartUnique/>
        </w:docPartObj>
      </w:sdtPr>
      <w:sdtEndPr>
        <w:rPr>
          <w:rFonts w:hint="default" w:ascii="Times New Roman" w:hAnsi="Times New Roman" w:eastAsia="宋体" w:cs="Times New Roman"/>
          <w:color w:val="auto"/>
          <w:kern w:val="2"/>
          <w:sz w:val="24"/>
          <w:szCs w:val="24"/>
          <w:highlight w:val="none"/>
          <w:lang w:val="en-US" w:eastAsia="zh-CN" w:bidi="ar-SA"/>
        </w:rPr>
      </w:sdtEndPr>
      <w:sdtContent>
        <w:p w14:paraId="5CD12BBC">
          <w:pPr>
            <w:spacing w:before="0" w:beforeLines="0" w:after="0" w:afterLines="0" w:line="240" w:lineRule="auto"/>
            <w:ind w:left="0" w:leftChars="0" w:right="0" w:rightChars="0" w:firstLine="0" w:firstLineChars="0"/>
            <w:jc w:val="center"/>
            <w:rPr>
              <w:rFonts w:hint="eastAsia" w:ascii="黑体" w:hAnsi="黑体" w:eastAsia="黑体"/>
              <w:color w:val="auto"/>
              <w:sz w:val="48"/>
              <w:szCs w:val="48"/>
              <w:highlight w:val="none"/>
            </w:rPr>
          </w:pPr>
          <w:r>
            <w:rPr>
              <w:rFonts w:hint="eastAsia" w:ascii="黑体" w:hAnsi="黑体" w:eastAsia="黑体"/>
              <w:color w:val="auto"/>
              <w:sz w:val="48"/>
              <w:szCs w:val="48"/>
              <w:highlight w:val="none"/>
            </w:rPr>
            <w:t>目</w:t>
          </w:r>
          <w:r>
            <w:rPr>
              <w:rFonts w:hint="eastAsia" w:ascii="黑体" w:hAnsi="黑体" w:eastAsia="黑体"/>
              <w:color w:val="auto"/>
              <w:sz w:val="48"/>
              <w:szCs w:val="48"/>
              <w:highlight w:val="none"/>
              <w:lang w:val="en-US" w:eastAsia="zh-CN"/>
            </w:rPr>
            <w:t xml:space="preserve"> </w:t>
          </w:r>
          <w:r>
            <w:rPr>
              <w:rFonts w:hint="eastAsia" w:ascii="黑体" w:hAnsi="黑体" w:eastAsia="黑体"/>
              <w:color w:val="auto"/>
              <w:sz w:val="48"/>
              <w:szCs w:val="48"/>
              <w:highlight w:val="none"/>
            </w:rPr>
            <w:t>录</w:t>
          </w:r>
        </w:p>
        <w:p w14:paraId="40CB4863">
          <w:pPr>
            <w:pStyle w:val="2"/>
            <w:rPr>
              <w:rFonts w:hint="eastAsia"/>
              <w:sz w:val="22"/>
              <w:szCs w:val="20"/>
            </w:rPr>
          </w:pPr>
        </w:p>
        <w:p w14:paraId="38F91810">
          <w:pPr>
            <w:pStyle w:val="11"/>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14</w:t>
          </w:r>
          <w:r>
            <w:rPr>
              <w:rFonts w:hint="eastAsia"/>
              <w:color w:val="auto"/>
              <w:highlight w:val="none"/>
            </w:rPr>
            <w:t>日</w:t>
          </w:r>
        </w:p>
        <w:p w14:paraId="4C95C2E2">
          <w:pPr>
            <w:pStyle w:val="34"/>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TOC \o "1-2" \h \u </w:instrText>
          </w:r>
          <w:r>
            <w:rPr>
              <w:rFonts w:hint="default" w:ascii="Times New Roman" w:hAnsi="Times New Roman" w:eastAsia="宋体" w:cs="Times New Roman"/>
              <w:color w:val="auto"/>
              <w:kern w:val="2"/>
              <w:sz w:val="24"/>
              <w:szCs w:val="24"/>
              <w:highlight w:val="none"/>
              <w:lang w:val="en-US" w:eastAsia="zh-CN" w:bidi="ar-SA"/>
            </w:rPr>
            <w:fldChar w:fldCharType="separate"/>
          </w:r>
        </w:p>
        <w:p w14:paraId="3396F9F3">
          <w:pPr>
            <w:pStyle w:val="34"/>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_Toc1796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8"/>
              <w:highlight w:val="none"/>
              <w:lang w:val="en-US" w:eastAsia="zh-CN" w:bidi="ar-SA"/>
            </w:rPr>
            <w:t>第一部分 单位概况</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_Toc1796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444299AD">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_Toc14446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一、主要职责</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_Toc14446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640DF3BB">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_Toc20576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二、机构设置</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_Toc20576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64BDA531">
          <w:pPr>
            <w:pStyle w:val="34"/>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_Toc8684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第二部分 2023年度单位决算情况说明</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_Toc8684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6AD1D240">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_Toc18252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t xml:space="preserve">一、 </w:t>
          </w:r>
          <w:r>
            <w:rPr>
              <w:rFonts w:hint="eastAsia" w:ascii="Times New Roman" w:hAnsi="Times New Roman" w:eastAsia="宋体" w:cs="Times New Roman"/>
              <w:color w:val="auto"/>
              <w:kern w:val="2"/>
              <w:sz w:val="24"/>
              <w:szCs w:val="24"/>
              <w:highlight w:val="none"/>
              <w:lang w:val="en-US" w:eastAsia="zh-CN" w:bidi="ar-SA"/>
            </w:rPr>
            <w:t>收入支出决算总体情况说明</w:t>
          </w:r>
          <w:r>
            <w:rPr>
              <w:rFonts w:hint="default" w:ascii="Times New Roman" w:hAnsi="Times New Roman" w:eastAsia="宋体" w:cs="Times New Roman"/>
              <w:color w:val="auto"/>
              <w:kern w:val="2"/>
              <w:sz w:val="24"/>
              <w:szCs w:val="24"/>
              <w:highlight w:val="none"/>
              <w:lang w:val="en-US" w:eastAsia="zh-CN" w:bidi="ar-SA"/>
            </w:rPr>
            <w:tab/>
          </w: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PAGEREF _Toc18252 \h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18CC4CEA">
          <w:pPr>
            <w:pStyle w:val="3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_Toc5774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t xml:space="preserve">二、 </w:t>
          </w:r>
          <w:r>
            <w:rPr>
              <w:rFonts w:hint="eastAsia" w:ascii="Times New Roman" w:hAnsi="Times New Roman" w:eastAsia="宋体" w:cs="Times New Roman"/>
              <w:color w:val="auto"/>
              <w:kern w:val="2"/>
              <w:sz w:val="24"/>
              <w:szCs w:val="24"/>
              <w:highlight w:val="none"/>
              <w:lang w:val="en-US" w:eastAsia="zh-CN" w:bidi="ar-SA"/>
            </w:rPr>
            <w:t>收入决算情况说明</w:t>
          </w:r>
          <w:r>
            <w:rPr>
              <w:rFonts w:hint="default" w:ascii="Times New Roman" w:hAnsi="Times New Roman" w:eastAsia="宋体" w:cs="Times New Roman"/>
              <w:color w:val="auto"/>
              <w:kern w:val="2"/>
              <w:sz w:val="24"/>
              <w:szCs w:val="24"/>
              <w:highlight w:val="none"/>
              <w:lang w:val="en-US" w:eastAsia="zh-CN" w:bidi="ar-SA"/>
            </w:rPr>
            <w:tab/>
          </w: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PAGEREF _Toc5774 \h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0D2F92AF">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_Toc11095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t xml:space="preserve">三、 </w:t>
          </w:r>
          <w:r>
            <w:rPr>
              <w:rFonts w:hint="eastAsia" w:ascii="Times New Roman" w:hAnsi="Times New Roman" w:eastAsia="宋体" w:cs="Times New Roman"/>
              <w:color w:val="auto"/>
              <w:kern w:val="2"/>
              <w:sz w:val="24"/>
              <w:szCs w:val="24"/>
              <w:highlight w:val="none"/>
              <w:lang w:val="en-US" w:eastAsia="zh-CN" w:bidi="ar-SA"/>
            </w:rPr>
            <w:t>支出决算情况说明</w:t>
          </w:r>
          <w:r>
            <w:rPr>
              <w:rFonts w:hint="default" w:ascii="Times New Roman" w:hAnsi="Times New Roman" w:eastAsia="宋体" w:cs="Times New Roman"/>
              <w:color w:val="auto"/>
              <w:kern w:val="2"/>
              <w:sz w:val="24"/>
              <w:szCs w:val="24"/>
              <w:highlight w:val="none"/>
              <w:lang w:val="en-US" w:eastAsia="zh-CN" w:bidi="ar-SA"/>
            </w:rPr>
            <w:tab/>
          </w: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PAGEREF _Toc11095 \h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04762BB5">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_Toc4311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四、财政拨款收入支出决算总体情况说明</w:t>
          </w:r>
          <w:r>
            <w:rPr>
              <w:rFonts w:hint="default" w:ascii="Times New Roman" w:hAnsi="Times New Roman" w:eastAsia="宋体" w:cs="Times New Roman"/>
              <w:color w:val="auto"/>
              <w:kern w:val="2"/>
              <w:sz w:val="24"/>
              <w:szCs w:val="24"/>
              <w:highlight w:val="none"/>
              <w:lang w:val="en-US" w:eastAsia="zh-CN" w:bidi="ar-SA"/>
            </w:rPr>
            <w:tab/>
          </w: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PAGEREF _Toc4311 \h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24488985">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_Toc28432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五、一般公共预算财政拨款支出决算情况说明</w:t>
          </w:r>
          <w:r>
            <w:rPr>
              <w:rFonts w:hint="default" w:ascii="Times New Roman" w:hAnsi="Times New Roman" w:eastAsia="宋体" w:cs="Times New Roman"/>
              <w:color w:val="auto"/>
              <w:kern w:val="2"/>
              <w:sz w:val="24"/>
              <w:szCs w:val="24"/>
              <w:highlight w:val="none"/>
              <w:lang w:val="en-US" w:eastAsia="zh-CN" w:bidi="ar-SA"/>
            </w:rPr>
            <w:tab/>
          </w: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PAGEREF _Toc28432 \h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t>5</w:t>
          </w:r>
          <w:r>
            <w:rPr>
              <w:rFonts w:hint="default"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3A1F8457">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_Toc27045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六、一般公共预算财政拨款基本支出决算情况说明</w:t>
          </w:r>
          <w:r>
            <w:rPr>
              <w:rFonts w:hint="default" w:ascii="Times New Roman" w:hAnsi="Times New Roman" w:eastAsia="宋体" w:cs="Times New Roman"/>
              <w:color w:val="auto"/>
              <w:kern w:val="2"/>
              <w:sz w:val="24"/>
              <w:szCs w:val="24"/>
              <w:highlight w:val="none"/>
              <w:lang w:val="en-US" w:eastAsia="zh-CN" w:bidi="ar-SA"/>
            </w:rPr>
            <w:tab/>
          </w: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PAGEREF _Toc27045 \h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t>7</w:t>
          </w:r>
          <w:r>
            <w:rPr>
              <w:rFonts w:hint="default"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6B0F9B8E">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_Toc15106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七、财政拨款“三公”经费支出决算情况说明</w:t>
          </w:r>
          <w:r>
            <w:rPr>
              <w:rFonts w:hint="default" w:ascii="Times New Roman" w:hAnsi="Times New Roman" w:eastAsia="宋体" w:cs="Times New Roman"/>
              <w:color w:val="auto"/>
              <w:kern w:val="2"/>
              <w:sz w:val="24"/>
              <w:szCs w:val="24"/>
              <w:highlight w:val="none"/>
              <w:lang w:val="en-US" w:eastAsia="zh-CN" w:bidi="ar-SA"/>
            </w:rPr>
            <w:tab/>
          </w:r>
          <w:r>
            <w:rPr>
              <w:rFonts w:hint="eastAsia" w:cs="Times New Roman"/>
              <w:color w:val="auto"/>
              <w:kern w:val="2"/>
              <w:sz w:val="24"/>
              <w:szCs w:val="24"/>
              <w:highlight w:val="none"/>
              <w:lang w:val="en-US" w:eastAsia="zh-CN" w:bidi="ar-SA"/>
            </w:rPr>
            <w:t>7</w:t>
          </w:r>
          <w:r>
            <w:rPr>
              <w:rFonts w:hint="default" w:ascii="Times New Roman" w:hAnsi="Times New Roman" w:eastAsia="宋体" w:cs="Times New Roman"/>
              <w:color w:val="auto"/>
              <w:kern w:val="2"/>
              <w:sz w:val="24"/>
              <w:szCs w:val="24"/>
              <w:highlight w:val="none"/>
              <w:lang w:val="en-US" w:eastAsia="zh-CN" w:bidi="ar-SA"/>
            </w:rPr>
            <w:fldChar w:fldCharType="end"/>
          </w:r>
        </w:p>
        <w:p w14:paraId="72175DD4">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_Toc12542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八、政府性基金预算支出决算情况说明</w:t>
          </w:r>
          <w:r>
            <w:rPr>
              <w:rFonts w:hint="default" w:ascii="Times New Roman" w:hAnsi="Times New Roman" w:eastAsia="宋体" w:cs="Times New Roman"/>
              <w:color w:val="auto"/>
              <w:kern w:val="2"/>
              <w:sz w:val="24"/>
              <w:szCs w:val="24"/>
              <w:highlight w:val="none"/>
              <w:lang w:val="en-US" w:eastAsia="zh-CN" w:bidi="ar-SA"/>
            </w:rPr>
            <w:tab/>
          </w:r>
          <w:r>
            <w:rPr>
              <w:rFonts w:hint="eastAsia" w:cs="Times New Roman"/>
              <w:color w:val="auto"/>
              <w:kern w:val="2"/>
              <w:sz w:val="24"/>
              <w:szCs w:val="24"/>
              <w:highlight w:val="none"/>
              <w:lang w:val="en-US" w:eastAsia="zh-CN" w:bidi="ar-SA"/>
            </w:rPr>
            <w:t>8</w:t>
          </w:r>
          <w:r>
            <w:rPr>
              <w:rFonts w:hint="default" w:ascii="Times New Roman" w:hAnsi="Times New Roman" w:eastAsia="宋体" w:cs="Times New Roman"/>
              <w:color w:val="auto"/>
              <w:kern w:val="2"/>
              <w:sz w:val="24"/>
              <w:szCs w:val="24"/>
              <w:highlight w:val="none"/>
              <w:lang w:val="en-US" w:eastAsia="zh-CN" w:bidi="ar-SA"/>
            </w:rPr>
            <w:fldChar w:fldCharType="end"/>
          </w:r>
        </w:p>
        <w:p w14:paraId="229A2D69">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_Toc4034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九、 国有资本经营预算支出决算情况说明</w:t>
          </w:r>
          <w:r>
            <w:rPr>
              <w:rFonts w:hint="default" w:ascii="Times New Roman" w:hAnsi="Times New Roman" w:eastAsia="宋体" w:cs="Times New Roman"/>
              <w:color w:val="auto"/>
              <w:kern w:val="2"/>
              <w:sz w:val="24"/>
              <w:szCs w:val="24"/>
              <w:highlight w:val="none"/>
              <w:lang w:val="en-US" w:eastAsia="zh-CN" w:bidi="ar-SA"/>
            </w:rPr>
            <w:tab/>
          </w:r>
          <w:r>
            <w:rPr>
              <w:rFonts w:hint="eastAsia" w:cs="Times New Roman"/>
              <w:color w:val="auto"/>
              <w:kern w:val="2"/>
              <w:sz w:val="24"/>
              <w:szCs w:val="24"/>
              <w:highlight w:val="none"/>
              <w:lang w:val="en-US" w:eastAsia="zh-CN" w:bidi="ar-SA"/>
            </w:rPr>
            <w:t>8</w:t>
          </w:r>
          <w:r>
            <w:rPr>
              <w:rFonts w:hint="default" w:ascii="Times New Roman" w:hAnsi="Times New Roman" w:eastAsia="宋体" w:cs="Times New Roman"/>
              <w:color w:val="auto"/>
              <w:kern w:val="2"/>
              <w:sz w:val="24"/>
              <w:szCs w:val="24"/>
              <w:highlight w:val="none"/>
              <w:lang w:val="en-US" w:eastAsia="zh-CN" w:bidi="ar-SA"/>
            </w:rPr>
            <w:fldChar w:fldCharType="end"/>
          </w:r>
        </w:p>
        <w:p w14:paraId="2ED8EA28">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_Toc29825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十、 其他重要事项的情况说明</w:t>
          </w:r>
          <w:r>
            <w:rPr>
              <w:rFonts w:hint="default" w:ascii="Times New Roman" w:hAnsi="Times New Roman" w:eastAsia="宋体" w:cs="Times New Roman"/>
              <w:color w:val="auto"/>
              <w:kern w:val="2"/>
              <w:sz w:val="24"/>
              <w:szCs w:val="24"/>
              <w:highlight w:val="none"/>
              <w:lang w:val="en-US" w:eastAsia="zh-CN" w:bidi="ar-SA"/>
            </w:rPr>
            <w:tab/>
          </w:r>
          <w:r>
            <w:rPr>
              <w:rFonts w:hint="eastAsia" w:cs="Times New Roman"/>
              <w:color w:val="auto"/>
              <w:kern w:val="2"/>
              <w:sz w:val="24"/>
              <w:szCs w:val="24"/>
              <w:highlight w:val="none"/>
              <w:lang w:val="en-US" w:eastAsia="zh-CN" w:bidi="ar-SA"/>
            </w:rPr>
            <w:t>8</w:t>
          </w:r>
          <w:r>
            <w:rPr>
              <w:rFonts w:hint="default" w:ascii="Times New Roman" w:hAnsi="Times New Roman" w:eastAsia="宋体" w:cs="Times New Roman"/>
              <w:color w:val="auto"/>
              <w:kern w:val="2"/>
              <w:sz w:val="24"/>
              <w:szCs w:val="24"/>
              <w:highlight w:val="none"/>
              <w:lang w:val="en-US" w:eastAsia="zh-CN" w:bidi="ar-SA"/>
            </w:rPr>
            <w:fldChar w:fldCharType="end"/>
          </w:r>
        </w:p>
        <w:p w14:paraId="6C08B693">
          <w:pPr>
            <w:pStyle w:val="34"/>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_Toc14737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第三部分 名词解释</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_Toc14737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10</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0F73BF41">
          <w:pPr>
            <w:pStyle w:val="34"/>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_Toc5973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第四部分 附件</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_Toc5973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13</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046DDF34">
          <w:pPr>
            <w:pStyle w:val="34"/>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bookmarkStart w:id="111" w:name="_GoBack"/>
          <w:bookmarkEnd w:id="111"/>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_Toc1187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第五部分 附表</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_Toc1187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34D497CA">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_Toc13556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一、收入支出决算总表</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_Toc13556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7C1DD12C">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_Toc14728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二、收入决算表</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_Toc14728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5E02A04B">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_Toc3498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三、支出决算表</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_Toc3498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464D939E">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_Toc17497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四、财政拨款收入支出决算总表</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_Toc17497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298CBAA2">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_Toc15613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五、财政拨款支出决算明细表</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_Toc15613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54FE53DC">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_Toc6954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六、一般公共预算财政拨款支出决算表</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_Toc6954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2D806E83">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_Toc3524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七、一般公共预算财政拨款支出决算明细表</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_Toc3524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39311BCA">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_Toc7748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八、一般公共预算财政拨款基本支出决算表</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_Toc7748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4F4ED204">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_Toc17606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九、一般公共预算财政拨款项目支出决算表</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_Toc17606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08348C3B">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_Toc22125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十、政府性基金预算财政拨款收入支出决算表</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_Toc22125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4497B193">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_Toc10852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十一、国有资本经营预算财政拨款收入支出决算表</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_Toc10852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5BB7B000">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_Toc2662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十二、国有资本经营预算财政拨款支出决算表</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_Toc2662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6944CB86">
          <w:pPr>
            <w:pStyle w:val="35"/>
            <w:keepNext w:val="0"/>
            <w:keepLines w:val="0"/>
            <w:pageBreakBefore w:val="0"/>
            <w:tabs>
              <w:tab w:val="right" w:leader="dot" w:pos="8306"/>
            </w:tabs>
            <w:kinsoku/>
            <w:wordWrap/>
            <w:overflowPunct/>
            <w:topLinePunct w:val="0"/>
            <w:autoSpaceDE/>
            <w:autoSpaceDN/>
            <w:bidi w:val="0"/>
            <w:spacing w:line="44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_Toc12959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十三、财政拨款“三公”经费支出决算表</w:t>
          </w:r>
          <w:r>
            <w:rPr>
              <w:rFonts w:hint="eastAsia"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PAGEREF _Toc12959 \h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68C4A6C1">
          <w:pPr>
            <w:pStyle w:val="2"/>
            <w:keepNext w:val="0"/>
            <w:keepLines w:val="0"/>
            <w:pageBreakBefore w:val="0"/>
            <w:kinsoku/>
            <w:wordWrap/>
            <w:overflowPunct/>
            <w:topLinePunct w:val="0"/>
            <w:autoSpaceDE/>
            <w:autoSpaceDN/>
            <w:bidi w:val="0"/>
            <w:spacing w:line="440" w:lineRule="exact"/>
            <w:textAlignment w:val="auto"/>
            <w:rPr>
              <w:rFonts w:hint="default" w:ascii="Times New Roman" w:hAnsi="Times New Roman" w:eastAsia="宋体" w:cs="Times New Roman"/>
              <w:color w:val="auto"/>
              <w:kern w:val="2"/>
              <w:sz w:val="24"/>
              <w:szCs w:val="24"/>
              <w:highlight w:val="none"/>
              <w:lang w:val="en-US" w:eastAsia="zh-CN" w:bidi="ar-SA"/>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r>
            <w:rPr>
              <w:rFonts w:hint="default" w:ascii="Times New Roman" w:hAnsi="Times New Roman" w:eastAsia="宋体" w:cs="Times New Roman"/>
              <w:color w:val="auto"/>
              <w:kern w:val="2"/>
              <w:sz w:val="24"/>
              <w:szCs w:val="24"/>
              <w:highlight w:val="none"/>
              <w:lang w:val="en-US" w:eastAsia="zh-CN" w:bidi="ar-SA"/>
            </w:rPr>
            <w:fldChar w:fldCharType="end"/>
          </w:r>
        </w:p>
      </w:sdtContent>
    </w:sdt>
    <w:p w14:paraId="2B28AE96">
      <w:pPr>
        <w:pStyle w:val="3"/>
        <w:jc w:val="center"/>
        <w:rPr>
          <w:rFonts w:ascii="黑体" w:eastAsia="黑体"/>
          <w:color w:val="auto"/>
          <w:sz w:val="32"/>
          <w:szCs w:val="32"/>
          <w:highlight w:val="none"/>
        </w:rPr>
      </w:pPr>
      <w:bookmarkStart w:id="12" w:name="_Toc15377196"/>
      <w:bookmarkStart w:id="13" w:name="_Toc15396599"/>
      <w:bookmarkStart w:id="14" w:name="_Toc1796"/>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12"/>
      <w:bookmarkEnd w:id="13"/>
      <w:bookmarkEnd w:id="14"/>
    </w:p>
    <w:p w14:paraId="52145F06">
      <w:pPr>
        <w:pStyle w:val="4"/>
        <w:numPr>
          <w:ilvl w:val="0"/>
          <w:numId w:val="0"/>
        </w:numPr>
        <w:ind w:firstLine="640" w:firstLineChars="200"/>
        <w:rPr>
          <w:rStyle w:val="27"/>
          <w:rFonts w:hint="eastAsia" w:ascii="黑体" w:hAnsi="黑体" w:eastAsia="黑体"/>
          <w:b w:val="0"/>
          <w:bCs w:val="0"/>
          <w:color w:val="auto"/>
          <w:highlight w:val="none"/>
          <w:lang w:eastAsia="zh-CN"/>
        </w:rPr>
      </w:pPr>
      <w:bookmarkStart w:id="15" w:name="_Toc14446"/>
      <w:bookmarkStart w:id="16" w:name="_Toc15396600"/>
      <w:bookmarkStart w:id="17" w:name="_Toc15377197"/>
      <w:r>
        <w:rPr>
          <w:rStyle w:val="27"/>
          <w:rFonts w:hint="eastAsia" w:ascii="黑体" w:hAnsi="黑体" w:eastAsia="黑体"/>
          <w:b w:val="0"/>
          <w:bCs w:val="0"/>
          <w:color w:val="auto"/>
          <w:highlight w:val="none"/>
          <w:lang w:val="en-US" w:eastAsia="zh-CN"/>
        </w:rPr>
        <w:t>一、</w:t>
      </w:r>
      <w:r>
        <w:rPr>
          <w:rStyle w:val="27"/>
          <w:rFonts w:hint="eastAsia" w:ascii="黑体" w:hAnsi="黑体" w:eastAsia="黑体"/>
          <w:b w:val="0"/>
          <w:bCs w:val="0"/>
          <w:color w:val="auto"/>
          <w:highlight w:val="none"/>
          <w:lang w:eastAsia="zh-CN"/>
        </w:rPr>
        <w:t>主要职责</w:t>
      </w:r>
      <w:bookmarkEnd w:id="15"/>
    </w:p>
    <w:p w14:paraId="35195392">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贯彻执行党和国家有关幼儿教育的方针、政策以及教育法规、规章，坚持正确的办园方向。</w:t>
      </w:r>
    </w:p>
    <w:p w14:paraId="29C041AA">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执行上级的指示和决议；贯彻执行《幼儿教育纲要》和《幼儿园工作规程》，深化改革，强化管理，使各项工作程序化，规范化，制度化，不断提高保教水平。</w:t>
      </w:r>
    </w:p>
    <w:p w14:paraId="641C47C8">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严格执行上级部门关于教育经费、教育拨款、教育基建的办法和方案；贯彻执行上级部门有关学生资助工作方针和政策，落实本园贫困家庭幼儿的资助工作。</w:t>
      </w:r>
    </w:p>
    <w:p w14:paraId="0131A90A">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实行保育和教育相结合的原则，对幼儿实施体、智、德、美等方面全面发展的教育，促进其身心和谐发展。为家长解除后顾之忧，热忱为家长服务。</w:t>
      </w:r>
    </w:p>
    <w:p w14:paraId="03492888">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5.严格执行幼儿园教师资格证书制度；统筹规划幼儿园教师和管理人员队伍建设；负责幼儿园全体教师的继续教育和培训工作，加强幼儿园人才队伍建设。</w:t>
      </w:r>
    </w:p>
    <w:p w14:paraId="45AF15D3">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6.严格执行幼儿园安全、卫生保健制度，保证幼儿身心健康和生命安全。充分利用幼儿和社区的资源优势，面向家长开展多种形式的早期教育宣传、指导等服务，促进家庭教育质量的不断提高。</w:t>
      </w:r>
    </w:p>
    <w:p w14:paraId="45CE726C">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7.以《幼儿园教育指导纲要》、《幼儿园工作规程》、《3-6岁儿童学习与发展指南》为依据，结合幼儿的年龄特点、发展经验和需要制定适合幼儿身心健康发展的教育活动。</w:t>
      </w:r>
    </w:p>
    <w:p w14:paraId="3443465B">
      <w:pPr>
        <w:pageBreakBefore w:val="0"/>
        <w:widowControl w:val="0"/>
        <w:kinsoku/>
        <w:wordWrap/>
        <w:overflowPunct/>
        <w:topLinePunct w:val="0"/>
        <w:autoSpaceDE/>
        <w:autoSpaceDN/>
        <w:bidi w:val="0"/>
        <w:snapToGrid w:val="0"/>
        <w:spacing w:line="540" w:lineRule="exact"/>
        <w:jc w:val="both"/>
        <w:textAlignment w:val="auto"/>
        <w:rPr>
          <w:rFonts w:hint="eastAsia" w:ascii="仿宋" w:hAnsi="仿宋" w:eastAsia="仿宋"/>
          <w:sz w:val="32"/>
          <w:szCs w:val="32"/>
        </w:rPr>
      </w:pPr>
      <w:r>
        <w:rPr>
          <w:rFonts w:hint="eastAsia" w:ascii="仿宋" w:hAnsi="仿宋" w:eastAsia="仿宋"/>
          <w:sz w:val="32"/>
          <w:szCs w:val="32"/>
        </w:rPr>
        <w:t>8.尊重幼儿的人格尊严和基本权利，尊重幼儿身心发展的特点和规律，为幼儿提供健康、丰富的生活和活动环境。合理组织幼儿一日生活活动和其它活动，促进幼儿体智德美等和谐发展，全面实施素质教育。</w:t>
      </w:r>
    </w:p>
    <w:p w14:paraId="7A7AEF48">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sz w:val="32"/>
          <w:szCs w:val="32"/>
          <w:lang w:eastAsia="zh-CN"/>
        </w:rPr>
      </w:pPr>
      <w:r>
        <w:rPr>
          <w:rFonts w:hint="eastAsia" w:ascii="仿宋" w:hAnsi="仿宋" w:eastAsia="仿宋"/>
          <w:sz w:val="32"/>
          <w:szCs w:val="32"/>
        </w:rPr>
        <w:t>9.贯彻幼儿教育法规、传播科学教育理念、开展教育科学研究、培训师资，推动三堆片区学前教育的良性发展。</w:t>
      </w:r>
    </w:p>
    <w:p w14:paraId="6EC2F6D7">
      <w:pPr>
        <w:pStyle w:val="4"/>
        <w:numPr>
          <w:ilvl w:val="0"/>
          <w:numId w:val="0"/>
        </w:numPr>
        <w:ind w:firstLine="640" w:firstLineChars="200"/>
        <w:rPr>
          <w:rFonts w:hint="eastAsia" w:ascii="黑体" w:hAnsi="黑体" w:eastAsia="黑体"/>
          <w:b w:val="0"/>
          <w:color w:val="auto"/>
          <w:highlight w:val="none"/>
          <w:lang w:val="en-US" w:eastAsia="zh-CN"/>
        </w:rPr>
      </w:pPr>
      <w:bookmarkStart w:id="18" w:name="_Toc20576"/>
      <w:r>
        <w:rPr>
          <w:rFonts w:hint="eastAsia" w:ascii="黑体" w:hAnsi="黑体" w:eastAsia="黑体"/>
          <w:b w:val="0"/>
          <w:color w:val="auto"/>
          <w:highlight w:val="none"/>
          <w:lang w:val="en-US" w:eastAsia="zh-CN"/>
        </w:rPr>
        <w:t>二、机构设置</w:t>
      </w:r>
      <w:bookmarkEnd w:id="18"/>
    </w:p>
    <w:p w14:paraId="3B4F5C99">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lang w:eastAsia="zh-CN"/>
        </w:rPr>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pPr>
      <w:r>
        <w:rPr>
          <w:rFonts w:hint="eastAsia" w:ascii="仿宋" w:hAnsi="仿宋" w:eastAsia="仿宋"/>
          <w:sz w:val="32"/>
          <w:szCs w:val="32"/>
        </w:rPr>
        <w:t>我单位为广元市利州区教育局所属二级预算单位，内设部门4个（办公室、财务室、园务室、</w:t>
      </w:r>
      <w:r>
        <w:rPr>
          <w:rFonts w:hint="eastAsia" w:ascii="仿宋" w:hAnsi="仿宋" w:eastAsia="仿宋"/>
          <w:sz w:val="32"/>
          <w:szCs w:val="32"/>
          <w:lang w:val="en-US" w:eastAsia="zh-CN"/>
        </w:rPr>
        <w:t>安办室</w:t>
      </w:r>
      <w:r>
        <w:rPr>
          <w:rFonts w:hint="eastAsia" w:ascii="仿宋" w:hAnsi="仿宋" w:eastAsia="仿宋"/>
          <w:sz w:val="32"/>
          <w:szCs w:val="32"/>
        </w:rPr>
        <w:t>）</w:t>
      </w:r>
      <w:r>
        <w:rPr>
          <w:rFonts w:hint="eastAsia" w:ascii="仿宋" w:hAnsi="仿宋" w:eastAsia="仿宋"/>
          <w:sz w:val="32"/>
          <w:szCs w:val="32"/>
          <w:lang w:eastAsia="zh-CN"/>
        </w:rPr>
        <w:t>。</w:t>
      </w:r>
    </w:p>
    <w:bookmarkEnd w:id="16"/>
    <w:bookmarkEnd w:id="17"/>
    <w:p w14:paraId="2B77283C">
      <w:pPr>
        <w:pStyle w:val="3"/>
        <w:ind w:right="440"/>
        <w:jc w:val="center"/>
        <w:rPr>
          <w:rStyle w:val="26"/>
          <w:rFonts w:ascii="黑体" w:hAnsi="黑体" w:eastAsia="黑体"/>
          <w:b w:val="0"/>
          <w:bCs/>
          <w:color w:val="auto"/>
          <w:highlight w:val="none"/>
        </w:rPr>
      </w:pPr>
      <w:bookmarkStart w:id="19" w:name="_Toc15396602"/>
      <w:bookmarkStart w:id="20" w:name="_Toc8684"/>
      <w:bookmarkStart w:id="21"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19"/>
      <w:bookmarkEnd w:id="20"/>
      <w:bookmarkEnd w:id="21"/>
    </w:p>
    <w:p w14:paraId="2DFF9153">
      <w:pPr>
        <w:rPr>
          <w:color w:val="auto"/>
          <w:highlight w:val="none"/>
        </w:rPr>
      </w:pPr>
    </w:p>
    <w:p w14:paraId="007C1164">
      <w:pPr>
        <w:pStyle w:val="25"/>
        <w:numPr>
          <w:ilvl w:val="0"/>
          <w:numId w:val="1"/>
        </w:numPr>
        <w:spacing w:line="600" w:lineRule="exact"/>
        <w:ind w:firstLineChars="0"/>
        <w:outlineLvl w:val="1"/>
        <w:rPr>
          <w:rStyle w:val="27"/>
          <w:rFonts w:ascii="黑体" w:hAnsi="黑体" w:eastAsia="黑体"/>
          <w:b w:val="0"/>
          <w:color w:val="auto"/>
          <w:highlight w:val="none"/>
        </w:rPr>
      </w:pPr>
      <w:bookmarkStart w:id="22" w:name="_Toc18252"/>
      <w:bookmarkStart w:id="23" w:name="_Toc15377205"/>
      <w:bookmarkStart w:id="24" w:name="_Toc1539660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22"/>
      <w:bookmarkEnd w:id="23"/>
      <w:bookmarkEnd w:id="24"/>
    </w:p>
    <w:p w14:paraId="325490D5">
      <w:pPr>
        <w:spacing w:line="600" w:lineRule="exact"/>
        <w:ind w:firstLine="640" w:firstLineChars="200"/>
        <w:rPr>
          <w:rFonts w:hint="default"/>
          <w:sz w:val="32"/>
          <w:szCs w:val="32"/>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245.15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290.11万元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，收、支总计各</w:t>
      </w:r>
      <w:r>
        <w:rPr>
          <w:rFonts w:hint="eastAsia" w:ascii="仿宋" w:hAnsi="仿宋" w:eastAsia="仿宋"/>
          <w:color w:val="auto"/>
          <w:sz w:val="32"/>
          <w:szCs w:val="32"/>
          <w:highlight w:val="none"/>
          <w:lang w:val="en-US" w:eastAsia="zh-CN"/>
        </w:rPr>
        <w:t>减少44.96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下降15.50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幼儿人数减少，保教费收入减少。</w:t>
      </w:r>
    </w:p>
    <w:p w14:paraId="7ECFA6DB">
      <w:pPr>
        <w:pStyle w:val="2"/>
        <w:rPr>
          <w:rFonts w:ascii="仿宋_GB2312" w:eastAsia="仿宋_GB2312"/>
          <w:color w:val="auto"/>
          <w:sz w:val="32"/>
          <w:szCs w:val="32"/>
          <w:highlight w:val="none"/>
        </w:rPr>
      </w:pPr>
      <w:r>
        <w:rPr>
          <w:rFonts w:ascii="仿宋_GB2312" w:eastAsia="仿宋_GB2312"/>
          <w:sz w:val="32"/>
          <w:szCs w:val="32"/>
        </w:rPr>
        <w:drawing>
          <wp:anchor distT="0" distB="0" distL="114300" distR="114300" simplePos="0" relativeHeight="251660288" behindDoc="1" locked="0" layoutInCell="1" allowOverlap="1">
            <wp:simplePos x="0" y="0"/>
            <wp:positionH relativeFrom="column">
              <wp:posOffset>183515</wp:posOffset>
            </wp:positionH>
            <wp:positionV relativeFrom="paragraph">
              <wp:posOffset>273685</wp:posOffset>
            </wp:positionV>
            <wp:extent cx="5118100" cy="2514600"/>
            <wp:effectExtent l="4445" t="4445" r="8255" b="8255"/>
            <wp:wrapTight wrapText="bothSides">
              <wp:wrapPolygon>
                <wp:start x="-19" y="-38"/>
                <wp:lineTo x="-19" y="21562"/>
                <wp:lineTo x="21581" y="21562"/>
                <wp:lineTo x="21581" y="-38"/>
                <wp:lineTo x="-19" y="-38"/>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sz w:val="32"/>
          <w:szCs w:val="32"/>
          <w:lang w:val="en-US" w:eastAsia="zh-CN"/>
        </w:rPr>
        <w:t xml:space="preserve">    </w:t>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14:paraId="5E96E080">
      <w:pPr>
        <w:pStyle w:val="25"/>
        <w:numPr>
          <w:ilvl w:val="0"/>
          <w:numId w:val="1"/>
        </w:numPr>
        <w:spacing w:line="600" w:lineRule="exact"/>
        <w:ind w:firstLineChars="0"/>
        <w:outlineLvl w:val="1"/>
        <w:rPr>
          <w:rStyle w:val="27"/>
          <w:rFonts w:ascii="黑体" w:hAnsi="黑体" w:eastAsia="黑体"/>
          <w:b w:val="0"/>
          <w:color w:val="auto"/>
          <w:highlight w:val="none"/>
        </w:rPr>
      </w:pPr>
      <w:bookmarkStart w:id="25" w:name="_Toc5774"/>
      <w:bookmarkStart w:id="26" w:name="_Toc15377206"/>
      <w:bookmarkStart w:id="27" w:name="_Toc15396604"/>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5"/>
      <w:bookmarkEnd w:id="26"/>
      <w:bookmarkEnd w:id="27"/>
    </w:p>
    <w:p w14:paraId="636BCAAC">
      <w:pPr>
        <w:spacing w:line="600" w:lineRule="exact"/>
        <w:ind w:firstLine="640" w:firstLineChars="200"/>
        <w:outlineLvl w:val="1"/>
        <w:rPr>
          <w:rFonts w:hint="eastAsia" w:ascii="仿宋" w:hAnsi="仿宋" w:eastAsia="仿宋"/>
          <w:color w:val="auto"/>
          <w:sz w:val="32"/>
          <w:szCs w:val="32"/>
          <w:highlight w:val="none"/>
        </w:rPr>
      </w:pPr>
      <w:bookmarkStart w:id="28" w:name="_Toc595"/>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245.15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234.54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95.67</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10.61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4.33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28"/>
    </w:p>
    <w:p w14:paraId="675EF389">
      <w:pPr>
        <w:pStyle w:val="2"/>
        <w:rPr>
          <w:rFonts w:hint="eastAsia" w:ascii="仿宋" w:hAnsi="仿宋" w:eastAsia="仿宋"/>
          <w:color w:val="auto"/>
          <w:sz w:val="32"/>
          <w:szCs w:val="32"/>
          <w:highlight w:val="none"/>
        </w:rPr>
      </w:pPr>
    </w:p>
    <w:p w14:paraId="1A69101E">
      <w:pPr>
        <w:pStyle w:val="2"/>
        <w:rPr>
          <w:rFonts w:hint="eastAsia" w:ascii="仿宋" w:hAnsi="仿宋" w:eastAsia="仿宋"/>
          <w:color w:val="auto"/>
          <w:sz w:val="32"/>
          <w:szCs w:val="32"/>
          <w:highlight w:val="none"/>
        </w:rPr>
      </w:pPr>
    </w:p>
    <w:p w14:paraId="1705AC1E">
      <w:pPr>
        <w:pStyle w:val="2"/>
        <w:rPr>
          <w:rFonts w:hint="eastAsia" w:ascii="仿宋" w:hAnsi="仿宋" w:eastAsia="仿宋"/>
          <w:color w:val="auto"/>
          <w:sz w:val="32"/>
          <w:szCs w:val="32"/>
          <w:highlight w:val="none"/>
          <w:lang w:val="en-US" w:eastAsia="zh-CN"/>
        </w:rPr>
      </w:pPr>
    </w:p>
    <w:p w14:paraId="4A4A6A19">
      <w:pPr>
        <w:pStyle w:val="2"/>
        <w:rPr>
          <w:rFonts w:hint="eastAsia" w:ascii="仿宋" w:hAnsi="仿宋" w:eastAsia="仿宋"/>
          <w:b/>
          <w:color w:val="auto"/>
          <w:sz w:val="32"/>
          <w:szCs w:val="32"/>
          <w:highlight w:val="none"/>
          <w:lang w:val="en-US" w:eastAsia="zh-CN"/>
        </w:rPr>
      </w:pPr>
      <w:r>
        <w:rPr>
          <w:rFonts w:ascii="仿宋_GB2312" w:eastAsia="仿宋_GB2312"/>
          <w:sz w:val="32"/>
          <w:szCs w:val="32"/>
        </w:rPr>
        <w:drawing>
          <wp:anchor distT="0" distB="0" distL="114300" distR="114300" simplePos="0" relativeHeight="251666432" behindDoc="1" locked="0" layoutInCell="1" allowOverlap="1">
            <wp:simplePos x="0" y="0"/>
            <wp:positionH relativeFrom="column">
              <wp:posOffset>428625</wp:posOffset>
            </wp:positionH>
            <wp:positionV relativeFrom="paragraph">
              <wp:posOffset>148590</wp:posOffset>
            </wp:positionV>
            <wp:extent cx="4592955" cy="2412365"/>
            <wp:effectExtent l="4445" t="5080" r="12700" b="825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sz w:val="32"/>
        </w:rPr>
        <mc:AlternateContent>
          <mc:Choice Requires="wps">
            <w:drawing>
              <wp:anchor distT="0" distB="0" distL="114300" distR="114300" simplePos="0" relativeHeight="251661312" behindDoc="0" locked="0" layoutInCell="1" allowOverlap="1">
                <wp:simplePos x="0" y="0"/>
                <wp:positionH relativeFrom="column">
                  <wp:posOffset>1534160</wp:posOffset>
                </wp:positionH>
                <wp:positionV relativeFrom="paragraph">
                  <wp:posOffset>260985</wp:posOffset>
                </wp:positionV>
                <wp:extent cx="619760" cy="599440"/>
                <wp:effectExtent l="0" t="0" r="0" b="0"/>
                <wp:wrapNone/>
                <wp:docPr id="6" name="文本框 6"/>
                <wp:cNvGraphicFramePr/>
                <a:graphic xmlns:a="http://schemas.openxmlformats.org/drawingml/2006/main">
                  <a:graphicData uri="http://schemas.microsoft.com/office/word/2010/wordprocessingShape">
                    <wps:wsp>
                      <wps:cNvSpPr txBox="1"/>
                      <wps:spPr>
                        <a:xfrm>
                          <a:off x="2820670" y="2071370"/>
                          <a:ext cx="619760" cy="599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EC76E">
                            <w:pPr>
                              <w:keepNext w:val="0"/>
                              <w:keepLines w:val="0"/>
                              <w:pageBreakBefore w:val="0"/>
                              <w:widowControl w:val="0"/>
                              <w:kinsoku/>
                              <w:wordWrap/>
                              <w:overflowPunct/>
                              <w:topLinePunct w:val="0"/>
                              <w:autoSpaceDE/>
                              <w:autoSpaceDN/>
                              <w:bidi w:val="0"/>
                              <w:adjustRightInd/>
                              <w:snapToGrid/>
                              <w:textAlignment w:val="auto"/>
                              <w:rPr>
                                <w:rFonts w:hint="eastAsia"/>
                                <w:sz w:val="15"/>
                                <w:szCs w:val="18"/>
                                <w:lang w:val="en-US" w:eastAsia="zh-CN"/>
                              </w:rPr>
                            </w:pPr>
                            <w:r>
                              <w:rPr>
                                <w:rFonts w:hint="eastAsia"/>
                                <w:sz w:val="15"/>
                                <w:szCs w:val="18"/>
                                <w:lang w:val="en-US" w:eastAsia="zh-CN"/>
                              </w:rPr>
                              <w:t>其他收入</w:t>
                            </w:r>
                          </w:p>
                          <w:p w14:paraId="2F3AD8FC">
                            <w:pPr>
                              <w:pStyle w:val="2"/>
                              <w:keepNext w:val="0"/>
                              <w:keepLines w:val="0"/>
                              <w:pageBreakBefore w:val="0"/>
                              <w:widowControl w:val="0"/>
                              <w:kinsoku/>
                              <w:wordWrap/>
                              <w:overflowPunct/>
                              <w:topLinePunct w:val="0"/>
                              <w:autoSpaceDE/>
                              <w:autoSpaceDN/>
                              <w:bidi w:val="0"/>
                              <w:adjustRightInd/>
                              <w:snapToGrid/>
                              <w:spacing w:beforeLines="0"/>
                              <w:textAlignment w:val="auto"/>
                              <w:rPr>
                                <w:rFonts w:hint="eastAsia"/>
                                <w:sz w:val="18"/>
                                <w:szCs w:val="16"/>
                                <w:lang w:val="en-US" w:eastAsia="zh-CN"/>
                              </w:rPr>
                            </w:pPr>
                            <w:r>
                              <w:rPr>
                                <w:rFonts w:hint="eastAsia"/>
                                <w:sz w:val="18"/>
                                <w:szCs w:val="16"/>
                                <w:lang w:val="en-US" w:eastAsia="zh-CN"/>
                              </w:rPr>
                              <w:t>10.61,</w:t>
                            </w:r>
                          </w:p>
                          <w:p w14:paraId="70000514">
                            <w:pPr>
                              <w:pStyle w:val="2"/>
                              <w:keepNext w:val="0"/>
                              <w:keepLines w:val="0"/>
                              <w:pageBreakBefore w:val="0"/>
                              <w:widowControl w:val="0"/>
                              <w:kinsoku/>
                              <w:wordWrap/>
                              <w:overflowPunct/>
                              <w:topLinePunct w:val="0"/>
                              <w:autoSpaceDE/>
                              <w:autoSpaceDN/>
                              <w:bidi w:val="0"/>
                              <w:adjustRightInd/>
                              <w:snapToGrid/>
                              <w:spacing w:beforeLines="0"/>
                              <w:textAlignment w:val="auto"/>
                              <w:rPr>
                                <w:rFonts w:hint="default"/>
                                <w:sz w:val="21"/>
                                <w:szCs w:val="18"/>
                                <w:lang w:val="en-US" w:eastAsia="zh-CN"/>
                              </w:rPr>
                            </w:pPr>
                            <w:r>
                              <w:rPr>
                                <w:rFonts w:hint="eastAsia"/>
                                <w:sz w:val="18"/>
                                <w:szCs w:val="16"/>
                                <w:lang w:val="en-US" w:eastAsia="zh-CN"/>
                              </w:rPr>
                              <w:t>4.33%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8pt;margin-top:20.55pt;height:47.2pt;width:48.8pt;z-index:251661312;mso-width-relative:page;mso-height-relative:page;" filled="f" stroked="f" coordsize="21600,21600" o:gfxdata="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LQpfK2wAAAAoBAAAPAAAAAAAAAAEA&#10;IAAAACIAAABkcnMvZG93bnJldi54bWxQSwECFAAUAAAACACHTuJA0MYD5UUCAABxBAAADgAAAAAA&#10;AAABACAAAAAqAQAAZHJzL2Uyb0RvYy54bWxQSwUGAAAAAAYABgBZAQAA4QUAAAAA&#10;">
                <v:fill on="f" focussize="0,0"/>
                <v:stroke on="f" weight="0.5pt"/>
                <v:imagedata o:title=""/>
                <o:lock v:ext="edit" aspectratio="f"/>
                <v:textbox>
                  <w:txbxContent>
                    <w:p w14:paraId="2D9EC76E">
                      <w:pPr>
                        <w:keepNext w:val="0"/>
                        <w:keepLines w:val="0"/>
                        <w:pageBreakBefore w:val="0"/>
                        <w:widowControl w:val="0"/>
                        <w:kinsoku/>
                        <w:wordWrap/>
                        <w:overflowPunct/>
                        <w:topLinePunct w:val="0"/>
                        <w:autoSpaceDE/>
                        <w:autoSpaceDN/>
                        <w:bidi w:val="0"/>
                        <w:adjustRightInd/>
                        <w:snapToGrid/>
                        <w:textAlignment w:val="auto"/>
                        <w:rPr>
                          <w:rFonts w:hint="eastAsia"/>
                          <w:sz w:val="15"/>
                          <w:szCs w:val="18"/>
                          <w:lang w:val="en-US" w:eastAsia="zh-CN"/>
                        </w:rPr>
                      </w:pPr>
                      <w:r>
                        <w:rPr>
                          <w:rFonts w:hint="eastAsia"/>
                          <w:sz w:val="15"/>
                          <w:szCs w:val="18"/>
                          <w:lang w:val="en-US" w:eastAsia="zh-CN"/>
                        </w:rPr>
                        <w:t>其他收入</w:t>
                      </w:r>
                    </w:p>
                    <w:p w14:paraId="2F3AD8FC">
                      <w:pPr>
                        <w:pStyle w:val="2"/>
                        <w:keepNext w:val="0"/>
                        <w:keepLines w:val="0"/>
                        <w:pageBreakBefore w:val="0"/>
                        <w:widowControl w:val="0"/>
                        <w:kinsoku/>
                        <w:wordWrap/>
                        <w:overflowPunct/>
                        <w:topLinePunct w:val="0"/>
                        <w:autoSpaceDE/>
                        <w:autoSpaceDN/>
                        <w:bidi w:val="0"/>
                        <w:adjustRightInd/>
                        <w:snapToGrid/>
                        <w:spacing w:beforeLines="0"/>
                        <w:textAlignment w:val="auto"/>
                        <w:rPr>
                          <w:rFonts w:hint="eastAsia"/>
                          <w:sz w:val="18"/>
                          <w:szCs w:val="16"/>
                          <w:lang w:val="en-US" w:eastAsia="zh-CN"/>
                        </w:rPr>
                      </w:pPr>
                      <w:r>
                        <w:rPr>
                          <w:rFonts w:hint="eastAsia"/>
                          <w:sz w:val="18"/>
                          <w:szCs w:val="16"/>
                          <w:lang w:val="en-US" w:eastAsia="zh-CN"/>
                        </w:rPr>
                        <w:t>10.61,</w:t>
                      </w:r>
                    </w:p>
                    <w:p w14:paraId="70000514">
                      <w:pPr>
                        <w:pStyle w:val="2"/>
                        <w:keepNext w:val="0"/>
                        <w:keepLines w:val="0"/>
                        <w:pageBreakBefore w:val="0"/>
                        <w:widowControl w:val="0"/>
                        <w:kinsoku/>
                        <w:wordWrap/>
                        <w:overflowPunct/>
                        <w:topLinePunct w:val="0"/>
                        <w:autoSpaceDE/>
                        <w:autoSpaceDN/>
                        <w:bidi w:val="0"/>
                        <w:adjustRightInd/>
                        <w:snapToGrid/>
                        <w:spacing w:beforeLines="0"/>
                        <w:textAlignment w:val="auto"/>
                        <w:rPr>
                          <w:rFonts w:hint="default"/>
                          <w:sz w:val="21"/>
                          <w:szCs w:val="18"/>
                          <w:lang w:val="en-US" w:eastAsia="zh-CN"/>
                        </w:rPr>
                      </w:pPr>
                      <w:r>
                        <w:rPr>
                          <w:rFonts w:hint="eastAsia"/>
                          <w:sz w:val="18"/>
                          <w:szCs w:val="16"/>
                          <w:lang w:val="en-US" w:eastAsia="zh-CN"/>
                        </w:rPr>
                        <w:t>4.33%</w:t>
                      </w:r>
                    </w:p>
                  </w:txbxContent>
                </v:textbox>
              </v:shape>
            </w:pict>
          </mc:Fallback>
        </mc:AlternateContent>
      </w:r>
    </w:p>
    <w:p w14:paraId="6BC864CE">
      <w:pPr>
        <w:pStyle w:val="2"/>
        <w:rPr>
          <w:rFonts w:hint="eastAsia" w:ascii="仿宋" w:hAnsi="仿宋" w:eastAsia="仿宋"/>
          <w:b/>
          <w:color w:val="auto"/>
          <w:sz w:val="32"/>
          <w:szCs w:val="32"/>
          <w:highlight w:val="none"/>
          <w:lang w:val="en-US" w:eastAsia="zh-CN"/>
        </w:rPr>
      </w:pPr>
    </w:p>
    <w:p w14:paraId="334EE2C3">
      <w:pPr>
        <w:spacing w:line="600" w:lineRule="exact"/>
        <w:ind w:firstLine="640" w:firstLineChars="200"/>
        <w:rPr>
          <w:rFonts w:hint="eastAsia" w:ascii="仿宋" w:hAnsi="仿宋" w:eastAsia="仿宋"/>
          <w:color w:val="auto"/>
          <w:sz w:val="32"/>
          <w:szCs w:val="32"/>
          <w:highlight w:val="none"/>
        </w:rPr>
      </w:pPr>
    </w:p>
    <w:p w14:paraId="7C1080E4">
      <w:pPr>
        <w:spacing w:line="600" w:lineRule="exact"/>
        <w:ind w:firstLine="640" w:firstLineChars="200"/>
        <w:rPr>
          <w:rFonts w:hint="eastAsia" w:ascii="仿宋" w:hAnsi="仿宋" w:eastAsia="仿宋"/>
          <w:color w:val="auto"/>
          <w:sz w:val="32"/>
          <w:szCs w:val="32"/>
          <w:highlight w:val="none"/>
        </w:rPr>
      </w:pPr>
    </w:p>
    <w:p w14:paraId="3D036188">
      <w:pPr>
        <w:spacing w:line="600" w:lineRule="exact"/>
        <w:ind w:firstLine="640" w:firstLineChars="200"/>
        <w:rPr>
          <w:rFonts w:hint="eastAsia" w:ascii="仿宋" w:hAnsi="仿宋" w:eastAsia="仿宋"/>
          <w:color w:val="auto"/>
          <w:sz w:val="32"/>
          <w:szCs w:val="32"/>
          <w:highlight w:val="none"/>
        </w:rPr>
      </w:pPr>
    </w:p>
    <w:p w14:paraId="2400F2AE">
      <w:pPr>
        <w:spacing w:line="600" w:lineRule="exact"/>
        <w:rPr>
          <w:rFonts w:hint="eastAsia" w:ascii="仿宋" w:hAnsi="仿宋" w:eastAsia="仿宋"/>
          <w:color w:val="auto"/>
          <w:sz w:val="32"/>
          <w:szCs w:val="32"/>
          <w:highlight w:val="none"/>
        </w:rPr>
      </w:pPr>
    </w:p>
    <w:p w14:paraId="2835B66E">
      <w:pPr>
        <w:spacing w:line="600" w:lineRule="exact"/>
        <w:ind w:firstLine="960" w:firstLineChars="300"/>
        <w:rPr>
          <w:rFonts w:hint="eastAsia" w:ascii="仿宋" w:hAnsi="仿宋" w:eastAsia="仿宋"/>
          <w:color w:val="auto"/>
          <w:sz w:val="32"/>
          <w:szCs w:val="32"/>
          <w:highlight w:val="none"/>
        </w:rPr>
      </w:pPr>
    </w:p>
    <w:p w14:paraId="149D2929">
      <w:pPr>
        <w:spacing w:line="600" w:lineRule="exact"/>
        <w:ind w:firstLine="960" w:firstLineChars="3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w:t>
      </w:r>
    </w:p>
    <w:p w14:paraId="18152999">
      <w:pPr>
        <w:pStyle w:val="25"/>
        <w:numPr>
          <w:ilvl w:val="0"/>
          <w:numId w:val="1"/>
        </w:numPr>
        <w:spacing w:line="600" w:lineRule="exact"/>
        <w:ind w:firstLineChars="0"/>
        <w:outlineLvl w:val="1"/>
        <w:rPr>
          <w:rStyle w:val="27"/>
          <w:rFonts w:ascii="黑体" w:hAnsi="黑体" w:eastAsia="黑体"/>
          <w:b w:val="0"/>
          <w:color w:val="auto"/>
          <w:highlight w:val="none"/>
        </w:rPr>
      </w:pPr>
      <w:bookmarkStart w:id="29" w:name="_Toc15396605"/>
      <w:bookmarkStart w:id="30" w:name="_Toc11095"/>
      <w:bookmarkStart w:id="31" w:name="_Toc15377207"/>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9"/>
      <w:bookmarkEnd w:id="30"/>
      <w:bookmarkEnd w:id="31"/>
    </w:p>
    <w:p w14:paraId="684181F6">
      <w:pPr>
        <w:spacing w:line="600" w:lineRule="exact"/>
        <w:ind w:firstLine="640" w:firstLineChars="200"/>
        <w:outlineLvl w:val="1"/>
        <w:rPr>
          <w:rFonts w:hint="eastAsia" w:ascii="仿宋" w:hAnsi="仿宋" w:eastAsia="仿宋"/>
          <w:b/>
          <w:color w:val="auto"/>
          <w:sz w:val="32"/>
          <w:szCs w:val="32"/>
          <w:highlight w:val="none"/>
        </w:rPr>
      </w:pPr>
      <w:bookmarkStart w:id="32" w:name="_Toc16511"/>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245.15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185.78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75.78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59.37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24.22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2"/>
    </w:p>
    <w:p w14:paraId="6A468BDF">
      <w:pPr>
        <w:spacing w:line="600" w:lineRule="exact"/>
        <w:ind w:firstLine="640" w:firstLineChars="200"/>
        <w:outlineLvl w:val="9"/>
        <w:rPr>
          <w:rFonts w:ascii="仿宋" w:hAnsi="仿宋" w:eastAsia="仿宋"/>
          <w:color w:val="auto"/>
          <w:sz w:val="32"/>
          <w:szCs w:val="32"/>
          <w:highlight w:val="none"/>
          <w:shd w:val="pct10" w:color="auto" w:fill="FFFFFF"/>
        </w:rPr>
      </w:pPr>
      <w:r>
        <w:rPr>
          <w:rFonts w:ascii="仿宋_GB2312" w:eastAsia="仿宋_GB2312"/>
          <w:sz w:val="32"/>
          <w:szCs w:val="32"/>
        </w:rPr>
        <w:drawing>
          <wp:anchor distT="0" distB="0" distL="114300" distR="114300" simplePos="0" relativeHeight="251662336" behindDoc="1" locked="0" layoutInCell="1" allowOverlap="1">
            <wp:simplePos x="0" y="0"/>
            <wp:positionH relativeFrom="column">
              <wp:posOffset>408940</wp:posOffset>
            </wp:positionH>
            <wp:positionV relativeFrom="paragraph">
              <wp:posOffset>70485</wp:posOffset>
            </wp:positionV>
            <wp:extent cx="4569460" cy="2182495"/>
            <wp:effectExtent l="4445" t="4445" r="10795" b="10160"/>
            <wp:wrapTight wrapText="bothSides">
              <wp:wrapPolygon>
                <wp:start x="-21" y="-44"/>
                <wp:lineTo x="-21" y="21575"/>
                <wp:lineTo x="21591" y="21575"/>
                <wp:lineTo x="21591" y="-44"/>
                <wp:lineTo x="-21" y="-44"/>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2EA201D1">
      <w:pPr>
        <w:spacing w:line="600" w:lineRule="exact"/>
        <w:ind w:firstLine="640" w:firstLineChars="200"/>
        <w:rPr>
          <w:rFonts w:ascii="仿宋" w:hAnsi="仿宋" w:eastAsia="仿宋"/>
          <w:color w:val="auto"/>
          <w:sz w:val="36"/>
          <w:szCs w:val="36"/>
          <w:highlight w:val="none"/>
        </w:rPr>
      </w:pPr>
      <w:r>
        <w:rPr>
          <w:rFonts w:hint="eastAsia" w:ascii="仿宋" w:hAnsi="仿宋" w:eastAsia="仿宋"/>
          <w:color w:val="auto"/>
          <w:sz w:val="32"/>
          <w:szCs w:val="32"/>
          <w:highlight w:val="none"/>
        </w:rPr>
        <w:t>（图3：支出决算结构图）</w:t>
      </w:r>
    </w:p>
    <w:p w14:paraId="0D0C9402">
      <w:pPr>
        <w:spacing w:line="600" w:lineRule="exact"/>
        <w:ind w:firstLine="640" w:firstLineChars="200"/>
        <w:outlineLvl w:val="1"/>
        <w:rPr>
          <w:rStyle w:val="27"/>
          <w:rFonts w:ascii="黑体" w:hAnsi="黑体" w:eastAsia="黑体"/>
          <w:b w:val="0"/>
          <w:color w:val="auto"/>
          <w:highlight w:val="none"/>
        </w:rPr>
      </w:pPr>
      <w:bookmarkStart w:id="33" w:name="_Toc4311"/>
      <w:bookmarkStart w:id="34" w:name="_Toc15396606"/>
      <w:bookmarkStart w:id="35" w:name="_Toc15377208"/>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33"/>
      <w:bookmarkEnd w:id="34"/>
      <w:bookmarkEnd w:id="35"/>
    </w:p>
    <w:p w14:paraId="57092520">
      <w:pPr>
        <w:spacing w:line="600" w:lineRule="exact"/>
        <w:ind w:firstLine="640" w:firstLineChars="20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234.54</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228.87万元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，财政拨款收、支总计各增加</w:t>
      </w:r>
      <w:r>
        <w:rPr>
          <w:rFonts w:hint="eastAsia" w:ascii="仿宋" w:hAnsi="仿宋" w:eastAsia="仿宋"/>
          <w:color w:val="auto"/>
          <w:sz w:val="32"/>
          <w:szCs w:val="32"/>
          <w:highlight w:val="none"/>
          <w:lang w:val="en-US" w:eastAsia="zh-CN"/>
        </w:rPr>
        <w:t>5.67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人员增资财政补助增多。</w:t>
      </w:r>
    </w:p>
    <w:p w14:paraId="5E5514C1">
      <w:pPr>
        <w:spacing w:line="600" w:lineRule="exact"/>
        <w:ind w:firstLine="640"/>
        <w:rPr>
          <w:rFonts w:ascii="仿宋" w:hAnsi="仿宋" w:eastAsia="仿宋"/>
          <w:b/>
          <w:color w:val="auto"/>
          <w:sz w:val="32"/>
          <w:szCs w:val="32"/>
          <w:highlight w:val="none"/>
        </w:rPr>
      </w:pPr>
    </w:p>
    <w:p w14:paraId="599A3A78">
      <w:pPr>
        <w:pStyle w:val="2"/>
      </w:pPr>
      <w:r>
        <w:rPr>
          <w:sz w:val="32"/>
          <w:szCs w:val="32"/>
        </w:rPr>
        <w:drawing>
          <wp:anchor distT="0" distB="0" distL="114300" distR="114300" simplePos="0" relativeHeight="251663360" behindDoc="1" locked="0" layoutInCell="1" allowOverlap="1">
            <wp:simplePos x="0" y="0"/>
            <wp:positionH relativeFrom="column">
              <wp:posOffset>259080</wp:posOffset>
            </wp:positionH>
            <wp:positionV relativeFrom="paragraph">
              <wp:posOffset>80010</wp:posOffset>
            </wp:positionV>
            <wp:extent cx="4833620" cy="2590165"/>
            <wp:effectExtent l="4445" t="4445" r="13335" b="8890"/>
            <wp:wrapTight wrapText="bothSides">
              <wp:wrapPolygon>
                <wp:start x="-20" y="-37"/>
                <wp:lineTo x="-20" y="21568"/>
                <wp:lineTo x="21546" y="21568"/>
                <wp:lineTo x="21546" y="-37"/>
                <wp:lineTo x="-20" y="-37"/>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50F57EDF">
      <w:pPr>
        <w:spacing w:line="600" w:lineRule="exact"/>
        <w:ind w:firstLine="640" w:firstLineChars="200"/>
        <w:rPr>
          <w:rFonts w:ascii="仿宋" w:hAnsi="仿宋" w:eastAsia="仿宋"/>
          <w:b/>
          <w:color w:val="auto"/>
          <w:sz w:val="36"/>
          <w:szCs w:val="36"/>
          <w:highlight w:val="none"/>
        </w:rPr>
      </w:pPr>
      <w:r>
        <w:rPr>
          <w:rFonts w:hint="eastAsia" w:ascii="仿宋" w:hAnsi="仿宋" w:eastAsia="仿宋"/>
          <w:color w:val="auto"/>
          <w:sz w:val="32"/>
          <w:szCs w:val="32"/>
          <w:highlight w:val="none"/>
        </w:rPr>
        <w:t>（图4：财政拨款收、支决算总计变动情况）</w:t>
      </w:r>
    </w:p>
    <w:p w14:paraId="0147010A">
      <w:pPr>
        <w:spacing w:line="600" w:lineRule="exact"/>
        <w:ind w:firstLine="640" w:firstLineChars="200"/>
        <w:outlineLvl w:val="1"/>
        <w:rPr>
          <w:rStyle w:val="27"/>
          <w:rFonts w:ascii="黑体" w:hAnsi="黑体" w:eastAsia="黑体"/>
          <w:b w:val="0"/>
          <w:color w:val="auto"/>
          <w:sz w:val="32"/>
          <w:szCs w:val="32"/>
          <w:highlight w:val="none"/>
        </w:rPr>
      </w:pPr>
      <w:bookmarkStart w:id="36" w:name="_Toc15396607"/>
      <w:bookmarkStart w:id="37" w:name="_Toc28432"/>
      <w:bookmarkStart w:id="38"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sz w:val="32"/>
          <w:szCs w:val="32"/>
          <w:highlight w:val="none"/>
        </w:rPr>
        <w:t>般公共预算财政拨款支出决算情况说明</w:t>
      </w:r>
      <w:bookmarkEnd w:id="36"/>
      <w:bookmarkEnd w:id="37"/>
      <w:bookmarkEnd w:id="38"/>
    </w:p>
    <w:p w14:paraId="04472AEC">
      <w:pPr>
        <w:spacing w:line="600" w:lineRule="exact"/>
        <w:ind w:firstLine="643" w:firstLineChars="200"/>
        <w:outlineLvl w:val="2"/>
        <w:rPr>
          <w:rFonts w:ascii="仿宋" w:hAnsi="仿宋" w:eastAsia="仿宋"/>
          <w:b/>
          <w:color w:val="auto"/>
          <w:sz w:val="32"/>
          <w:szCs w:val="32"/>
          <w:highlight w:val="none"/>
        </w:rPr>
      </w:pPr>
      <w:bookmarkStart w:id="39" w:name="_Toc15377210"/>
      <w:r>
        <w:rPr>
          <w:rFonts w:hint="eastAsia" w:ascii="仿宋" w:hAnsi="仿宋" w:eastAsia="仿宋"/>
          <w:b/>
          <w:color w:val="auto"/>
          <w:sz w:val="32"/>
          <w:szCs w:val="32"/>
          <w:highlight w:val="none"/>
        </w:rPr>
        <w:t>（一）一般公共预算财政拨款支出决算总体情况</w:t>
      </w:r>
      <w:bookmarkEnd w:id="39"/>
    </w:p>
    <w:p w14:paraId="14A517FA">
      <w:pPr>
        <w:spacing w:line="600" w:lineRule="exact"/>
        <w:ind w:firstLine="640" w:firstLineChars="20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234.54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95.67</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5.67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人员增资财政补助增多。</w:t>
      </w:r>
    </w:p>
    <w:p w14:paraId="63054F43">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drawing>
          <wp:anchor distT="0" distB="0" distL="114300" distR="114300" simplePos="0" relativeHeight="251664384" behindDoc="1" locked="0" layoutInCell="1" allowOverlap="1">
            <wp:simplePos x="0" y="0"/>
            <wp:positionH relativeFrom="column">
              <wp:posOffset>363855</wp:posOffset>
            </wp:positionH>
            <wp:positionV relativeFrom="paragraph">
              <wp:posOffset>22225</wp:posOffset>
            </wp:positionV>
            <wp:extent cx="4700270" cy="2313940"/>
            <wp:effectExtent l="4445" t="5080" r="6985" b="5080"/>
            <wp:wrapTight wrapText="bothSides">
              <wp:wrapPolygon>
                <wp:start x="-20" y="-47"/>
                <wp:lineTo x="-20" y="21529"/>
                <wp:lineTo x="21574" y="21529"/>
                <wp:lineTo x="21574" y="-47"/>
                <wp:lineTo x="-20" y="-47"/>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仿宋" w:hAnsi="仿宋" w:eastAsia="仿宋"/>
          <w:color w:val="auto"/>
          <w:sz w:val="32"/>
          <w:szCs w:val="32"/>
          <w:highlight w:val="none"/>
          <w:lang w:val="en-US" w:eastAsia="zh-CN"/>
        </w:rPr>
        <w:t>（图5：一般公共预算财政拨款支出决算变动情况）</w:t>
      </w:r>
    </w:p>
    <w:p w14:paraId="31AEE555">
      <w:pPr>
        <w:spacing w:line="600" w:lineRule="exact"/>
        <w:ind w:firstLine="643" w:firstLineChars="200"/>
        <w:outlineLvl w:val="2"/>
        <w:rPr>
          <w:rFonts w:ascii="仿宋" w:hAnsi="仿宋" w:eastAsia="仿宋"/>
          <w:b/>
          <w:color w:val="auto"/>
          <w:sz w:val="32"/>
          <w:szCs w:val="32"/>
          <w:highlight w:val="none"/>
        </w:rPr>
      </w:pPr>
      <w:bookmarkStart w:id="40" w:name="_Toc15377211"/>
      <w:r>
        <w:rPr>
          <w:rFonts w:hint="eastAsia" w:ascii="仿宋" w:hAnsi="仿宋" w:eastAsia="仿宋"/>
          <w:b/>
          <w:color w:val="auto"/>
          <w:sz w:val="32"/>
          <w:szCs w:val="32"/>
          <w:highlight w:val="none"/>
        </w:rPr>
        <w:t>（二）一般公共预算财政拨款支出决算结构情况</w:t>
      </w:r>
      <w:bookmarkEnd w:id="40"/>
    </w:p>
    <w:p w14:paraId="275A8C00">
      <w:pPr>
        <w:spacing w:line="600" w:lineRule="exact"/>
        <w:ind w:firstLine="640"/>
        <w:rPr>
          <w:rFonts w:ascii="仿宋" w:hAnsi="仿宋" w:eastAsia="仿宋"/>
          <w:color w:val="auto"/>
          <w:sz w:val="36"/>
          <w:szCs w:val="36"/>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234.54</w:t>
      </w:r>
      <w:r>
        <w:rPr>
          <w:rFonts w:hint="eastAsia" w:ascii="仿宋" w:hAnsi="仿宋" w:eastAsia="仿宋"/>
          <w:color w:val="auto"/>
          <w:sz w:val="32"/>
          <w:szCs w:val="32"/>
          <w:highlight w:val="none"/>
        </w:rPr>
        <w:t>万元，主要</w:t>
      </w:r>
      <w:r>
        <w:rPr>
          <w:rFonts w:ascii="仿宋_GB2312" w:eastAsia="仿宋_GB2312"/>
          <w:sz w:val="36"/>
          <w:szCs w:val="36"/>
        </w:rPr>
        <w:drawing>
          <wp:anchor distT="0" distB="0" distL="114300" distR="114300" simplePos="0" relativeHeight="251665408" behindDoc="0" locked="0" layoutInCell="1" allowOverlap="1">
            <wp:simplePos x="0" y="0"/>
            <wp:positionH relativeFrom="column">
              <wp:posOffset>232410</wp:posOffset>
            </wp:positionH>
            <wp:positionV relativeFrom="paragraph">
              <wp:posOffset>1388745</wp:posOffset>
            </wp:positionV>
            <wp:extent cx="4946650" cy="2036445"/>
            <wp:effectExtent l="4445" t="4445" r="20955" b="16510"/>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ascii="仿宋" w:hAnsi="仿宋" w:eastAsia="仿宋"/>
          <w:color w:val="auto"/>
          <w:sz w:val="32"/>
          <w:szCs w:val="32"/>
          <w:highlight w:val="none"/>
        </w:rPr>
        <w:t>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206.60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88.09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13.50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4.82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9.62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4.05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2A0F8A1F">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14:paraId="5D8CFE15">
      <w:pPr>
        <w:spacing w:line="600" w:lineRule="exact"/>
        <w:ind w:firstLine="643" w:firstLineChars="200"/>
        <w:outlineLvl w:val="2"/>
        <w:rPr>
          <w:rFonts w:ascii="仿宋" w:hAnsi="仿宋" w:eastAsia="仿宋"/>
          <w:b/>
          <w:color w:val="auto"/>
          <w:sz w:val="32"/>
          <w:szCs w:val="32"/>
          <w:highlight w:val="none"/>
        </w:rPr>
      </w:pPr>
      <w:bookmarkStart w:id="41" w:name="_Toc15377212"/>
      <w:r>
        <w:rPr>
          <w:rFonts w:hint="eastAsia" w:ascii="仿宋" w:hAnsi="仿宋" w:eastAsia="仿宋"/>
          <w:b/>
          <w:color w:val="auto"/>
          <w:sz w:val="32"/>
          <w:szCs w:val="32"/>
          <w:highlight w:val="none"/>
        </w:rPr>
        <w:t>（三）一般公共预算财政拨款支出决算具体情况</w:t>
      </w:r>
      <w:bookmarkEnd w:id="41"/>
    </w:p>
    <w:p w14:paraId="18A668F2">
      <w:pPr>
        <w:spacing w:line="600" w:lineRule="exact"/>
        <w:ind w:firstLine="643" w:firstLineChars="200"/>
        <w:outlineLvl w:val="1"/>
        <w:rPr>
          <w:rFonts w:ascii="仿宋" w:hAnsi="仿宋" w:eastAsia="仿宋"/>
          <w:color w:val="auto"/>
          <w:sz w:val="32"/>
          <w:szCs w:val="32"/>
          <w:highlight w:val="none"/>
        </w:rPr>
      </w:pPr>
      <w:bookmarkStart w:id="42" w:name="_Toc15377213"/>
      <w:bookmarkStart w:id="43" w:name="_Toc15378460"/>
      <w:bookmarkStart w:id="44" w:name="_Toc15377444"/>
      <w:bookmarkStart w:id="45" w:name="_Toc10902"/>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234.54万元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42"/>
      <w:bookmarkEnd w:id="43"/>
      <w:bookmarkEnd w:id="44"/>
      <w:bookmarkEnd w:id="45"/>
    </w:p>
    <w:p w14:paraId="20CCBDF7">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1.</w:t>
      </w:r>
      <w:r>
        <w:rPr>
          <w:rStyle w:val="16"/>
          <w:rFonts w:hint="eastAsia" w:ascii="仿宋" w:hAnsi="仿宋" w:eastAsia="仿宋"/>
          <w:bCs/>
          <w:color w:val="auto"/>
          <w:sz w:val="32"/>
          <w:szCs w:val="32"/>
          <w:highlight w:val="none"/>
        </w:rPr>
        <w:t>教育（类）</w:t>
      </w:r>
      <w:r>
        <w:rPr>
          <w:rStyle w:val="16"/>
          <w:rFonts w:hint="eastAsia" w:ascii="仿宋" w:hAnsi="仿宋" w:eastAsia="仿宋"/>
          <w:bCs/>
          <w:color w:val="auto"/>
          <w:sz w:val="32"/>
          <w:szCs w:val="32"/>
          <w:highlight w:val="none"/>
          <w:lang w:val="en-US" w:eastAsia="zh-CN"/>
        </w:rPr>
        <w:t>普通教育</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学前教育</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206.60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5CA7354F">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2.</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sz w:val="32"/>
          <w:szCs w:val="32"/>
        </w:rPr>
        <w:t>行政事业单位养老支出</w:t>
      </w:r>
      <w:r>
        <w:rPr>
          <w:rStyle w:val="16"/>
          <w:rFonts w:hint="eastAsia" w:ascii="仿宋" w:hAnsi="仿宋" w:eastAsia="仿宋"/>
          <w:bCs/>
          <w:color w:val="auto"/>
          <w:sz w:val="32"/>
          <w:szCs w:val="32"/>
          <w:highlight w:val="none"/>
        </w:rPr>
        <w:t>（款）</w:t>
      </w:r>
      <w:r>
        <w:rPr>
          <w:rStyle w:val="16"/>
          <w:rFonts w:hint="eastAsia" w:ascii="仿宋" w:hAnsi="仿宋" w:eastAsia="仿宋"/>
          <w:bCs/>
          <w:sz w:val="32"/>
          <w:szCs w:val="32"/>
        </w:rPr>
        <w:t>机关事业单位基本养老保险缴费支出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12.84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2FDFE6CC">
      <w:pPr>
        <w:pStyle w:val="2"/>
        <w:ind w:firstLine="643" w:firstLineChars="200"/>
        <w:rPr>
          <w:rFonts w:hint="default"/>
          <w:sz w:val="32"/>
          <w:szCs w:val="32"/>
          <w:lang w:val="en-US" w:eastAsia="zh-CN"/>
        </w:rPr>
      </w:pPr>
      <w:r>
        <w:rPr>
          <w:rStyle w:val="16"/>
          <w:rFonts w:hint="eastAsia" w:ascii="仿宋" w:hAnsi="仿宋" w:eastAsia="仿宋"/>
          <w:bCs/>
          <w:color w:val="auto"/>
          <w:sz w:val="32"/>
          <w:szCs w:val="32"/>
          <w:highlight w:val="none"/>
          <w:lang w:val="en-US" w:eastAsia="zh-CN"/>
        </w:rPr>
        <w:t>3.</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sz w:val="32"/>
          <w:szCs w:val="32"/>
          <w:lang w:val="en-US" w:eastAsia="zh-CN"/>
        </w:rPr>
        <w:t>其他社会保障和就业支出</w:t>
      </w:r>
      <w:r>
        <w:rPr>
          <w:rStyle w:val="16"/>
          <w:rFonts w:hint="eastAsia" w:ascii="仿宋" w:hAnsi="仿宋" w:eastAsia="仿宋"/>
          <w:bCs/>
          <w:color w:val="auto"/>
          <w:sz w:val="32"/>
          <w:szCs w:val="32"/>
          <w:highlight w:val="none"/>
        </w:rPr>
        <w:t>（款）</w:t>
      </w:r>
      <w:r>
        <w:rPr>
          <w:rStyle w:val="16"/>
          <w:rFonts w:hint="eastAsia" w:ascii="仿宋" w:hAnsi="仿宋" w:eastAsia="仿宋"/>
          <w:bCs/>
          <w:sz w:val="32"/>
          <w:szCs w:val="32"/>
          <w:lang w:val="en-US" w:eastAsia="zh-CN"/>
        </w:rPr>
        <w:t>其他社会保障和就业支出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0.66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62696C21">
      <w:pPr>
        <w:pStyle w:val="2"/>
        <w:ind w:firstLine="643" w:firstLineChars="200"/>
        <w:rPr>
          <w:rFonts w:hint="default"/>
          <w:sz w:val="32"/>
          <w:szCs w:val="32"/>
          <w:lang w:val="en-US" w:eastAsia="zh-CN"/>
        </w:rPr>
      </w:pPr>
      <w:r>
        <w:rPr>
          <w:rStyle w:val="16"/>
          <w:rFonts w:hint="eastAsia" w:ascii="仿宋" w:hAnsi="仿宋" w:eastAsia="仿宋"/>
          <w:bCs/>
          <w:color w:val="auto"/>
          <w:sz w:val="32"/>
          <w:szCs w:val="32"/>
          <w:highlight w:val="none"/>
          <w:lang w:val="en-US" w:eastAsia="zh-CN"/>
        </w:rPr>
        <w:t>4.</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rPr>
        <w:t>（类）</w:t>
      </w:r>
      <w:r>
        <w:rPr>
          <w:rStyle w:val="16"/>
          <w:rFonts w:hint="eastAsia" w:ascii="仿宋" w:hAnsi="仿宋" w:eastAsia="仿宋"/>
          <w:bCs/>
          <w:sz w:val="32"/>
          <w:szCs w:val="32"/>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sz w:val="32"/>
          <w:szCs w:val="32"/>
        </w:rPr>
        <w:t>事业单位医疗</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4.82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p>
    <w:p w14:paraId="1DBDF80A">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5</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lang w:val="en-US" w:eastAsia="zh-CN"/>
        </w:rPr>
        <w:t>住房保障支出</w:t>
      </w:r>
      <w:r>
        <w:rPr>
          <w:rStyle w:val="16"/>
          <w:rFonts w:hint="eastAsia" w:ascii="仿宋" w:hAnsi="仿宋" w:eastAsia="仿宋"/>
          <w:bCs/>
          <w:color w:val="auto"/>
          <w:sz w:val="32"/>
          <w:szCs w:val="32"/>
          <w:highlight w:val="none"/>
        </w:rPr>
        <w:t>（类）</w:t>
      </w:r>
      <w:r>
        <w:rPr>
          <w:rStyle w:val="16"/>
          <w:rFonts w:hint="eastAsia" w:ascii="仿宋" w:hAnsi="仿宋" w:eastAsia="仿宋"/>
          <w:bCs/>
          <w:sz w:val="32"/>
          <w:szCs w:val="32"/>
          <w:lang w:val="en-US" w:eastAsia="zh-CN"/>
        </w:rPr>
        <w:t>住房改革支出</w:t>
      </w:r>
      <w:r>
        <w:rPr>
          <w:rStyle w:val="16"/>
          <w:rFonts w:hint="eastAsia" w:ascii="仿宋" w:hAnsi="仿宋" w:eastAsia="仿宋"/>
          <w:bCs/>
          <w:color w:val="auto"/>
          <w:sz w:val="32"/>
          <w:szCs w:val="32"/>
          <w:highlight w:val="none"/>
        </w:rPr>
        <w:t>（款）</w:t>
      </w:r>
      <w:r>
        <w:rPr>
          <w:rStyle w:val="16"/>
          <w:rFonts w:hint="eastAsia" w:ascii="仿宋" w:hAnsi="仿宋" w:eastAsia="仿宋"/>
          <w:bCs/>
          <w:sz w:val="32"/>
          <w:szCs w:val="32"/>
          <w:lang w:val="en-US" w:eastAsia="zh-CN"/>
        </w:rPr>
        <w:t>住房公积金</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9.62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7EE1A8BB">
      <w:pPr>
        <w:tabs>
          <w:tab w:val="right" w:pos="8306"/>
        </w:tabs>
        <w:spacing w:line="600" w:lineRule="exact"/>
        <w:ind w:firstLine="640"/>
        <w:outlineLvl w:val="1"/>
        <w:rPr>
          <w:rStyle w:val="27"/>
          <w:color w:val="auto"/>
          <w:sz w:val="32"/>
          <w:szCs w:val="32"/>
          <w:highlight w:val="none"/>
        </w:rPr>
      </w:pPr>
      <w:bookmarkStart w:id="46" w:name="_Toc15396608"/>
      <w:bookmarkStart w:id="47" w:name="_Toc27045"/>
      <w:bookmarkStart w:id="48"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sz w:val="32"/>
          <w:szCs w:val="32"/>
          <w:highlight w:val="none"/>
        </w:rPr>
        <w:t>般公共预算财政拨款基本支出决算情况说明</w:t>
      </w:r>
      <w:bookmarkEnd w:id="46"/>
      <w:bookmarkEnd w:id="47"/>
      <w:bookmarkEnd w:id="48"/>
      <w:r>
        <w:rPr>
          <w:rStyle w:val="27"/>
          <w:rFonts w:ascii="黑体" w:hAnsi="黑体" w:eastAsia="黑体"/>
          <w:b w:val="0"/>
          <w:color w:val="auto"/>
          <w:sz w:val="32"/>
          <w:szCs w:val="32"/>
          <w:highlight w:val="none"/>
        </w:rPr>
        <w:tab/>
      </w:r>
    </w:p>
    <w:p w14:paraId="2DCE87A0">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175.17</w:t>
      </w:r>
      <w:r>
        <w:rPr>
          <w:rFonts w:hint="eastAsia" w:ascii="仿宋" w:hAnsi="仿宋" w:eastAsia="仿宋"/>
          <w:color w:val="auto"/>
          <w:sz w:val="32"/>
          <w:szCs w:val="32"/>
          <w:highlight w:val="none"/>
        </w:rPr>
        <w:t>万元，其中：</w:t>
      </w:r>
    </w:p>
    <w:p w14:paraId="2D0548FB">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123.69</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51.48</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DC7D370">
      <w:pPr>
        <w:spacing w:line="600" w:lineRule="exact"/>
        <w:ind w:firstLine="640"/>
        <w:outlineLvl w:val="1"/>
        <w:rPr>
          <w:rStyle w:val="27"/>
          <w:rFonts w:ascii="黑体" w:hAnsi="黑体" w:eastAsia="黑体"/>
          <w:b w:val="0"/>
          <w:color w:val="auto"/>
          <w:sz w:val="32"/>
          <w:szCs w:val="32"/>
          <w:highlight w:val="none"/>
        </w:rPr>
      </w:pPr>
      <w:bookmarkStart w:id="49" w:name="_Toc15396609"/>
      <w:bookmarkStart w:id="50" w:name="_Toc15377215"/>
      <w:bookmarkStart w:id="51" w:name="_Toc15106"/>
      <w:r>
        <w:rPr>
          <w:rFonts w:hint="eastAsia" w:ascii="黑体" w:eastAsia="黑体"/>
          <w:color w:val="auto"/>
          <w:sz w:val="32"/>
          <w:szCs w:val="32"/>
          <w:highlight w:val="none"/>
        </w:rPr>
        <w:t>七、</w:t>
      </w:r>
      <w:r>
        <w:rPr>
          <w:rStyle w:val="27"/>
          <w:rFonts w:hint="eastAsia" w:ascii="黑体" w:hAnsi="黑体" w:eastAsia="黑体"/>
          <w:b w:val="0"/>
          <w:color w:val="auto"/>
          <w:sz w:val="32"/>
          <w:szCs w:val="32"/>
          <w:highlight w:val="none"/>
        </w:rPr>
        <w:t>财政拨款</w:t>
      </w:r>
      <w:r>
        <w:rPr>
          <w:rStyle w:val="27"/>
          <w:rFonts w:hint="eastAsia" w:ascii="黑体" w:hAnsi="黑体" w:eastAsia="黑体"/>
          <w:color w:val="auto"/>
          <w:sz w:val="32"/>
          <w:szCs w:val="32"/>
          <w:highlight w:val="none"/>
        </w:rPr>
        <w:t>“</w:t>
      </w:r>
      <w:r>
        <w:rPr>
          <w:rStyle w:val="27"/>
          <w:rFonts w:hint="eastAsia" w:ascii="黑体" w:hAnsi="黑体" w:eastAsia="黑体"/>
          <w:b w:val="0"/>
          <w:color w:val="auto"/>
          <w:sz w:val="32"/>
          <w:szCs w:val="32"/>
          <w:highlight w:val="none"/>
        </w:rPr>
        <w:t>三公”经费支出决算情况说明</w:t>
      </w:r>
      <w:bookmarkEnd w:id="49"/>
      <w:bookmarkEnd w:id="50"/>
      <w:bookmarkEnd w:id="51"/>
    </w:p>
    <w:p w14:paraId="129D9CA5">
      <w:pPr>
        <w:spacing w:line="600" w:lineRule="exact"/>
        <w:ind w:firstLine="640"/>
        <w:outlineLvl w:val="2"/>
        <w:rPr>
          <w:rFonts w:ascii="仿宋" w:hAnsi="仿宋" w:eastAsia="仿宋"/>
          <w:b/>
          <w:color w:val="auto"/>
          <w:sz w:val="32"/>
          <w:szCs w:val="32"/>
          <w:highlight w:val="none"/>
        </w:rPr>
      </w:pPr>
      <w:bookmarkStart w:id="52" w:name="_Toc15377216"/>
      <w:r>
        <w:rPr>
          <w:rFonts w:hint="eastAsia" w:ascii="仿宋" w:hAnsi="仿宋" w:eastAsia="仿宋"/>
          <w:b/>
          <w:color w:val="auto"/>
          <w:sz w:val="32"/>
          <w:szCs w:val="32"/>
          <w:highlight w:val="none"/>
        </w:rPr>
        <w:t>（一）“三公”经费财政拨款支出决算总体情况说明</w:t>
      </w:r>
      <w:bookmarkEnd w:id="52"/>
    </w:p>
    <w:p w14:paraId="32D83D19">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p>
    <w:p w14:paraId="34EC7E66">
      <w:pPr>
        <w:spacing w:line="600" w:lineRule="exact"/>
        <w:ind w:firstLine="640"/>
        <w:outlineLvl w:val="2"/>
        <w:rPr>
          <w:rFonts w:ascii="仿宋" w:hAnsi="仿宋" w:eastAsia="仿宋"/>
          <w:b/>
          <w:color w:val="auto"/>
          <w:sz w:val="32"/>
          <w:szCs w:val="32"/>
          <w:highlight w:val="none"/>
        </w:rPr>
      </w:pPr>
      <w:bookmarkStart w:id="53" w:name="_Toc15377217"/>
      <w:r>
        <w:rPr>
          <w:rFonts w:hint="eastAsia" w:ascii="仿宋" w:hAnsi="仿宋" w:eastAsia="仿宋"/>
          <w:b/>
          <w:color w:val="auto"/>
          <w:sz w:val="32"/>
          <w:szCs w:val="32"/>
          <w:highlight w:val="none"/>
        </w:rPr>
        <w:t>（二）“三公”经费财政拨款支出决算具体情况说明</w:t>
      </w:r>
      <w:bookmarkEnd w:id="53"/>
    </w:p>
    <w:p w14:paraId="738E2584">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481B32B9">
      <w:pPr>
        <w:numPr>
          <w:ilvl w:val="0"/>
          <w:numId w:val="0"/>
        </w:numPr>
        <w:spacing w:line="600" w:lineRule="exact"/>
        <w:ind w:firstLine="643" w:firstLineChars="200"/>
        <w:rPr>
          <w:rStyle w:val="16"/>
          <w:rFonts w:hint="eastAsia" w:ascii="仿宋" w:hAnsi="仿宋" w:eastAsia="仿宋"/>
          <w:b w:val="0"/>
          <w:bCs/>
          <w:color w:val="auto"/>
          <w:sz w:val="32"/>
          <w:szCs w:val="32"/>
          <w:highlight w:val="none"/>
        </w:rPr>
      </w:pPr>
      <w:r>
        <w:rPr>
          <w:rFonts w:hint="eastAsia" w:ascii="仿宋_GB2312" w:eastAsia="仿宋_GB2312"/>
          <w:b/>
          <w:color w:val="auto"/>
          <w:sz w:val="32"/>
          <w:szCs w:val="32"/>
          <w:highlight w:val="none"/>
          <w:lang w:val="en-US" w:eastAsia="zh-CN"/>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w:t>
      </w:r>
    </w:p>
    <w:p w14:paraId="53831B79">
      <w:pPr>
        <w:numPr>
          <w:ilvl w:val="0"/>
          <w:numId w:val="0"/>
        </w:numPr>
        <w:spacing w:line="600" w:lineRule="exact"/>
        <w:ind w:firstLine="643" w:firstLineChars="200"/>
        <w:rPr>
          <w:rFonts w:hint="eastAsia" w:ascii="仿宋_GB2312" w:eastAsia="仿宋_GB2312"/>
          <w:b/>
          <w:color w:val="auto"/>
          <w:sz w:val="32"/>
          <w:szCs w:val="32"/>
          <w:highlight w:val="none"/>
          <w:lang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w:t>
      </w:r>
    </w:p>
    <w:p w14:paraId="1C5AD3C3">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3093D302">
      <w:pPr>
        <w:spacing w:line="600" w:lineRule="exact"/>
        <w:ind w:firstLine="640"/>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公务用车运行维护费支出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p>
    <w:p w14:paraId="19E4FEF8">
      <w:pPr>
        <w:spacing w:line="600" w:lineRule="exact"/>
        <w:ind w:firstLine="640"/>
        <w:rPr>
          <w:rFonts w:ascii="黑体" w:eastAsia="黑体"/>
          <w:color w:val="auto"/>
          <w:sz w:val="32"/>
          <w:szCs w:val="32"/>
          <w:highlight w:val="none"/>
        </w:rPr>
      </w:pPr>
      <w:r>
        <w:rPr>
          <w:rFonts w:hint="eastAsia" w:ascii="仿宋_GB2312" w:eastAsia="仿宋_GB2312"/>
          <w:b w:val="0"/>
          <w:bCs w:val="0"/>
          <w:color w:val="auto"/>
          <w:sz w:val="32"/>
          <w:szCs w:val="32"/>
          <w:highlight w:val="none"/>
        </w:rPr>
        <w:t>3.公务接待费支出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外事接待支出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r>
        <w:rPr>
          <w:rFonts w:hint="eastAsia" w:ascii="仿宋_GB2312" w:eastAsia="仿宋_GB2312"/>
          <w:color w:val="auto"/>
          <w:sz w:val="32"/>
          <w:szCs w:val="32"/>
          <w:highlight w:val="none"/>
          <w:lang w:eastAsia="zh-CN"/>
        </w:rPr>
        <w:t>。</w:t>
      </w:r>
      <w:bookmarkStart w:id="54" w:name="_Toc15377218"/>
      <w:bookmarkStart w:id="55" w:name="_Toc15396610"/>
    </w:p>
    <w:p w14:paraId="66BAA245">
      <w:pPr>
        <w:spacing w:line="600" w:lineRule="exact"/>
        <w:ind w:firstLine="640"/>
        <w:outlineLvl w:val="1"/>
        <w:rPr>
          <w:rStyle w:val="27"/>
          <w:rFonts w:ascii="黑体" w:hAnsi="黑体" w:eastAsia="黑体"/>
          <w:color w:val="auto"/>
          <w:sz w:val="32"/>
          <w:szCs w:val="32"/>
          <w:highlight w:val="none"/>
        </w:rPr>
      </w:pPr>
      <w:bookmarkStart w:id="56" w:name="_Toc12542"/>
      <w:r>
        <w:rPr>
          <w:rFonts w:hint="eastAsia" w:ascii="黑体" w:eastAsia="黑体"/>
          <w:color w:val="auto"/>
          <w:sz w:val="32"/>
          <w:szCs w:val="32"/>
          <w:highlight w:val="none"/>
        </w:rPr>
        <w:t>八、</w:t>
      </w:r>
      <w:r>
        <w:rPr>
          <w:rStyle w:val="27"/>
          <w:rFonts w:hint="eastAsia" w:ascii="黑体" w:hAnsi="黑体" w:eastAsia="黑体"/>
          <w:b w:val="0"/>
          <w:color w:val="auto"/>
          <w:sz w:val="32"/>
          <w:szCs w:val="32"/>
          <w:highlight w:val="none"/>
        </w:rPr>
        <w:t>政府性基金预算支出决算情况说明</w:t>
      </w:r>
      <w:bookmarkEnd w:id="54"/>
      <w:bookmarkEnd w:id="55"/>
      <w:bookmarkEnd w:id="56"/>
    </w:p>
    <w:p w14:paraId="1BA11087">
      <w:pPr>
        <w:spacing w:line="600" w:lineRule="exact"/>
        <w:ind w:firstLine="640"/>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7498C5C5">
      <w:pPr>
        <w:numPr>
          <w:ilvl w:val="0"/>
          <w:numId w:val="2"/>
        </w:numPr>
        <w:spacing w:line="600" w:lineRule="exact"/>
        <w:ind w:firstLine="640"/>
        <w:outlineLvl w:val="1"/>
        <w:rPr>
          <w:rStyle w:val="27"/>
          <w:rFonts w:ascii="黑体" w:hAnsi="黑体" w:eastAsia="黑体"/>
          <w:b w:val="0"/>
          <w:color w:val="auto"/>
          <w:sz w:val="32"/>
          <w:szCs w:val="32"/>
          <w:highlight w:val="none"/>
        </w:rPr>
      </w:pPr>
      <w:bookmarkStart w:id="57" w:name="_Toc4034"/>
      <w:bookmarkStart w:id="58" w:name="_Toc15377219"/>
      <w:bookmarkStart w:id="59" w:name="_Toc15396611"/>
      <w:r>
        <w:rPr>
          <w:rStyle w:val="27"/>
          <w:rFonts w:hint="eastAsia" w:ascii="黑体" w:hAnsi="黑体" w:eastAsia="黑体"/>
          <w:b w:val="0"/>
          <w:color w:val="auto"/>
          <w:sz w:val="32"/>
          <w:szCs w:val="32"/>
          <w:highlight w:val="none"/>
        </w:rPr>
        <w:t>国有资本经营预算支出决算情况说明</w:t>
      </w:r>
      <w:bookmarkEnd w:id="57"/>
      <w:bookmarkEnd w:id="58"/>
      <w:bookmarkEnd w:id="59"/>
    </w:p>
    <w:p w14:paraId="7999B01E">
      <w:pPr>
        <w:spacing w:line="600" w:lineRule="exact"/>
        <w:ind w:firstLine="640"/>
        <w:rPr>
          <w:rFonts w:ascii="方正小标宋简体" w:hAnsi="方正小标宋简体" w:eastAsia="方正小标宋简体" w:cs="方正小标宋简体"/>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AAC31BB">
      <w:pPr>
        <w:numPr>
          <w:ilvl w:val="0"/>
          <w:numId w:val="2"/>
        </w:numPr>
        <w:spacing w:line="600" w:lineRule="exact"/>
        <w:ind w:firstLine="640"/>
        <w:outlineLvl w:val="1"/>
        <w:rPr>
          <w:rStyle w:val="27"/>
          <w:rFonts w:hint="eastAsia" w:ascii="黑体" w:hAnsi="黑体" w:eastAsia="黑体"/>
          <w:b w:val="0"/>
          <w:color w:val="auto"/>
          <w:sz w:val="32"/>
          <w:szCs w:val="32"/>
          <w:highlight w:val="none"/>
        </w:rPr>
      </w:pPr>
      <w:bookmarkStart w:id="60" w:name="_Toc29825"/>
      <w:bookmarkStart w:id="61" w:name="_Toc15396612"/>
      <w:bookmarkStart w:id="62" w:name="_Toc15377221"/>
      <w:r>
        <w:rPr>
          <w:rStyle w:val="27"/>
          <w:rFonts w:hint="eastAsia" w:ascii="黑体" w:hAnsi="黑体" w:eastAsia="黑体"/>
          <w:b w:val="0"/>
          <w:color w:val="auto"/>
          <w:sz w:val="32"/>
          <w:szCs w:val="32"/>
          <w:highlight w:val="none"/>
        </w:rPr>
        <w:t>其他重要事项的情况说明</w:t>
      </w:r>
      <w:bookmarkEnd w:id="60"/>
      <w:bookmarkEnd w:id="61"/>
      <w:bookmarkEnd w:id="62"/>
    </w:p>
    <w:p w14:paraId="562547BB">
      <w:pPr>
        <w:spacing w:line="600" w:lineRule="exact"/>
        <w:ind w:firstLine="643" w:firstLineChars="200"/>
        <w:outlineLvl w:val="2"/>
        <w:rPr>
          <w:rFonts w:ascii="仿宋" w:hAnsi="仿宋" w:eastAsia="仿宋"/>
          <w:color w:val="auto"/>
          <w:sz w:val="32"/>
          <w:szCs w:val="32"/>
          <w:highlight w:val="none"/>
        </w:rPr>
      </w:pPr>
      <w:bookmarkStart w:id="63" w:name="_Toc15377222"/>
      <w:r>
        <w:rPr>
          <w:rFonts w:hint="eastAsia" w:ascii="仿宋" w:hAnsi="仿宋" w:eastAsia="仿宋"/>
          <w:b/>
          <w:color w:val="auto"/>
          <w:sz w:val="32"/>
          <w:szCs w:val="32"/>
          <w:highlight w:val="none"/>
        </w:rPr>
        <w:t>（一）机关运行经费支出情况</w:t>
      </w:r>
      <w:bookmarkEnd w:id="63"/>
    </w:p>
    <w:p w14:paraId="1554A556">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4CEF8C8F">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4" w:name="_Toc15377223"/>
      <w:r>
        <w:rPr>
          <w:rFonts w:hint="eastAsia" w:ascii="仿宋" w:hAnsi="仿宋" w:eastAsia="仿宋"/>
          <w:b/>
          <w:color w:val="auto"/>
          <w:sz w:val="32"/>
          <w:szCs w:val="32"/>
          <w:highlight w:val="none"/>
        </w:rPr>
        <w:t>（二）政府采购支出情况</w:t>
      </w:r>
      <w:bookmarkEnd w:id="64"/>
    </w:p>
    <w:p w14:paraId="3B1E496B">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5D80DCF1">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5" w:name="_Toc15377224"/>
      <w:r>
        <w:rPr>
          <w:rFonts w:hint="eastAsia" w:ascii="仿宋" w:hAnsi="仿宋" w:eastAsia="仿宋"/>
          <w:b/>
          <w:color w:val="auto"/>
          <w:sz w:val="32"/>
          <w:szCs w:val="32"/>
          <w:highlight w:val="none"/>
        </w:rPr>
        <w:t>（三）国有资产占有使用情况</w:t>
      </w:r>
      <w:bookmarkEnd w:id="65"/>
    </w:p>
    <w:p w14:paraId="277D4D1E">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广元市利州区三堆国凡幼儿园</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77B190C8">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7B2B2E73">
      <w:pPr>
        <w:pStyle w:val="2"/>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学前教育减免保教费、生均公用经费</w:t>
      </w:r>
      <w:r>
        <w:rPr>
          <w:rFonts w:hint="eastAsia" w:ascii="仿宋_GB2312" w:hAnsi="仿宋_GB2312" w:eastAsia="仿宋_GB2312" w:cs="仿宋_GB2312"/>
          <w:color w:val="auto"/>
          <w:sz w:val="32"/>
          <w:szCs w:val="32"/>
          <w:highlight w:val="none"/>
        </w:rPr>
        <w:t>等</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14:paraId="0D71BFC8">
      <w:pPr>
        <w:pStyle w:val="2"/>
        <w:ind w:firstLine="640" w:firstLineChars="200"/>
        <w:rPr>
          <w:rFonts w:hint="eastAsia" w:ascii="仿宋_GB2312" w:hAnsi="仿宋_GB2312" w:eastAsia="仿宋_GB2312" w:cs="仿宋_GB2312"/>
          <w:color w:val="auto"/>
          <w:sz w:val="32"/>
          <w:szCs w:val="32"/>
          <w:highlight w:val="none"/>
        </w:rPr>
      </w:pPr>
    </w:p>
    <w:p w14:paraId="664CEF9D">
      <w:pPr>
        <w:pStyle w:val="2"/>
        <w:ind w:firstLine="640" w:firstLineChars="200"/>
        <w:rPr>
          <w:rFonts w:hint="eastAsia" w:ascii="仿宋_GB2312" w:hAnsi="仿宋_GB2312" w:eastAsia="仿宋_GB2312" w:cs="仿宋_GB2312"/>
          <w:color w:val="auto"/>
          <w:sz w:val="32"/>
          <w:szCs w:val="32"/>
          <w:highlight w:val="none"/>
        </w:rPr>
      </w:pPr>
    </w:p>
    <w:p w14:paraId="0CCAC139">
      <w:pPr>
        <w:pStyle w:val="2"/>
        <w:ind w:firstLine="640" w:firstLineChars="200"/>
        <w:rPr>
          <w:rFonts w:hint="eastAsia" w:ascii="仿宋_GB2312" w:hAnsi="仿宋_GB2312" w:eastAsia="仿宋_GB2312" w:cs="仿宋_GB2312"/>
          <w:color w:val="auto"/>
          <w:sz w:val="32"/>
          <w:szCs w:val="32"/>
          <w:highlight w:val="none"/>
        </w:rPr>
      </w:pPr>
    </w:p>
    <w:p w14:paraId="02116931">
      <w:pPr>
        <w:pStyle w:val="2"/>
        <w:ind w:firstLine="640" w:firstLineChars="200"/>
        <w:rPr>
          <w:rFonts w:hint="eastAsia" w:ascii="仿宋_GB2312" w:hAnsi="仿宋_GB2312" w:eastAsia="仿宋_GB2312" w:cs="仿宋_GB2312"/>
          <w:color w:val="auto"/>
          <w:sz w:val="32"/>
          <w:szCs w:val="32"/>
          <w:highlight w:val="none"/>
        </w:rPr>
      </w:pPr>
    </w:p>
    <w:p w14:paraId="4CA093CB">
      <w:pPr>
        <w:pStyle w:val="2"/>
        <w:ind w:firstLine="640" w:firstLineChars="200"/>
        <w:rPr>
          <w:rFonts w:hint="eastAsia" w:ascii="仿宋_GB2312" w:hAnsi="仿宋_GB2312" w:eastAsia="仿宋_GB2312" w:cs="仿宋_GB2312"/>
          <w:color w:val="auto"/>
          <w:sz w:val="32"/>
          <w:szCs w:val="32"/>
          <w:highlight w:val="none"/>
        </w:rPr>
      </w:pPr>
    </w:p>
    <w:p w14:paraId="64DFCA72">
      <w:pPr>
        <w:pStyle w:val="2"/>
        <w:ind w:firstLine="640" w:firstLineChars="200"/>
        <w:rPr>
          <w:rFonts w:hint="eastAsia" w:ascii="仿宋_GB2312" w:hAnsi="仿宋_GB2312" w:eastAsia="仿宋_GB2312" w:cs="仿宋_GB2312"/>
          <w:color w:val="auto"/>
          <w:sz w:val="32"/>
          <w:szCs w:val="32"/>
          <w:highlight w:val="none"/>
        </w:rPr>
      </w:pPr>
    </w:p>
    <w:p w14:paraId="115439E7">
      <w:pPr>
        <w:pStyle w:val="2"/>
        <w:ind w:firstLine="640" w:firstLineChars="200"/>
        <w:rPr>
          <w:rFonts w:hint="eastAsia" w:ascii="仿宋_GB2312" w:hAnsi="仿宋_GB2312" w:eastAsia="仿宋_GB2312" w:cs="仿宋_GB2312"/>
          <w:color w:val="auto"/>
          <w:sz w:val="32"/>
          <w:szCs w:val="32"/>
          <w:highlight w:val="none"/>
        </w:rPr>
      </w:pPr>
    </w:p>
    <w:p w14:paraId="068D802E">
      <w:pPr>
        <w:pStyle w:val="2"/>
        <w:ind w:firstLine="640" w:firstLineChars="200"/>
        <w:rPr>
          <w:rFonts w:hint="eastAsia" w:ascii="仿宋_GB2312" w:hAnsi="仿宋_GB2312" w:eastAsia="仿宋_GB2312" w:cs="仿宋_GB2312"/>
          <w:color w:val="auto"/>
          <w:sz w:val="32"/>
          <w:szCs w:val="32"/>
          <w:highlight w:val="none"/>
        </w:rPr>
      </w:pPr>
    </w:p>
    <w:p w14:paraId="003DD22B">
      <w:pPr>
        <w:pStyle w:val="2"/>
        <w:ind w:firstLine="640" w:firstLineChars="200"/>
        <w:rPr>
          <w:rFonts w:hint="eastAsia" w:ascii="仿宋_GB2312" w:hAnsi="仿宋_GB2312" w:eastAsia="仿宋_GB2312" w:cs="仿宋_GB2312"/>
          <w:color w:val="auto"/>
          <w:sz w:val="32"/>
          <w:szCs w:val="32"/>
          <w:highlight w:val="none"/>
        </w:rPr>
      </w:pPr>
    </w:p>
    <w:p w14:paraId="7D52D9DE">
      <w:pPr>
        <w:pStyle w:val="2"/>
        <w:ind w:firstLine="640" w:firstLineChars="200"/>
        <w:rPr>
          <w:rFonts w:hint="eastAsia" w:ascii="仿宋_GB2312" w:hAnsi="仿宋_GB2312" w:eastAsia="仿宋_GB2312" w:cs="仿宋_GB2312"/>
          <w:color w:val="auto"/>
          <w:sz w:val="32"/>
          <w:szCs w:val="32"/>
          <w:highlight w:val="none"/>
        </w:rPr>
      </w:pPr>
    </w:p>
    <w:p w14:paraId="04B093B3">
      <w:pPr>
        <w:pStyle w:val="2"/>
        <w:ind w:firstLine="640" w:firstLineChars="200"/>
        <w:rPr>
          <w:rFonts w:hint="eastAsia" w:ascii="仿宋_GB2312" w:hAnsi="仿宋_GB2312" w:eastAsia="仿宋_GB2312" w:cs="仿宋_GB2312"/>
          <w:color w:val="auto"/>
          <w:sz w:val="32"/>
          <w:szCs w:val="32"/>
          <w:highlight w:val="none"/>
        </w:rPr>
      </w:pPr>
    </w:p>
    <w:p w14:paraId="1DF98E78">
      <w:pPr>
        <w:pStyle w:val="2"/>
        <w:ind w:firstLine="640" w:firstLineChars="200"/>
        <w:rPr>
          <w:rFonts w:hint="eastAsia" w:ascii="仿宋_GB2312" w:hAnsi="仿宋_GB2312" w:eastAsia="仿宋_GB2312" w:cs="仿宋_GB2312"/>
          <w:color w:val="auto"/>
          <w:sz w:val="32"/>
          <w:szCs w:val="32"/>
          <w:highlight w:val="none"/>
        </w:rPr>
      </w:pPr>
    </w:p>
    <w:p w14:paraId="7E370E46">
      <w:pPr>
        <w:pStyle w:val="2"/>
        <w:ind w:firstLine="640" w:firstLineChars="200"/>
        <w:rPr>
          <w:rFonts w:hint="eastAsia" w:ascii="仿宋_GB2312" w:hAnsi="仿宋_GB2312" w:eastAsia="仿宋_GB2312" w:cs="仿宋_GB2312"/>
          <w:color w:val="auto"/>
          <w:sz w:val="32"/>
          <w:szCs w:val="32"/>
          <w:highlight w:val="none"/>
        </w:rPr>
      </w:pPr>
    </w:p>
    <w:p w14:paraId="304F08A4">
      <w:pPr>
        <w:pStyle w:val="2"/>
        <w:ind w:firstLine="640" w:firstLineChars="200"/>
        <w:rPr>
          <w:rFonts w:hint="eastAsia" w:ascii="仿宋_GB2312" w:hAnsi="仿宋_GB2312" w:eastAsia="仿宋_GB2312" w:cs="仿宋_GB2312"/>
          <w:color w:val="auto"/>
          <w:sz w:val="32"/>
          <w:szCs w:val="32"/>
          <w:highlight w:val="none"/>
        </w:rPr>
      </w:pPr>
    </w:p>
    <w:p w14:paraId="1D36AAA3">
      <w:pPr>
        <w:numPr>
          <w:ilvl w:val="0"/>
          <w:numId w:val="3"/>
        </w:numPr>
        <w:spacing w:line="600" w:lineRule="exact"/>
        <w:ind w:firstLine="660" w:firstLineChars="150"/>
        <w:jc w:val="center"/>
        <w:outlineLvl w:val="0"/>
        <w:rPr>
          <w:rStyle w:val="26"/>
          <w:rFonts w:ascii="黑体" w:hAnsi="黑体" w:eastAsia="黑体"/>
          <w:b w:val="0"/>
          <w:color w:val="auto"/>
          <w:sz w:val="32"/>
          <w:szCs w:val="32"/>
          <w:highlight w:val="none"/>
        </w:rPr>
      </w:pPr>
      <w:bookmarkStart w:id="66" w:name="_Toc15377225"/>
      <w:bookmarkStart w:id="67" w:name="_Toc14737"/>
      <w:bookmarkStart w:id="68" w:name="_Toc15396613"/>
      <w:r>
        <w:rPr>
          <w:rFonts w:hint="eastAsia" w:ascii="黑体" w:hAnsi="黑体" w:eastAsia="黑体"/>
          <w:color w:val="auto"/>
          <w:sz w:val="44"/>
          <w:szCs w:val="44"/>
          <w:highlight w:val="none"/>
        </w:rPr>
        <w:t>名</w:t>
      </w:r>
      <w:r>
        <w:rPr>
          <w:rStyle w:val="26"/>
          <w:rFonts w:hint="eastAsia" w:ascii="黑体" w:hAnsi="黑体" w:eastAsia="黑体"/>
          <w:b w:val="0"/>
          <w:color w:val="auto"/>
          <w:sz w:val="44"/>
          <w:szCs w:val="44"/>
          <w:highlight w:val="none"/>
        </w:rPr>
        <w:t>词解释</w:t>
      </w:r>
      <w:bookmarkEnd w:id="66"/>
      <w:bookmarkEnd w:id="67"/>
      <w:bookmarkEnd w:id="68"/>
    </w:p>
    <w:p w14:paraId="5A8C0DF3">
      <w:pPr>
        <w:spacing w:line="600" w:lineRule="exact"/>
        <w:jc w:val="left"/>
        <w:rPr>
          <w:rFonts w:ascii="宋体"/>
          <w:b/>
          <w:color w:val="auto"/>
          <w:sz w:val="32"/>
          <w:szCs w:val="32"/>
          <w:highlight w:val="none"/>
        </w:rPr>
      </w:pPr>
    </w:p>
    <w:p w14:paraId="6A188C79">
      <w:pPr>
        <w:pStyle w:val="24"/>
        <w:snapToGrid w:val="0"/>
        <w:spacing w:line="560" w:lineRule="exact"/>
        <w:ind w:firstLine="640" w:firstLineChars="200"/>
        <w:outlineLvl w:val="1"/>
        <w:rPr>
          <w:rFonts w:hint="eastAsia" w:hAnsi="仿宋"/>
          <w:color w:val="auto"/>
          <w:sz w:val="32"/>
          <w:szCs w:val="32"/>
        </w:rPr>
      </w:pPr>
      <w:bookmarkStart w:id="69" w:name="_Toc27939"/>
      <w:r>
        <w:rPr>
          <w:rFonts w:hint="eastAsia" w:hAnsi="仿宋"/>
          <w:color w:val="auto"/>
          <w:sz w:val="32"/>
          <w:szCs w:val="32"/>
        </w:rPr>
        <w:t>1.财政拨款收入：指单位从同级财政部门取得的财政预算资金。</w:t>
      </w:r>
      <w:bookmarkEnd w:id="69"/>
    </w:p>
    <w:p w14:paraId="56E46E35">
      <w:pPr>
        <w:pStyle w:val="24"/>
        <w:snapToGrid w:val="0"/>
        <w:spacing w:line="560" w:lineRule="exact"/>
        <w:ind w:firstLine="640" w:firstLineChars="200"/>
        <w:outlineLvl w:val="1"/>
        <w:rPr>
          <w:rFonts w:hint="eastAsia" w:hAnsi="仿宋"/>
          <w:color w:val="auto"/>
          <w:sz w:val="32"/>
          <w:szCs w:val="32"/>
        </w:rPr>
      </w:pPr>
      <w:bookmarkStart w:id="70" w:name="_Toc29720"/>
      <w:r>
        <w:rPr>
          <w:rFonts w:hint="eastAsia" w:hAnsi="仿宋"/>
          <w:color w:val="auto"/>
          <w:sz w:val="32"/>
          <w:szCs w:val="32"/>
        </w:rPr>
        <w:t>2.事业收入：指事业单位开展专业业务活动及辅助活动取得的收入。</w:t>
      </w:r>
      <w:bookmarkEnd w:id="70"/>
    </w:p>
    <w:p w14:paraId="31AAA156">
      <w:pPr>
        <w:pStyle w:val="24"/>
        <w:snapToGrid w:val="0"/>
        <w:spacing w:line="560" w:lineRule="exact"/>
        <w:ind w:firstLine="640" w:firstLineChars="200"/>
        <w:outlineLvl w:val="2"/>
        <w:rPr>
          <w:rFonts w:hint="eastAsia" w:hAnsi="仿宋"/>
          <w:color w:val="auto"/>
          <w:sz w:val="32"/>
          <w:szCs w:val="32"/>
        </w:rPr>
      </w:pPr>
      <w:r>
        <w:rPr>
          <w:rFonts w:hint="eastAsia" w:hAnsi="仿宋"/>
          <w:color w:val="auto"/>
          <w:sz w:val="32"/>
          <w:szCs w:val="32"/>
        </w:rPr>
        <w:t>3.经营收入：指事业单位在专业业务活动及其辅助活动之外开展非独立核算经营活动取得的收入。</w:t>
      </w:r>
    </w:p>
    <w:p w14:paraId="780195B4">
      <w:pPr>
        <w:pStyle w:val="24"/>
        <w:snapToGrid w:val="0"/>
        <w:spacing w:line="560" w:lineRule="exact"/>
        <w:ind w:firstLine="640" w:firstLineChars="200"/>
        <w:outlineLvl w:val="1"/>
        <w:rPr>
          <w:rFonts w:hint="eastAsia" w:hAnsi="仿宋"/>
          <w:color w:val="auto"/>
          <w:sz w:val="32"/>
          <w:szCs w:val="32"/>
        </w:rPr>
      </w:pPr>
      <w:bookmarkStart w:id="71" w:name="_Toc15465"/>
      <w:r>
        <w:rPr>
          <w:rFonts w:hint="eastAsia" w:hAnsi="仿宋"/>
          <w:color w:val="auto"/>
          <w:sz w:val="32"/>
          <w:szCs w:val="32"/>
        </w:rPr>
        <w:t>4.其他收入：指单位取得的除上述收入以外的各项收入。主要是</w:t>
      </w:r>
      <w:r>
        <w:rPr>
          <w:rFonts w:hint="eastAsia" w:hAnsi="仿宋"/>
          <w:color w:val="auto"/>
          <w:sz w:val="32"/>
          <w:szCs w:val="32"/>
          <w:lang w:val="en-US" w:eastAsia="zh-CN"/>
        </w:rPr>
        <w:t>捐赠收入、利息收入</w:t>
      </w:r>
      <w:r>
        <w:rPr>
          <w:rFonts w:hint="eastAsia" w:hAnsi="仿宋"/>
          <w:color w:val="auto"/>
          <w:sz w:val="32"/>
          <w:szCs w:val="32"/>
        </w:rPr>
        <w:t>等。</w:t>
      </w:r>
      <w:bookmarkEnd w:id="71"/>
    </w:p>
    <w:p w14:paraId="21A44634">
      <w:pPr>
        <w:pStyle w:val="24"/>
        <w:snapToGrid w:val="0"/>
        <w:spacing w:line="560" w:lineRule="exact"/>
        <w:ind w:firstLine="640" w:firstLineChars="200"/>
        <w:outlineLvl w:val="2"/>
        <w:rPr>
          <w:rFonts w:hint="eastAsia" w:hAnsi="仿宋"/>
          <w:color w:val="auto"/>
          <w:sz w:val="32"/>
          <w:szCs w:val="32"/>
        </w:rPr>
      </w:pPr>
      <w:r>
        <w:rPr>
          <w:rFonts w:hint="eastAsia" w:hAnsi="仿宋"/>
          <w:color w:val="auto"/>
          <w:sz w:val="32"/>
          <w:szCs w:val="32"/>
        </w:rPr>
        <w:t>5.</w:t>
      </w:r>
      <w:r>
        <w:rPr>
          <w:rFonts w:hint="eastAsia" w:hAnsi="仿宋"/>
          <w:color w:val="auto"/>
          <w:sz w:val="32"/>
          <w:szCs w:val="32"/>
          <w:lang w:eastAsia="zh-CN"/>
        </w:rPr>
        <w:t>使用非财政拨款结余</w:t>
      </w:r>
      <w:r>
        <w:rPr>
          <w:rFonts w:hint="eastAsia" w:hAnsi="仿宋"/>
          <w:color w:val="auto"/>
          <w:sz w:val="32"/>
          <w:szCs w:val="32"/>
        </w:rPr>
        <w:t>：指事业单位</w:t>
      </w:r>
      <w:r>
        <w:rPr>
          <w:rFonts w:hint="eastAsia" w:hAnsi="仿宋"/>
          <w:color w:val="auto"/>
          <w:sz w:val="32"/>
          <w:szCs w:val="32"/>
          <w:lang w:eastAsia="zh-CN"/>
        </w:rPr>
        <w:t>使用以前年度积累的非财政拨款结余弥补当年收支差额的金额。</w:t>
      </w:r>
    </w:p>
    <w:p w14:paraId="5D8E72DC">
      <w:pPr>
        <w:pStyle w:val="24"/>
        <w:snapToGrid w:val="0"/>
        <w:spacing w:line="560" w:lineRule="exact"/>
        <w:ind w:firstLine="640" w:firstLineChars="200"/>
        <w:outlineLvl w:val="1"/>
        <w:rPr>
          <w:rFonts w:hint="eastAsia" w:hAnsi="仿宋"/>
          <w:color w:val="auto"/>
          <w:sz w:val="32"/>
          <w:szCs w:val="32"/>
        </w:rPr>
      </w:pPr>
      <w:bookmarkStart w:id="72" w:name="_Toc17752"/>
      <w:r>
        <w:rPr>
          <w:rFonts w:hint="eastAsia" w:hAnsi="仿宋"/>
          <w:color w:val="auto"/>
          <w:sz w:val="32"/>
          <w:szCs w:val="32"/>
        </w:rPr>
        <w:t>6.年初结转和结余：指以前年度尚未完成、结转到本年按有关规定继续使用的资金。</w:t>
      </w:r>
      <w:bookmarkEnd w:id="72"/>
    </w:p>
    <w:p w14:paraId="21BD9244">
      <w:pPr>
        <w:pStyle w:val="24"/>
        <w:snapToGrid w:val="0"/>
        <w:spacing w:line="560" w:lineRule="exact"/>
        <w:ind w:firstLine="640" w:firstLineChars="200"/>
        <w:outlineLvl w:val="2"/>
        <w:rPr>
          <w:rFonts w:hint="eastAsia" w:hAnsi="仿宋"/>
          <w:color w:val="auto"/>
          <w:sz w:val="32"/>
          <w:szCs w:val="32"/>
        </w:rPr>
      </w:pPr>
      <w:r>
        <w:rPr>
          <w:rFonts w:hint="eastAsia" w:hAnsi="仿宋"/>
          <w:color w:val="auto"/>
          <w:sz w:val="32"/>
          <w:szCs w:val="32"/>
        </w:rPr>
        <w:t>7.结余分配：指事业单位按照会计制度规定</w:t>
      </w:r>
      <w:r>
        <w:rPr>
          <w:rFonts w:hint="eastAsia" w:hAnsi="仿宋"/>
          <w:color w:val="auto"/>
          <w:sz w:val="32"/>
          <w:szCs w:val="32"/>
          <w:lang w:eastAsia="zh-CN"/>
        </w:rPr>
        <w:t>缴纳的所得税、提取的专用结余以及转入非财政拨款结余的金额</w:t>
      </w:r>
      <w:r>
        <w:rPr>
          <w:rFonts w:hint="eastAsia" w:hAnsi="仿宋"/>
          <w:color w:val="auto"/>
          <w:sz w:val="32"/>
          <w:szCs w:val="32"/>
        </w:rPr>
        <w:t>等。</w:t>
      </w:r>
    </w:p>
    <w:p w14:paraId="236D4A58">
      <w:pPr>
        <w:pStyle w:val="24"/>
        <w:snapToGrid w:val="0"/>
        <w:spacing w:line="560" w:lineRule="exact"/>
        <w:ind w:firstLine="640" w:firstLineChars="200"/>
        <w:outlineLvl w:val="1"/>
        <w:rPr>
          <w:rFonts w:hint="eastAsia" w:hAnsi="仿宋"/>
          <w:color w:val="auto"/>
          <w:sz w:val="32"/>
          <w:szCs w:val="32"/>
        </w:rPr>
      </w:pPr>
      <w:bookmarkStart w:id="73" w:name="_Toc22680"/>
      <w:r>
        <w:rPr>
          <w:rFonts w:hint="eastAsia" w:hAnsi="仿宋"/>
          <w:color w:val="auto"/>
          <w:sz w:val="32"/>
          <w:szCs w:val="32"/>
        </w:rPr>
        <w:t>8</w:t>
      </w:r>
      <w:r>
        <w:rPr>
          <w:rFonts w:hint="eastAsia" w:hAnsi="仿宋"/>
          <w:color w:val="auto"/>
          <w:sz w:val="32"/>
          <w:szCs w:val="32"/>
          <w:lang w:val="en-US" w:eastAsia="zh-CN"/>
        </w:rPr>
        <w:t>.</w:t>
      </w:r>
      <w:r>
        <w:rPr>
          <w:rFonts w:hint="eastAsia" w:hAnsi="仿宋"/>
          <w:color w:val="auto"/>
          <w:sz w:val="32"/>
          <w:szCs w:val="32"/>
        </w:rPr>
        <w:t>年末结转和结余：指单位按有关规定结转到下年或以后年度继续使用的资金。</w:t>
      </w:r>
      <w:bookmarkEnd w:id="73"/>
    </w:p>
    <w:p w14:paraId="41A2FFEF">
      <w:pPr>
        <w:pStyle w:val="24"/>
        <w:snapToGrid w:val="0"/>
        <w:spacing w:line="560" w:lineRule="exact"/>
        <w:ind w:firstLine="640" w:firstLineChars="200"/>
        <w:outlineLvl w:val="1"/>
        <w:rPr>
          <w:rFonts w:ascii="仿宋_GB2312" w:eastAsia="仿宋_GB2312"/>
          <w:color w:val="auto"/>
          <w:sz w:val="32"/>
          <w:szCs w:val="32"/>
          <w:highlight w:val="none"/>
        </w:rPr>
      </w:pPr>
      <w:bookmarkStart w:id="74" w:name="_Toc22946"/>
      <w:r>
        <w:rPr>
          <w:rFonts w:hint="eastAsia" w:hAnsi="仿宋"/>
          <w:color w:val="auto"/>
          <w:sz w:val="32"/>
          <w:szCs w:val="32"/>
        </w:rPr>
        <w:t>9.教育支出（类）普通教育（款）学前教育（项）:</w:t>
      </w:r>
      <w:r>
        <w:rPr>
          <w:rFonts w:hint="eastAsia" w:hAnsi="仿宋"/>
          <w:color w:val="auto"/>
          <w:sz w:val="32"/>
          <w:szCs w:val="32"/>
          <w:lang w:val="en-US" w:eastAsia="zh-CN"/>
        </w:rPr>
        <w:t>指</w:t>
      </w:r>
      <w:r>
        <w:rPr>
          <w:rFonts w:hint="eastAsia" w:hAnsi="仿宋"/>
          <w:color w:val="auto"/>
          <w:sz w:val="32"/>
          <w:szCs w:val="32"/>
        </w:rPr>
        <w:t>反映各部门举办的学前教育支出</w:t>
      </w:r>
      <w:r>
        <w:rPr>
          <w:rFonts w:hint="eastAsia" w:ascii="仿宋_GB2312" w:eastAsia="仿宋_GB2312"/>
          <w:color w:val="auto"/>
          <w:sz w:val="32"/>
          <w:szCs w:val="32"/>
        </w:rPr>
        <w:t>。</w:t>
      </w:r>
      <w:bookmarkEnd w:id="74"/>
    </w:p>
    <w:p w14:paraId="19DACAA3">
      <w:pPr>
        <w:pStyle w:val="24"/>
        <w:snapToGrid w:val="0"/>
        <w:spacing w:line="560" w:lineRule="exact"/>
        <w:ind w:firstLine="640" w:firstLineChars="200"/>
        <w:outlineLvl w:val="2"/>
        <w:rPr>
          <w:rFonts w:hint="eastAsia" w:hAnsi="仿宋"/>
          <w:color w:val="auto"/>
          <w:sz w:val="32"/>
          <w:szCs w:val="32"/>
        </w:rPr>
      </w:pPr>
      <w:r>
        <w:rPr>
          <w:rFonts w:ascii="仿宋_GB2312" w:eastAsia="仿宋_GB2312"/>
          <w:color w:val="auto"/>
          <w:sz w:val="32"/>
          <w:szCs w:val="32"/>
          <w:highlight w:val="none"/>
        </w:rPr>
        <w:t>10.</w:t>
      </w:r>
      <w:r>
        <w:rPr>
          <w:rFonts w:hint="eastAsia" w:hAnsi="仿宋"/>
          <w:color w:val="auto"/>
          <w:sz w:val="32"/>
          <w:szCs w:val="32"/>
        </w:rPr>
        <w:t>社会保障和就业支出（类）行政事业单位离退休（款）机关事业单位基本养老保险缴费支出（项）:指机关事业单位实施养老保险制度由单位缴纳的基本养老保险费支出。</w:t>
      </w:r>
    </w:p>
    <w:p w14:paraId="450C2C46">
      <w:pPr>
        <w:pStyle w:val="24"/>
        <w:snapToGrid w:val="0"/>
        <w:spacing w:line="560" w:lineRule="exact"/>
        <w:ind w:firstLine="640" w:firstLineChars="200"/>
        <w:outlineLvl w:val="2"/>
        <w:rPr>
          <w:rFonts w:hint="eastAsia" w:hAnsi="仿宋"/>
          <w:color w:val="auto"/>
          <w:sz w:val="32"/>
          <w:szCs w:val="32"/>
        </w:rPr>
      </w:pPr>
      <w:r>
        <w:rPr>
          <w:rFonts w:hint="eastAsia" w:hAnsi="仿宋"/>
          <w:color w:val="auto"/>
          <w:sz w:val="32"/>
          <w:szCs w:val="32"/>
          <w:lang w:val="en-US" w:eastAsia="zh-CN"/>
        </w:rPr>
        <w:t>11.</w:t>
      </w:r>
      <w:r>
        <w:rPr>
          <w:rFonts w:hint="eastAsia" w:hAnsi="仿宋"/>
          <w:color w:val="auto"/>
          <w:sz w:val="32"/>
          <w:szCs w:val="32"/>
        </w:rPr>
        <w:t>社会保障和就业支出（类）行政事业单位离退休（款）机关事业单位职业年金缴费支出（项）:指机关事业单位实施养老保险制度由单位实际缴纳的职业年金支出。</w:t>
      </w:r>
    </w:p>
    <w:p w14:paraId="793C8481">
      <w:pPr>
        <w:pStyle w:val="24"/>
        <w:snapToGrid w:val="0"/>
        <w:spacing w:line="560" w:lineRule="exact"/>
        <w:ind w:firstLine="640" w:firstLineChars="200"/>
        <w:outlineLvl w:val="2"/>
        <w:rPr>
          <w:rFonts w:hAnsi="仿宋"/>
          <w:color w:val="auto"/>
          <w:sz w:val="32"/>
          <w:szCs w:val="32"/>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hint="eastAsia" w:hAnsi="仿宋"/>
          <w:color w:val="auto"/>
          <w:sz w:val="32"/>
          <w:szCs w:val="32"/>
        </w:rPr>
        <w:t>医疗卫生与计划生育（类）行政事业单位医疗（款）事业单位医疗（项）:指财政部门安排的事业单位基本医疗保险缴费经费，未参加医疗保险的事业单位的公费医疗经费，按国家规定享受离休人员待遇的医疗经费。</w:t>
      </w:r>
    </w:p>
    <w:p w14:paraId="3E156E0F">
      <w:pPr>
        <w:ind w:firstLine="640" w:firstLineChars="200"/>
        <w:rPr>
          <w:rFonts w:hint="eastAsia" w:ascii="仿宋" w:hAnsi="仿宋" w:eastAsia="仿宋" w:cs="仿宋"/>
          <w:color w:val="auto"/>
          <w:kern w:val="0"/>
          <w:sz w:val="32"/>
          <w:szCs w:val="32"/>
          <w:lang w:val="en-US" w:eastAsia="zh-CN" w:bidi="ar-SA"/>
        </w:rPr>
      </w:pPr>
      <w:r>
        <w:rPr>
          <w:rFonts w:hint="eastAsia" w:ascii="仿宋_GB2312" w:eastAsia="仿宋_GB2312"/>
          <w:color w:val="auto"/>
          <w:sz w:val="32"/>
          <w:szCs w:val="32"/>
          <w:highlight w:val="none"/>
          <w:lang w:val="en-US" w:eastAsia="zh-CN"/>
        </w:rPr>
        <w:t>13.</w:t>
      </w:r>
      <w:r>
        <w:rPr>
          <w:rFonts w:hint="eastAsia" w:ascii="仿宋" w:hAnsi="仿宋" w:eastAsia="仿宋" w:cs="仿宋"/>
          <w:color w:val="auto"/>
          <w:kern w:val="0"/>
          <w:sz w:val="32"/>
          <w:szCs w:val="32"/>
          <w:lang w:val="en-US" w:eastAsia="zh-CN" w:bidi="ar-SA"/>
        </w:rPr>
        <w:t>住房保障支出（类）住房改革支出（款）住房公积金（项）:指行政事业单位按人力资源和社会保障部、财政部规定的基本工资和津贴补贴以及规定比例为职工缴纳的住房公积金。</w:t>
      </w:r>
    </w:p>
    <w:p w14:paraId="48B65B7C">
      <w:pPr>
        <w:pStyle w:val="2"/>
        <w:ind w:firstLine="640" w:firstLineChars="200"/>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14.其他支出（类）其他支出（款）其他支出（项）:指上述项目以外其他不能划分到具体功能科目中的支出项目。</w:t>
      </w:r>
    </w:p>
    <w:p w14:paraId="5E14E46E">
      <w:pPr>
        <w:pStyle w:val="2"/>
        <w:ind w:firstLine="640" w:firstLineChars="200"/>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15.基本支出：指为保障机构正常运转、完成日常工作任务而发生的人员支出和公用支出。</w:t>
      </w:r>
    </w:p>
    <w:p w14:paraId="0C8363B8">
      <w:pPr>
        <w:pStyle w:val="2"/>
        <w:ind w:firstLine="640" w:firstLineChars="200"/>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16.项目支出：指在基本支出之外为完成特定行政任务和事业发展目标所发生的支出。</w:t>
      </w:r>
    </w:p>
    <w:p w14:paraId="16443F7B">
      <w:pPr>
        <w:pStyle w:val="2"/>
        <w:ind w:firstLine="640" w:firstLineChars="200"/>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17.经营支出：指事业单位在专业业务活动及其辅助活动之外开展非独立核算经营活动发生的支出。</w:t>
      </w:r>
    </w:p>
    <w:p w14:paraId="0E3EEF09">
      <w:pPr>
        <w:pStyle w:val="24"/>
        <w:snapToGrid w:val="0"/>
        <w:spacing w:line="560" w:lineRule="exact"/>
        <w:ind w:firstLine="640" w:firstLineChars="200"/>
        <w:outlineLvl w:val="2"/>
        <w:rPr>
          <w:rFonts w:hAnsi="仿宋"/>
          <w:color w:val="auto"/>
          <w:sz w:val="32"/>
          <w:szCs w:val="32"/>
        </w:rPr>
      </w:pPr>
      <w:r>
        <w:rPr>
          <w:rFonts w:hint="eastAsia" w:hAnsi="仿宋"/>
          <w:color w:val="auto"/>
          <w:sz w:val="32"/>
          <w:szCs w:val="32"/>
          <w:lang w:val="en-US" w:eastAsia="zh-CN"/>
        </w:rPr>
        <w:t>18.</w:t>
      </w:r>
      <w:r>
        <w:rPr>
          <w:rFonts w:hint="eastAsia" w:hAnsi="仿宋"/>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B034075">
      <w:pPr>
        <w:pStyle w:val="2"/>
        <w:ind w:firstLine="640" w:firstLineChars="200"/>
        <w:rPr>
          <w:rFonts w:hint="default" w:hAnsi="仿宋" w:eastAsia="仿宋_GB2312"/>
          <w:color w:val="auto"/>
          <w:sz w:val="32"/>
          <w:szCs w:val="32"/>
          <w:lang w:val="en-US" w:eastAsia="zh-CN"/>
        </w:rPr>
      </w:pPr>
      <w:r>
        <w:rPr>
          <w:rFonts w:hint="eastAsia" w:ascii="仿宋" w:hAnsi="仿宋" w:eastAsia="仿宋" w:cs="仿宋"/>
          <w:color w:val="auto"/>
          <w:kern w:val="0"/>
          <w:sz w:val="32"/>
          <w:szCs w:val="32"/>
          <w:lang w:val="en-US" w:eastAsia="zh-CN" w:bidi="ar-SA"/>
        </w:rPr>
        <w:t>19.</w:t>
      </w:r>
      <w:r>
        <w:rPr>
          <w:rFonts w:hint="eastAsia" w:ascii="仿宋" w:hAnsi="仿宋" w:eastAsia="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74C0C5D">
      <w:pPr>
        <w:ind w:firstLine="640" w:firstLineChars="200"/>
        <w:rPr>
          <w:rFonts w:ascii="仿宋_GB2312" w:eastAsia="仿宋_GB2312"/>
          <w:color w:val="auto"/>
          <w:sz w:val="32"/>
          <w:szCs w:val="32"/>
          <w:highlight w:val="none"/>
        </w:rPr>
      </w:pPr>
    </w:p>
    <w:p w14:paraId="76F927A4">
      <w:pPr>
        <w:spacing w:line="600" w:lineRule="exact"/>
        <w:jc w:val="center"/>
        <w:outlineLvl w:val="9"/>
        <w:rPr>
          <w:rFonts w:hint="eastAsia" w:ascii="黑体" w:hAnsi="黑体" w:eastAsia="黑体"/>
          <w:color w:val="auto"/>
          <w:sz w:val="32"/>
          <w:szCs w:val="32"/>
          <w:highlight w:val="none"/>
        </w:rPr>
      </w:pPr>
      <w:bookmarkStart w:id="75" w:name="_Toc15396614"/>
      <w:bookmarkStart w:id="76" w:name="_Toc15377226"/>
    </w:p>
    <w:p w14:paraId="2B94D6DE">
      <w:pPr>
        <w:spacing w:line="600" w:lineRule="exact"/>
        <w:jc w:val="center"/>
        <w:outlineLvl w:val="9"/>
        <w:rPr>
          <w:rFonts w:hint="eastAsia" w:ascii="黑体" w:hAnsi="黑体" w:eastAsia="黑体"/>
          <w:color w:val="auto"/>
          <w:sz w:val="32"/>
          <w:szCs w:val="32"/>
          <w:highlight w:val="none"/>
        </w:rPr>
      </w:pPr>
    </w:p>
    <w:p w14:paraId="12820EC6">
      <w:pPr>
        <w:spacing w:line="600" w:lineRule="exact"/>
        <w:jc w:val="center"/>
        <w:outlineLvl w:val="9"/>
        <w:rPr>
          <w:rFonts w:hint="eastAsia" w:ascii="黑体" w:hAnsi="黑体" w:eastAsia="黑体"/>
          <w:color w:val="auto"/>
          <w:sz w:val="32"/>
          <w:szCs w:val="32"/>
          <w:highlight w:val="none"/>
        </w:rPr>
      </w:pPr>
    </w:p>
    <w:p w14:paraId="4BA81E49">
      <w:pPr>
        <w:spacing w:line="600" w:lineRule="exact"/>
        <w:jc w:val="center"/>
        <w:outlineLvl w:val="9"/>
        <w:rPr>
          <w:rFonts w:hint="eastAsia" w:ascii="黑体" w:hAnsi="黑体" w:eastAsia="黑体"/>
          <w:color w:val="auto"/>
          <w:sz w:val="32"/>
          <w:szCs w:val="32"/>
          <w:highlight w:val="none"/>
        </w:rPr>
      </w:pPr>
    </w:p>
    <w:p w14:paraId="77530474">
      <w:pPr>
        <w:spacing w:line="600" w:lineRule="exact"/>
        <w:jc w:val="center"/>
        <w:outlineLvl w:val="9"/>
        <w:rPr>
          <w:rFonts w:hint="eastAsia" w:ascii="黑体" w:hAnsi="黑体" w:eastAsia="黑体"/>
          <w:color w:val="auto"/>
          <w:sz w:val="32"/>
          <w:szCs w:val="32"/>
          <w:highlight w:val="none"/>
        </w:rPr>
      </w:pPr>
    </w:p>
    <w:p w14:paraId="171CC41D">
      <w:pPr>
        <w:spacing w:line="600" w:lineRule="exact"/>
        <w:jc w:val="center"/>
        <w:outlineLvl w:val="9"/>
        <w:rPr>
          <w:rFonts w:hint="eastAsia" w:ascii="黑体" w:hAnsi="黑体" w:eastAsia="黑体"/>
          <w:color w:val="auto"/>
          <w:sz w:val="32"/>
          <w:szCs w:val="32"/>
          <w:highlight w:val="none"/>
        </w:rPr>
      </w:pPr>
    </w:p>
    <w:p w14:paraId="1A8537FD">
      <w:pPr>
        <w:spacing w:line="600" w:lineRule="exact"/>
        <w:jc w:val="center"/>
        <w:outlineLvl w:val="9"/>
        <w:rPr>
          <w:rFonts w:hint="eastAsia" w:ascii="黑体" w:hAnsi="黑体" w:eastAsia="黑体"/>
          <w:color w:val="auto"/>
          <w:sz w:val="32"/>
          <w:szCs w:val="32"/>
          <w:highlight w:val="none"/>
        </w:rPr>
      </w:pPr>
    </w:p>
    <w:p w14:paraId="5396E11B">
      <w:pPr>
        <w:spacing w:line="600" w:lineRule="exact"/>
        <w:jc w:val="center"/>
        <w:outlineLvl w:val="9"/>
        <w:rPr>
          <w:rFonts w:hint="eastAsia" w:ascii="黑体" w:hAnsi="黑体" w:eastAsia="黑体"/>
          <w:color w:val="auto"/>
          <w:sz w:val="32"/>
          <w:szCs w:val="32"/>
          <w:highlight w:val="none"/>
        </w:rPr>
      </w:pPr>
    </w:p>
    <w:p w14:paraId="3824A7E0">
      <w:pPr>
        <w:spacing w:line="600" w:lineRule="exact"/>
        <w:jc w:val="center"/>
        <w:outlineLvl w:val="9"/>
        <w:rPr>
          <w:rFonts w:hint="eastAsia" w:ascii="黑体" w:hAnsi="黑体" w:eastAsia="黑体"/>
          <w:color w:val="auto"/>
          <w:sz w:val="32"/>
          <w:szCs w:val="32"/>
          <w:highlight w:val="none"/>
        </w:rPr>
      </w:pPr>
    </w:p>
    <w:p w14:paraId="145C527D">
      <w:pPr>
        <w:spacing w:line="600" w:lineRule="exact"/>
        <w:jc w:val="center"/>
        <w:outlineLvl w:val="9"/>
        <w:rPr>
          <w:rFonts w:hint="eastAsia" w:ascii="黑体" w:hAnsi="黑体" w:eastAsia="黑体"/>
          <w:color w:val="auto"/>
          <w:sz w:val="32"/>
          <w:szCs w:val="32"/>
          <w:highlight w:val="none"/>
        </w:rPr>
      </w:pPr>
    </w:p>
    <w:p w14:paraId="72F5318B">
      <w:pPr>
        <w:spacing w:line="600" w:lineRule="exact"/>
        <w:jc w:val="center"/>
        <w:outlineLvl w:val="9"/>
        <w:rPr>
          <w:rFonts w:hint="eastAsia" w:ascii="黑体" w:hAnsi="黑体" w:eastAsia="黑体"/>
          <w:color w:val="auto"/>
          <w:sz w:val="32"/>
          <w:szCs w:val="32"/>
          <w:highlight w:val="none"/>
        </w:rPr>
      </w:pPr>
    </w:p>
    <w:p w14:paraId="61171B31">
      <w:pPr>
        <w:pStyle w:val="2"/>
        <w:rPr>
          <w:rFonts w:hint="eastAsia" w:ascii="黑体" w:hAnsi="黑体" w:eastAsia="黑体"/>
          <w:color w:val="auto"/>
          <w:sz w:val="44"/>
          <w:szCs w:val="44"/>
          <w:highlight w:val="none"/>
        </w:rPr>
      </w:pPr>
    </w:p>
    <w:p w14:paraId="6FE105F3">
      <w:pPr>
        <w:numPr>
          <w:ilvl w:val="0"/>
          <w:numId w:val="3"/>
        </w:numPr>
        <w:spacing w:line="600" w:lineRule="exact"/>
        <w:ind w:left="0" w:leftChars="0" w:firstLine="660" w:firstLineChars="150"/>
        <w:jc w:val="center"/>
        <w:outlineLvl w:val="0"/>
        <w:rPr>
          <w:rStyle w:val="26"/>
          <w:rFonts w:hint="eastAsia" w:ascii="黑体" w:hAnsi="黑体" w:eastAsia="黑体"/>
          <w:b w:val="0"/>
          <w:color w:val="auto"/>
          <w:highlight w:val="none"/>
        </w:rPr>
      </w:pPr>
      <w:bookmarkStart w:id="77" w:name="_Toc5973"/>
      <w:r>
        <w:rPr>
          <w:rStyle w:val="26"/>
          <w:rFonts w:hint="eastAsia" w:ascii="黑体" w:hAnsi="黑体" w:eastAsia="黑体"/>
          <w:b w:val="0"/>
          <w:color w:val="auto"/>
          <w:highlight w:val="none"/>
        </w:rPr>
        <w:t>附件</w:t>
      </w:r>
      <w:bookmarkEnd w:id="75"/>
      <w:bookmarkEnd w:id="77"/>
    </w:p>
    <w:p w14:paraId="0AAE570A">
      <w:pPr>
        <w:pStyle w:val="2"/>
        <w:jc w:val="center"/>
        <w:rPr>
          <w:rFonts w:hint="eastAsia" w:hAnsi="Times New Roman" w:cs="Times New Roman"/>
          <w:sz w:val="32"/>
          <w:szCs w:val="32"/>
          <w:highlight w:val="none"/>
          <w:lang w:val="en-US" w:eastAsia="zh-CN"/>
        </w:rPr>
      </w:pPr>
      <w:r>
        <w:rPr>
          <w:rFonts w:hint="eastAsia" w:hAnsi="Times New Roman" w:cs="Times New Roman"/>
          <w:sz w:val="32"/>
          <w:szCs w:val="32"/>
          <w:highlight w:val="none"/>
          <w:lang w:val="en-US" w:eastAsia="zh-CN"/>
        </w:rPr>
        <w:t>部门预算项目支出绩效自评表（202</w:t>
      </w:r>
      <w:r>
        <w:rPr>
          <w:rFonts w:hint="eastAsia" w:cs="Times New Roman"/>
          <w:sz w:val="32"/>
          <w:szCs w:val="32"/>
          <w:highlight w:val="none"/>
          <w:lang w:val="en-US" w:eastAsia="zh-CN"/>
        </w:rPr>
        <w:t>3</w:t>
      </w:r>
      <w:r>
        <w:rPr>
          <w:rFonts w:hint="eastAsia" w:hAnsi="Times New Roman" w:cs="Times New Roman"/>
          <w:sz w:val="32"/>
          <w:szCs w:val="32"/>
          <w:highlight w:val="none"/>
          <w:lang w:val="en-US" w:eastAsia="zh-CN"/>
        </w:rPr>
        <w:t>年度）</w:t>
      </w:r>
    </w:p>
    <w:p w14:paraId="4E98F62B">
      <w:pPr>
        <w:pStyle w:val="2"/>
        <w:jc w:val="center"/>
        <w:rPr>
          <w:rFonts w:hint="eastAsia" w:hAnsi="Times New Roman" w:cs="Times New Roman"/>
          <w:sz w:val="32"/>
          <w:szCs w:val="32"/>
          <w:highlight w:val="none"/>
          <w:lang w:val="en-US" w:eastAsia="zh-CN"/>
        </w:rPr>
      </w:pPr>
    </w:p>
    <w:p w14:paraId="672BB81C">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b/>
          <w:bCs/>
          <w:color w:val="auto"/>
          <w:kern w:val="0"/>
          <w:sz w:val="40"/>
          <w:szCs w:val="44"/>
          <w:highlight w:val="none"/>
          <w:lang w:val="en-US" w:eastAsia="zh-CN"/>
        </w:rPr>
      </w:pPr>
      <w:r>
        <w:rPr>
          <w:rFonts w:hint="eastAsia" w:ascii="方正小标宋简体" w:hAnsi="宋体" w:eastAsia="方正小标宋简体"/>
          <w:b/>
          <w:bCs/>
          <w:color w:val="auto"/>
          <w:kern w:val="0"/>
          <w:sz w:val="40"/>
          <w:szCs w:val="44"/>
          <w:highlight w:val="none"/>
        </w:rPr>
        <w:t>202</w:t>
      </w:r>
      <w:r>
        <w:rPr>
          <w:rFonts w:hint="eastAsia" w:ascii="方正小标宋简体" w:hAnsi="宋体" w:eastAsia="方正小标宋简体"/>
          <w:b/>
          <w:bCs/>
          <w:color w:val="auto"/>
          <w:kern w:val="0"/>
          <w:sz w:val="40"/>
          <w:szCs w:val="44"/>
          <w:highlight w:val="none"/>
          <w:lang w:val="en-US" w:eastAsia="zh-CN"/>
        </w:rPr>
        <w:t>3</w:t>
      </w:r>
      <w:r>
        <w:rPr>
          <w:rFonts w:hint="eastAsia" w:ascii="方正小标宋简体" w:hAnsi="宋体" w:eastAsia="方正小标宋简体"/>
          <w:b/>
          <w:bCs/>
          <w:color w:val="auto"/>
          <w:kern w:val="0"/>
          <w:sz w:val="40"/>
          <w:szCs w:val="44"/>
          <w:highlight w:val="none"/>
        </w:rPr>
        <w:t>年</w:t>
      </w:r>
      <w:r>
        <w:rPr>
          <w:rFonts w:hint="eastAsia" w:ascii="方正小标宋简体" w:hAnsi="宋体" w:eastAsia="方正小标宋简体"/>
          <w:b/>
          <w:bCs/>
          <w:color w:val="auto"/>
          <w:kern w:val="0"/>
          <w:sz w:val="40"/>
          <w:szCs w:val="44"/>
          <w:highlight w:val="none"/>
          <w:lang w:val="en-US" w:eastAsia="zh-CN"/>
        </w:rPr>
        <w:t>广元市利州区三堆国凡幼儿园</w:t>
      </w:r>
    </w:p>
    <w:p w14:paraId="0993DCBB">
      <w:pPr>
        <w:keepNext w:val="0"/>
        <w:keepLines w:val="0"/>
        <w:pageBreakBefore w:val="0"/>
        <w:kinsoku/>
        <w:wordWrap/>
        <w:overflowPunct/>
        <w:topLinePunct w:val="0"/>
        <w:autoSpaceDE/>
        <w:autoSpaceDN/>
        <w:bidi w:val="0"/>
        <w:spacing w:line="572" w:lineRule="exact"/>
        <w:jc w:val="center"/>
        <w:textAlignment w:val="auto"/>
        <w:outlineLvl w:val="1"/>
        <w:rPr>
          <w:rFonts w:ascii="方正小标宋简体" w:hAnsi="宋体" w:eastAsia="方正小标宋简体"/>
          <w:b/>
          <w:bCs/>
          <w:color w:val="auto"/>
          <w:kern w:val="0"/>
          <w:sz w:val="40"/>
          <w:szCs w:val="44"/>
          <w:highlight w:val="none"/>
          <w:lang w:val="zh-CN"/>
        </w:rPr>
      </w:pPr>
      <w:bookmarkStart w:id="78" w:name="_Toc2107"/>
      <w:r>
        <w:rPr>
          <w:rFonts w:hint="eastAsia" w:ascii="方正小标宋简体" w:hAnsi="宋体" w:eastAsia="方正小标宋简体"/>
          <w:b/>
          <w:bCs/>
          <w:color w:val="auto"/>
          <w:kern w:val="0"/>
          <w:sz w:val="40"/>
          <w:szCs w:val="44"/>
          <w:highlight w:val="none"/>
        </w:rPr>
        <w:t>整体</w:t>
      </w:r>
      <w:r>
        <w:rPr>
          <w:rFonts w:hint="eastAsia" w:ascii="方正小标宋简体" w:hAnsi="宋体" w:eastAsia="方正小标宋简体"/>
          <w:b/>
          <w:bCs/>
          <w:color w:val="auto"/>
          <w:kern w:val="0"/>
          <w:sz w:val="40"/>
          <w:szCs w:val="44"/>
          <w:highlight w:val="none"/>
          <w:lang w:val="en-US" w:eastAsia="zh-CN"/>
        </w:rPr>
        <w:t>支出</w:t>
      </w:r>
      <w:r>
        <w:rPr>
          <w:rFonts w:hint="eastAsia" w:ascii="方正小标宋简体" w:hAnsi="宋体" w:eastAsia="方正小标宋简体"/>
          <w:b/>
          <w:bCs/>
          <w:color w:val="auto"/>
          <w:kern w:val="0"/>
          <w:sz w:val="40"/>
          <w:szCs w:val="44"/>
          <w:highlight w:val="none"/>
        </w:rPr>
        <w:t>绩效</w:t>
      </w:r>
      <w:r>
        <w:rPr>
          <w:rFonts w:hint="eastAsia" w:ascii="方正小标宋简体" w:hAnsi="宋体" w:eastAsia="方正小标宋简体"/>
          <w:b/>
          <w:bCs/>
          <w:color w:val="auto"/>
          <w:kern w:val="0"/>
          <w:sz w:val="40"/>
          <w:szCs w:val="44"/>
          <w:highlight w:val="none"/>
          <w:lang w:val="en-US" w:eastAsia="zh-CN"/>
        </w:rPr>
        <w:t>自</w:t>
      </w:r>
      <w:r>
        <w:rPr>
          <w:rFonts w:hint="eastAsia" w:ascii="方正小标宋简体" w:hAnsi="宋体" w:eastAsia="方正小标宋简体"/>
          <w:b/>
          <w:bCs/>
          <w:color w:val="auto"/>
          <w:kern w:val="0"/>
          <w:sz w:val="40"/>
          <w:szCs w:val="44"/>
          <w:highlight w:val="none"/>
        </w:rPr>
        <w:t>评报告</w:t>
      </w:r>
      <w:bookmarkEnd w:id="78"/>
    </w:p>
    <w:p w14:paraId="4A713686">
      <w:pPr>
        <w:keepNext w:val="0"/>
        <w:keepLines w:val="0"/>
        <w:pageBreakBefore w:val="0"/>
        <w:widowControl/>
        <w:kinsoku/>
        <w:wordWrap/>
        <w:overflowPunct/>
        <w:topLinePunct w:val="0"/>
        <w:autoSpaceDE/>
        <w:autoSpaceDN/>
        <w:bidi w:val="0"/>
        <w:adjustRightInd w:val="0"/>
        <w:snapToGrid w:val="0"/>
        <w:spacing w:line="572" w:lineRule="exact"/>
        <w:ind w:firstLine="480" w:firstLineChars="200"/>
        <w:contextualSpacing/>
        <w:jc w:val="left"/>
        <w:textAlignment w:val="auto"/>
        <w:rPr>
          <w:rFonts w:ascii="黑体" w:hAnsi="宋体" w:eastAsia="黑体" w:cs="宋体"/>
          <w:color w:val="auto"/>
          <w:kern w:val="0"/>
          <w:sz w:val="24"/>
          <w:szCs w:val="32"/>
          <w:highlight w:val="none"/>
          <w:shd w:val="clear" w:color="auto" w:fill="FFFFFF"/>
        </w:rPr>
      </w:pPr>
    </w:p>
    <w:p w14:paraId="6DF150C3">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640" w:firstLineChars="200"/>
        <w:contextualSpacing/>
        <w:jc w:val="left"/>
        <w:textAlignment w:val="auto"/>
        <w:outlineLvl w:val="1"/>
        <w:rPr>
          <w:rFonts w:hint="eastAsia" w:ascii="黑体" w:hAnsi="黑体" w:eastAsia="黑体" w:cs="黑体"/>
          <w:color w:val="000000" w:themeColor="text1"/>
          <w:kern w:val="0"/>
          <w:sz w:val="32"/>
          <w:szCs w:val="32"/>
          <w:lang w:val="zh-CN" w:eastAsia="zh-CN" w:bidi="ar-SA"/>
          <w14:textFill>
            <w14:solidFill>
              <w14:schemeClr w14:val="tx1"/>
            </w14:solidFill>
          </w14:textFill>
        </w:rPr>
      </w:pPr>
      <w:bookmarkStart w:id="79" w:name="_Toc12858"/>
      <w:r>
        <w:rPr>
          <w:rFonts w:hint="eastAsia" w:ascii="黑体" w:hAnsi="黑体" w:eastAsia="黑体" w:cs="黑体"/>
          <w:color w:val="000000" w:themeColor="text1"/>
          <w:kern w:val="0"/>
          <w:sz w:val="32"/>
          <w:szCs w:val="32"/>
          <w:lang w:val="zh-CN" w:eastAsia="zh-CN" w:bidi="ar-SA"/>
          <w14:textFill>
            <w14:solidFill>
              <w14:schemeClr w14:val="tx1"/>
            </w14:solidFill>
          </w14:textFill>
        </w:rPr>
        <w:t>部门（单位）基本情况</w:t>
      </w:r>
      <w:bookmarkEnd w:id="79"/>
    </w:p>
    <w:p w14:paraId="71860D9D">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楷体" w:hAnsi="楷体" w:eastAsia="楷体" w:cs="楷体"/>
          <w:color w:val="000000" w:themeColor="text1"/>
          <w:kern w:val="0"/>
          <w:sz w:val="32"/>
          <w:szCs w:val="32"/>
          <w:lang w:val="zh-CN" w:eastAsia="zh-CN" w:bidi="ar-SA"/>
          <w14:textFill>
            <w14:solidFill>
              <w14:schemeClr w14:val="tx1"/>
            </w14:solidFill>
          </w14:textFill>
        </w:rPr>
      </w:pPr>
      <w:r>
        <w:rPr>
          <w:rFonts w:hint="eastAsia" w:ascii="楷体" w:hAnsi="楷体" w:eastAsia="楷体" w:cs="楷体"/>
          <w:color w:val="000000" w:themeColor="text1"/>
          <w:kern w:val="0"/>
          <w:sz w:val="32"/>
          <w:szCs w:val="32"/>
          <w:lang w:val="zh-CN" w:eastAsia="zh-CN" w:bidi="ar-SA"/>
          <w14:textFill>
            <w14:solidFill>
              <w14:schemeClr w14:val="tx1"/>
            </w14:solidFill>
          </w14:textFill>
        </w:rPr>
        <w:t>机构组成</w:t>
      </w:r>
    </w:p>
    <w:p w14:paraId="719EE13F">
      <w:pPr>
        <w:keepNext w:val="0"/>
        <w:keepLines w:val="0"/>
        <w:pageBreakBefore w:val="0"/>
        <w:kinsoku/>
        <w:wordWrap/>
        <w:overflowPunct/>
        <w:topLinePunct w:val="0"/>
        <w:autoSpaceDE/>
        <w:autoSpaceDN/>
        <w:bidi w:val="0"/>
        <w:snapToGrid w:val="0"/>
        <w:spacing w:line="360" w:lineRule="auto"/>
        <w:ind w:firstLine="640" w:firstLineChars="200"/>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广元市利州区三堆国凡幼儿园为广元市利州区教育局下属二级预算单位，内设部门4个（办公室、财务室、园务室、安办室）。</w:t>
      </w:r>
    </w:p>
    <w:p w14:paraId="451772D8">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640" w:firstLineChars="200"/>
        <w:contextualSpacing/>
        <w:jc w:val="left"/>
        <w:textAlignment w:val="auto"/>
        <w:rPr>
          <w:rFonts w:hint="eastAsia" w:ascii="楷体" w:hAnsi="楷体" w:eastAsia="楷体" w:cs="楷体"/>
          <w:color w:val="000000" w:themeColor="text1"/>
          <w:kern w:val="0"/>
          <w:sz w:val="32"/>
          <w:szCs w:val="32"/>
          <w:lang w:val="zh-CN" w:eastAsia="zh-CN" w:bidi="ar-SA"/>
          <w14:textFill>
            <w14:solidFill>
              <w14:schemeClr w14:val="tx1"/>
            </w14:solidFill>
          </w14:textFill>
        </w:rPr>
      </w:pPr>
      <w:r>
        <w:rPr>
          <w:rFonts w:hint="eastAsia" w:ascii="楷体" w:hAnsi="楷体" w:eastAsia="楷体" w:cs="楷体"/>
          <w:color w:val="000000" w:themeColor="text1"/>
          <w:kern w:val="0"/>
          <w:sz w:val="32"/>
          <w:szCs w:val="32"/>
          <w:lang w:val="zh-CN" w:eastAsia="zh-CN" w:bidi="ar-SA"/>
          <w14:textFill>
            <w14:solidFill>
              <w14:schemeClr w14:val="tx1"/>
            </w14:solidFill>
          </w14:textFill>
        </w:rPr>
        <w:t>机构职能和人员概况</w:t>
      </w:r>
    </w:p>
    <w:p w14:paraId="0E94129C">
      <w:pPr>
        <w:pStyle w:val="13"/>
        <w:keepNext w:val="0"/>
        <w:keepLines w:val="0"/>
        <w:pageBreakBefore w:val="0"/>
        <w:widowControl w:val="0"/>
        <w:kinsoku/>
        <w:wordWrap/>
        <w:overflowPunct/>
        <w:topLinePunct w:val="0"/>
        <w:autoSpaceDE/>
        <w:autoSpaceDN/>
        <w:bidi w:val="0"/>
        <w:adjustRightInd/>
        <w:snapToGrid/>
        <w:spacing w:after="0" w:line="360" w:lineRule="auto"/>
        <w:ind w:leftChars="0"/>
        <w:textAlignment w:val="auto"/>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我园</w:t>
      </w: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总编制8名，其中行政编制0名,事业编制8名,机关工勤编制0名。在职人员总数</w:t>
      </w: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9</w:t>
      </w: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人（其中，教师管理中心</w:t>
      </w: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2</w:t>
      </w: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人），均为事业人员；社保统一管理退休人员1人。其主要职能如下：</w:t>
      </w:r>
    </w:p>
    <w:p w14:paraId="096A476E">
      <w:pPr>
        <w:pStyle w:val="13"/>
        <w:keepNext w:val="0"/>
        <w:keepLines w:val="0"/>
        <w:pageBreakBefore w:val="0"/>
        <w:widowControl w:val="0"/>
        <w:kinsoku/>
        <w:wordWrap/>
        <w:overflowPunct/>
        <w:topLinePunct w:val="0"/>
        <w:autoSpaceDE/>
        <w:autoSpaceDN/>
        <w:bidi w:val="0"/>
        <w:adjustRightInd/>
        <w:snapToGrid/>
        <w:spacing w:after="0" w:line="360" w:lineRule="auto"/>
        <w:ind w:leftChars="0"/>
        <w:textAlignment w:val="auto"/>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1.贯彻执行党和国家有关幼儿教育的方针、政策以及教育法规、规章，坚持正确的办园方向。</w:t>
      </w:r>
    </w:p>
    <w:p w14:paraId="0AACE697">
      <w:pPr>
        <w:pStyle w:val="13"/>
        <w:keepNext w:val="0"/>
        <w:keepLines w:val="0"/>
        <w:pageBreakBefore w:val="0"/>
        <w:widowControl w:val="0"/>
        <w:kinsoku/>
        <w:wordWrap/>
        <w:overflowPunct/>
        <w:topLinePunct w:val="0"/>
        <w:autoSpaceDE/>
        <w:autoSpaceDN/>
        <w:bidi w:val="0"/>
        <w:adjustRightInd/>
        <w:snapToGrid/>
        <w:spacing w:after="0" w:line="360" w:lineRule="auto"/>
        <w:ind w:leftChars="0"/>
        <w:textAlignment w:val="auto"/>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2.执行上级的指示和决议；贯彻执行《幼儿教育纲要》和《幼儿园工作规程》，深化改革，强化管理，使各项工作程序化，规范化，制度化，不断提高保教水平。</w:t>
      </w:r>
    </w:p>
    <w:p w14:paraId="2F8DDD05">
      <w:pPr>
        <w:pStyle w:val="13"/>
        <w:keepNext w:val="0"/>
        <w:keepLines w:val="0"/>
        <w:pageBreakBefore w:val="0"/>
        <w:widowControl w:val="0"/>
        <w:kinsoku/>
        <w:wordWrap/>
        <w:overflowPunct/>
        <w:topLinePunct w:val="0"/>
        <w:autoSpaceDE/>
        <w:autoSpaceDN/>
        <w:bidi w:val="0"/>
        <w:adjustRightInd/>
        <w:snapToGrid/>
        <w:spacing w:after="0" w:line="360" w:lineRule="auto"/>
        <w:ind w:leftChars="0"/>
        <w:textAlignment w:val="auto"/>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3.严格执行上级部门关于教育经费、教育拨款、教育基建的办法和方案；贯彻执行上级部门有关学生资助工作方针和政策，落实本园贫困家庭幼儿的资助工作。</w:t>
      </w:r>
    </w:p>
    <w:p w14:paraId="69267D6F">
      <w:pPr>
        <w:pStyle w:val="13"/>
        <w:keepNext w:val="0"/>
        <w:keepLines w:val="0"/>
        <w:pageBreakBefore w:val="0"/>
        <w:widowControl w:val="0"/>
        <w:kinsoku/>
        <w:wordWrap/>
        <w:overflowPunct/>
        <w:topLinePunct w:val="0"/>
        <w:autoSpaceDE/>
        <w:autoSpaceDN/>
        <w:bidi w:val="0"/>
        <w:adjustRightInd/>
        <w:snapToGrid/>
        <w:spacing w:after="0" w:line="360" w:lineRule="auto"/>
        <w:ind w:leftChars="0"/>
        <w:textAlignment w:val="auto"/>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4.实行保育和教育相结合的原则，对幼儿实施体、智、德、美等方面全面发展的教育，促进其身心和谐发展。为家长解除后顾之忧，热忱为家长服务。</w:t>
      </w:r>
    </w:p>
    <w:p w14:paraId="660C9DC3">
      <w:pPr>
        <w:pStyle w:val="13"/>
        <w:keepNext w:val="0"/>
        <w:keepLines w:val="0"/>
        <w:pageBreakBefore w:val="0"/>
        <w:widowControl w:val="0"/>
        <w:kinsoku/>
        <w:wordWrap/>
        <w:overflowPunct/>
        <w:topLinePunct w:val="0"/>
        <w:autoSpaceDE/>
        <w:autoSpaceDN/>
        <w:bidi w:val="0"/>
        <w:adjustRightInd/>
        <w:snapToGrid/>
        <w:spacing w:after="0" w:line="360" w:lineRule="auto"/>
        <w:ind w:leftChars="0"/>
        <w:textAlignment w:val="auto"/>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5.严格执行幼儿园教师资格证书制度；统筹规划幼儿园教师和管理人员队伍建设；负责幼儿园全体教师的继续教育和培训工作，加强幼儿园人才队伍建设。</w:t>
      </w:r>
    </w:p>
    <w:p w14:paraId="1B7778C7">
      <w:pPr>
        <w:pStyle w:val="13"/>
        <w:keepNext w:val="0"/>
        <w:keepLines w:val="0"/>
        <w:pageBreakBefore w:val="0"/>
        <w:widowControl w:val="0"/>
        <w:kinsoku/>
        <w:wordWrap/>
        <w:overflowPunct/>
        <w:topLinePunct w:val="0"/>
        <w:autoSpaceDE/>
        <w:autoSpaceDN/>
        <w:bidi w:val="0"/>
        <w:adjustRightInd/>
        <w:snapToGrid/>
        <w:spacing w:after="0" w:line="360" w:lineRule="auto"/>
        <w:ind w:leftChars="0"/>
        <w:textAlignment w:val="auto"/>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6.严格执行幼儿园安全、卫生保健制度，保证幼儿身心健康和生命安全。充分利用幼儿和社区的资源优势，面向家长开展多种形式的早期教育宣传、指导等服务，促进家庭教育质量的不断提高。</w:t>
      </w:r>
    </w:p>
    <w:p w14:paraId="2A0922E2">
      <w:pPr>
        <w:pStyle w:val="13"/>
        <w:keepNext w:val="0"/>
        <w:keepLines w:val="0"/>
        <w:pageBreakBefore w:val="0"/>
        <w:widowControl w:val="0"/>
        <w:kinsoku/>
        <w:wordWrap/>
        <w:overflowPunct/>
        <w:topLinePunct w:val="0"/>
        <w:autoSpaceDE/>
        <w:autoSpaceDN/>
        <w:bidi w:val="0"/>
        <w:adjustRightInd/>
        <w:snapToGrid/>
        <w:spacing w:after="0" w:line="360" w:lineRule="auto"/>
        <w:ind w:leftChars="0"/>
        <w:textAlignment w:val="auto"/>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7.以《幼儿园教育指导纲要》、《幼儿园工作规程》、《3-6岁儿童学习与发展指南》为依据，结合幼儿的年龄特点、发展经验和需要制定适合幼儿身心健康发展的教育活动。</w:t>
      </w:r>
    </w:p>
    <w:p w14:paraId="066C15FC">
      <w:pPr>
        <w:pStyle w:val="13"/>
        <w:keepNext w:val="0"/>
        <w:keepLines w:val="0"/>
        <w:pageBreakBefore w:val="0"/>
        <w:widowControl w:val="0"/>
        <w:kinsoku/>
        <w:wordWrap/>
        <w:overflowPunct/>
        <w:topLinePunct w:val="0"/>
        <w:autoSpaceDE/>
        <w:autoSpaceDN/>
        <w:bidi w:val="0"/>
        <w:adjustRightInd/>
        <w:snapToGrid/>
        <w:spacing w:after="0" w:line="360" w:lineRule="auto"/>
        <w:ind w:leftChars="0"/>
        <w:textAlignment w:val="auto"/>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8.尊重幼儿的人格尊严和基本权利，尊重幼儿身心发展的特点和规律，为幼儿提供健康、丰富的生活和活动环境。合理组织幼儿一日生活活动和其它活动，促进幼儿体智德美等和谐发展，全面实施素质教育。</w:t>
      </w:r>
    </w:p>
    <w:p w14:paraId="6DC1161F">
      <w:pPr>
        <w:pStyle w:val="13"/>
        <w:keepNext w:val="0"/>
        <w:keepLines w:val="0"/>
        <w:pageBreakBefore w:val="0"/>
        <w:widowControl w:val="0"/>
        <w:kinsoku/>
        <w:wordWrap/>
        <w:overflowPunct/>
        <w:topLinePunct w:val="0"/>
        <w:autoSpaceDE/>
        <w:autoSpaceDN/>
        <w:bidi w:val="0"/>
        <w:adjustRightInd/>
        <w:snapToGrid/>
        <w:spacing w:after="0" w:line="360" w:lineRule="auto"/>
        <w:ind w:leftChars="0"/>
        <w:textAlignment w:val="auto"/>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9.贯彻幼儿教育法规、传播科学教育理念、开展教育科学研究、培训师资，推动三堆片区学前教育的良性发展。</w:t>
      </w:r>
    </w:p>
    <w:p w14:paraId="2D50B888">
      <w:pPr>
        <w:pStyle w:val="13"/>
        <w:keepNext w:val="0"/>
        <w:keepLines w:val="0"/>
        <w:pageBreakBefore w:val="0"/>
        <w:widowControl w:val="0"/>
        <w:kinsoku/>
        <w:wordWrap/>
        <w:overflowPunct/>
        <w:topLinePunct w:val="0"/>
        <w:autoSpaceDE/>
        <w:autoSpaceDN/>
        <w:bidi w:val="0"/>
        <w:adjustRightInd/>
        <w:snapToGrid/>
        <w:spacing w:after="0" w:line="360" w:lineRule="auto"/>
        <w:ind w:leftChars="0"/>
        <w:textAlignment w:val="auto"/>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10.贯彻执行国家语言文字工作的方针、政策，指导和组织推广普通话、推行规范汉字。</w:t>
      </w:r>
    </w:p>
    <w:p w14:paraId="06588FF4">
      <w:pPr>
        <w:pStyle w:val="13"/>
        <w:keepNext w:val="0"/>
        <w:keepLines w:val="0"/>
        <w:pageBreakBefore w:val="0"/>
        <w:widowControl w:val="0"/>
        <w:kinsoku/>
        <w:wordWrap/>
        <w:overflowPunct/>
        <w:topLinePunct w:val="0"/>
        <w:autoSpaceDE/>
        <w:autoSpaceDN/>
        <w:bidi w:val="0"/>
        <w:adjustRightInd/>
        <w:snapToGrid/>
        <w:spacing w:after="0" w:line="360" w:lineRule="auto"/>
        <w:ind w:leftChars="0"/>
        <w:textAlignment w:val="auto"/>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11.承办上级交办的其他事项。</w:t>
      </w:r>
    </w:p>
    <w:p w14:paraId="780772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contextualSpacing/>
        <w:jc w:val="left"/>
        <w:textAlignment w:val="auto"/>
        <w:rPr>
          <w:rFonts w:hint="eastAsia" w:ascii="楷体" w:hAnsi="楷体" w:eastAsia="楷体" w:cs="楷体"/>
          <w:color w:val="000000" w:themeColor="text1"/>
          <w:kern w:val="0"/>
          <w:sz w:val="32"/>
          <w:szCs w:val="32"/>
          <w:lang w:val="zh-CN" w:eastAsia="zh-CN" w:bidi="ar-SA"/>
          <w14:textFill>
            <w14:solidFill>
              <w14:schemeClr w14:val="tx1"/>
            </w14:solidFill>
          </w14:textFill>
        </w:rPr>
      </w:pPr>
      <w:r>
        <w:rPr>
          <w:rFonts w:hint="eastAsia" w:ascii="楷体" w:hAnsi="楷体" w:eastAsia="楷体" w:cs="楷体"/>
          <w:color w:val="000000" w:themeColor="text1"/>
          <w:kern w:val="0"/>
          <w:sz w:val="32"/>
          <w:szCs w:val="32"/>
          <w:lang w:val="zh-CN" w:eastAsia="zh-CN" w:bidi="ar-SA"/>
          <w14:textFill>
            <w14:solidFill>
              <w14:schemeClr w14:val="tx1"/>
            </w14:solidFill>
          </w14:textFill>
        </w:rPr>
        <w:t>（三）年度主要工作任务</w:t>
      </w:r>
    </w:p>
    <w:p w14:paraId="01AA9B22">
      <w:pPr>
        <w:pStyle w:val="32"/>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baseline"/>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2023年，我园坚持以习近平新时代中国特色社会主义思想为指导，认真贯彻落实党的二十大精神，紧紧围绕《幼儿园教育指导纲要》《3-6岁儿童学习与发展指南》，以“强内涵，创品质”为学校的发展目标，用思想汇聚力量，用制度规范管理，用考核激发动力，落实一日教育教学活动，促进幼儿体、智、德、美的全面发展。</w:t>
      </w:r>
    </w:p>
    <w:p w14:paraId="5006C3E2">
      <w:pPr>
        <w:pStyle w:val="32"/>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baseline"/>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1.抓党建工作，强化思想的引领作用。自2021年12月国凡党支部成立以来，由3名正式党员增加为4名正式党员，2名入党积极分子。以“抓党建促校建，抓党风促校风”为准则，紧紧围绕学校教育教学中心工作，认真履行党建“第一责任人”的职责。</w:t>
      </w:r>
    </w:p>
    <w:p w14:paraId="016EA992">
      <w:pPr>
        <w:pStyle w:val="32"/>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baseline"/>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2.抓后勤工作，筑牢安全防控的屏障。做优膳食管理；做实卫生保健；做好安全防卫。</w:t>
      </w:r>
    </w:p>
    <w:p w14:paraId="2B7DD360">
      <w:pPr>
        <w:pStyle w:val="32"/>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baseline"/>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3.抓基建工作，优化学校环境和设施。我园建园已10年，班级地板已破损多处；塑胶跑道多处损坏，存在很大安全隐患，争取资金，对幼儿园操场进行改造。</w:t>
      </w:r>
    </w:p>
    <w:p w14:paraId="641628E4">
      <w:pPr>
        <w:pStyle w:val="32"/>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baseline"/>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4.抓教育教学，夯实保教活动的品质；注重幼儿早操活动，持续开展主题教育，丰富保教研讨内容。抓家长工作，达到家园共育一致性，召开家长会，转变育儿观念；拓宽多渠道，多元化交流。</w:t>
      </w:r>
    </w:p>
    <w:p w14:paraId="36311FBA">
      <w:pPr>
        <w:pStyle w:val="32"/>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baseline"/>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5.守住“两个底线”。即守住不发生重大安全事故和责任事故底线，守住不发生重大群体性事件和不稳定事件底线。</w:t>
      </w:r>
    </w:p>
    <w:p w14:paraId="2038664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楷体" w:hAnsi="楷体" w:eastAsia="楷体" w:cs="楷体"/>
          <w:color w:val="000000" w:themeColor="text1"/>
          <w:kern w:val="0"/>
          <w:sz w:val="32"/>
          <w:szCs w:val="32"/>
          <w:lang w:val="zh-CN" w:eastAsia="zh-CN" w:bidi="ar-SA"/>
          <w14:textFill>
            <w14:solidFill>
              <w14:schemeClr w14:val="tx1"/>
            </w14:solidFill>
          </w14:textFill>
        </w:rPr>
      </w:pPr>
      <w:r>
        <w:rPr>
          <w:rFonts w:hint="eastAsia" w:ascii="楷体" w:hAnsi="楷体" w:eastAsia="楷体" w:cs="楷体"/>
          <w:color w:val="000000" w:themeColor="text1"/>
          <w:kern w:val="0"/>
          <w:sz w:val="32"/>
          <w:szCs w:val="32"/>
          <w:lang w:val="zh-CN" w:eastAsia="zh-CN" w:bidi="ar-SA"/>
          <w14:textFill>
            <w14:solidFill>
              <w14:schemeClr w14:val="tx1"/>
            </w14:solidFill>
          </w14:textFill>
        </w:rPr>
        <w:t>（四）部门整体支出绩效目标</w:t>
      </w:r>
    </w:p>
    <w:p w14:paraId="3810C82E">
      <w:pPr>
        <w:pStyle w:val="32"/>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baseline"/>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1.持续提升教学质量，狠抓内涵发展，突出保教保育，推动片区内学前教育发展。</w:t>
      </w:r>
    </w:p>
    <w:p w14:paraId="1852DE97">
      <w:pPr>
        <w:pStyle w:val="33"/>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baseline"/>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2.全面加强党对教育工作的指导，坚持以“学习创新、民族团结、清正廉洁、勤政为民”为目标，持续加强领导班子建设，建立良好工作机制，夯实教育管理团队，优化教师队伍建设。</w:t>
      </w:r>
    </w:p>
    <w:p w14:paraId="35A2720C">
      <w:pPr>
        <w:keepNext w:val="0"/>
        <w:keepLines w:val="0"/>
        <w:pageBreakBefore w:val="0"/>
        <w:kinsoku/>
        <w:wordWrap/>
        <w:overflowPunct/>
        <w:topLinePunct w:val="0"/>
        <w:autoSpaceDE/>
        <w:autoSpaceDN/>
        <w:bidi w:val="0"/>
        <w:spacing w:line="360" w:lineRule="auto"/>
        <w:ind w:firstLine="640" w:firstLineChars="200"/>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3.筑牢安全防护屏障，加强食堂经费管理，抓好安全卫生，预防传染病。</w:t>
      </w:r>
    </w:p>
    <w:p w14:paraId="1FF990BF">
      <w:pPr>
        <w:pStyle w:val="32"/>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baseline"/>
        <w:rPr>
          <w:rFonts w:hint="default"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4.优化资金管理，继续树立过紧日子的思想，合理利用每一份资金，使资金用在刀刃上。</w:t>
      </w:r>
    </w:p>
    <w:p w14:paraId="184880E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contextualSpacing/>
        <w:jc w:val="left"/>
        <w:textAlignment w:val="auto"/>
        <w:outlineLvl w:val="1"/>
        <w:rPr>
          <w:rFonts w:hint="eastAsia" w:ascii="黑体" w:hAnsi="黑体" w:eastAsia="黑体" w:cs="黑体"/>
          <w:color w:val="000000" w:themeColor="text1"/>
          <w:kern w:val="0"/>
          <w:sz w:val="32"/>
          <w:szCs w:val="32"/>
          <w:lang w:val="en-US" w:eastAsia="zh-CN" w:bidi="ar-SA"/>
          <w14:textFill>
            <w14:solidFill>
              <w14:schemeClr w14:val="tx1"/>
            </w14:solidFill>
          </w14:textFill>
        </w:rPr>
      </w:pPr>
      <w:bookmarkStart w:id="80" w:name="_Toc3604"/>
      <w:r>
        <w:rPr>
          <w:rFonts w:hint="eastAsia" w:ascii="黑体" w:hAnsi="黑体" w:eastAsia="黑体" w:cs="黑体"/>
          <w:color w:val="000000" w:themeColor="text1"/>
          <w:kern w:val="0"/>
          <w:sz w:val="32"/>
          <w:szCs w:val="32"/>
          <w:lang w:val="en-US" w:eastAsia="zh-CN" w:bidi="ar-SA"/>
          <w14:textFill>
            <w14:solidFill>
              <w14:schemeClr w14:val="tx1"/>
            </w14:solidFill>
          </w14:textFill>
        </w:rPr>
        <w:t>二、部门资金收支情况</w:t>
      </w:r>
      <w:bookmarkEnd w:id="80"/>
    </w:p>
    <w:p w14:paraId="70AB10AB">
      <w:pPr>
        <w:keepNext w:val="0"/>
        <w:keepLines w:val="0"/>
        <w:pageBreakBefore w:val="0"/>
        <w:widowControl w:val="0"/>
        <w:kinsoku/>
        <w:wordWrap/>
        <w:overflowPunct/>
        <w:topLinePunct w:val="0"/>
        <w:autoSpaceDE/>
        <w:autoSpaceDN/>
        <w:bidi w:val="0"/>
        <w:adjustRightInd w:val="0"/>
        <w:snapToGrid w:val="0"/>
        <w:spacing w:line="360" w:lineRule="auto"/>
        <w:ind w:right="0" w:firstLine="640" w:firstLineChars="200"/>
        <w:contextualSpacing/>
        <w:jc w:val="left"/>
        <w:textAlignment w:val="auto"/>
        <w:rPr>
          <w:rFonts w:hint="eastAsia" w:ascii="楷体" w:hAnsi="楷体" w:eastAsia="楷体" w:cs="楷体"/>
          <w:color w:val="000000" w:themeColor="text1"/>
          <w:kern w:val="0"/>
          <w:sz w:val="32"/>
          <w:szCs w:val="32"/>
          <w:lang w:val="zh-CN" w:eastAsia="zh-CN" w:bidi="ar-SA"/>
          <w14:textFill>
            <w14:solidFill>
              <w14:schemeClr w14:val="tx1"/>
            </w14:solidFill>
          </w14:textFill>
        </w:rPr>
      </w:pPr>
      <w:r>
        <w:rPr>
          <w:rFonts w:hint="eastAsia" w:ascii="楷体" w:hAnsi="楷体" w:eastAsia="楷体" w:cs="楷体"/>
          <w:color w:val="000000" w:themeColor="text1"/>
          <w:kern w:val="0"/>
          <w:sz w:val="32"/>
          <w:szCs w:val="32"/>
          <w:lang w:val="zh-CN" w:eastAsia="zh-CN" w:bidi="ar-SA"/>
          <w14:textFill>
            <w14:solidFill>
              <w14:schemeClr w14:val="tx1"/>
            </w14:solidFill>
          </w14:textFill>
        </w:rPr>
        <w:t>（一）部门总体收支情况</w:t>
      </w:r>
    </w:p>
    <w:p w14:paraId="279464D8">
      <w:pPr>
        <w:keepNext w:val="0"/>
        <w:keepLines w:val="0"/>
        <w:pageBreakBefore w:val="0"/>
        <w:widowControl w:val="0"/>
        <w:kinsoku/>
        <w:wordWrap/>
        <w:overflowPunct/>
        <w:topLinePunct w:val="0"/>
        <w:autoSpaceDE/>
        <w:autoSpaceDN/>
        <w:bidi w:val="0"/>
        <w:adjustRightInd w:val="0"/>
        <w:snapToGrid w:val="0"/>
        <w:spacing w:line="360" w:lineRule="auto"/>
        <w:ind w:right="0" w:firstLine="640" w:firstLineChars="200"/>
        <w:contextualSpacing/>
        <w:jc w:val="left"/>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1.部门总体收入情况</w:t>
      </w:r>
    </w:p>
    <w:p w14:paraId="16FFBDA5">
      <w:pPr>
        <w:pStyle w:val="32"/>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baseline"/>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本年总收入为2451541.12元。其中，财政补助收入2345381.22元，占总收入的95.67%；其他收入106159.9元，占总收入的4.33%（利息收入：619.9元，捐赠收入：105540元）</w:t>
      </w:r>
    </w:p>
    <w:p w14:paraId="0C2FFD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640" w:firstLineChars="200"/>
        <w:contextualSpacing/>
        <w:jc w:val="left"/>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2.部门总体支出情况</w:t>
      </w:r>
    </w:p>
    <w:p w14:paraId="15BE89A4">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全年总支出2451541.12元。基本支出1857828.22元，占总支出75.78%，其中人员经费：1236850.08元，占比66.57%；日常公用经费：620978.14元，占比33.43%。项目支出：593712.90元，占总支出的24.22%。</w:t>
      </w:r>
    </w:p>
    <w:p w14:paraId="0E7A9C7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640" w:firstLineChars="200"/>
        <w:contextualSpacing/>
        <w:jc w:val="left"/>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3.部门总体结转结余情况</w:t>
      </w:r>
    </w:p>
    <w:p w14:paraId="6EF98D2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640" w:firstLineChars="200"/>
        <w:contextualSpacing/>
        <w:jc w:val="left"/>
        <w:textAlignment w:val="auto"/>
        <w:rPr>
          <w:rFonts w:hint="default"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无结转结余。</w:t>
      </w:r>
    </w:p>
    <w:p w14:paraId="1384B9E7">
      <w:pPr>
        <w:keepNext w:val="0"/>
        <w:keepLines w:val="0"/>
        <w:pageBreakBefore w:val="0"/>
        <w:widowControl w:val="0"/>
        <w:kinsoku/>
        <w:wordWrap/>
        <w:overflowPunct/>
        <w:topLinePunct w:val="0"/>
        <w:autoSpaceDE/>
        <w:autoSpaceDN/>
        <w:bidi w:val="0"/>
        <w:adjustRightInd w:val="0"/>
        <w:snapToGrid w:val="0"/>
        <w:spacing w:line="360" w:lineRule="auto"/>
        <w:ind w:right="0" w:firstLine="640" w:firstLineChars="200"/>
        <w:contextualSpacing/>
        <w:jc w:val="left"/>
        <w:textAlignment w:val="auto"/>
        <w:rPr>
          <w:rFonts w:hint="eastAsia" w:ascii="楷体" w:hAnsi="楷体" w:eastAsia="楷体" w:cs="楷体"/>
          <w:color w:val="000000" w:themeColor="text1"/>
          <w:kern w:val="0"/>
          <w:sz w:val="32"/>
          <w:szCs w:val="32"/>
          <w:lang w:val="zh-CN" w:eastAsia="zh-CN" w:bidi="ar-SA"/>
          <w14:textFill>
            <w14:solidFill>
              <w14:schemeClr w14:val="tx1"/>
            </w14:solidFill>
          </w14:textFill>
        </w:rPr>
      </w:pPr>
      <w:r>
        <w:rPr>
          <w:rFonts w:hint="eastAsia" w:ascii="楷体" w:hAnsi="楷体" w:eastAsia="楷体" w:cs="楷体"/>
          <w:color w:val="000000" w:themeColor="text1"/>
          <w:kern w:val="0"/>
          <w:sz w:val="32"/>
          <w:szCs w:val="32"/>
          <w:lang w:val="zh-CN" w:eastAsia="zh-CN" w:bidi="ar-SA"/>
          <w14:textFill>
            <w14:solidFill>
              <w14:schemeClr w14:val="tx1"/>
            </w14:solidFill>
          </w14:textFill>
        </w:rPr>
        <w:t>（二）部门财政拨款收支情况</w:t>
      </w:r>
    </w:p>
    <w:p w14:paraId="764957AD">
      <w:pPr>
        <w:keepNext w:val="0"/>
        <w:keepLines w:val="0"/>
        <w:pageBreakBefore w:val="0"/>
        <w:widowControl w:val="0"/>
        <w:kinsoku/>
        <w:wordWrap/>
        <w:overflowPunct/>
        <w:topLinePunct w:val="0"/>
        <w:autoSpaceDE/>
        <w:autoSpaceDN/>
        <w:bidi w:val="0"/>
        <w:adjustRightInd w:val="0"/>
        <w:snapToGrid w:val="0"/>
        <w:spacing w:line="360" w:lineRule="auto"/>
        <w:ind w:right="0" w:firstLine="640" w:firstLineChars="200"/>
        <w:contextualSpacing/>
        <w:jc w:val="left"/>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1.部门财政拨款收入情况</w:t>
      </w:r>
    </w:p>
    <w:p w14:paraId="4B29ED6C">
      <w:pPr>
        <w:pStyle w:val="32"/>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baseline"/>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本年财政拨款收入2345381.22元，其中，人员经费1236850.08元，公用经费514818.24元，项目593712.90元。</w:t>
      </w:r>
    </w:p>
    <w:p w14:paraId="3351A0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640" w:firstLineChars="200"/>
        <w:contextualSpacing/>
        <w:jc w:val="left"/>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2.部门财政拨款支出情况</w:t>
      </w:r>
    </w:p>
    <w:p w14:paraId="26390ED8">
      <w:pPr>
        <w:pStyle w:val="32"/>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baseline"/>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本年财政拨款支出2345381.22元，其中，人员经费1236850.08元，公用经费514818.24元，项目593712.90元。</w:t>
      </w:r>
    </w:p>
    <w:p w14:paraId="09F5B3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contextualSpacing/>
        <w:jc w:val="left"/>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4.部门财政拨款结转结余情况</w:t>
      </w:r>
    </w:p>
    <w:p w14:paraId="458D124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contextualSpacing/>
        <w:jc w:val="left"/>
        <w:textAlignment w:val="auto"/>
        <w:rPr>
          <w:rFonts w:hint="default"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本年无结转结余。</w:t>
      </w:r>
    </w:p>
    <w:p w14:paraId="5CED62CD">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firstLine="640" w:firstLineChars="200"/>
        <w:contextualSpacing/>
        <w:jc w:val="left"/>
        <w:textAlignment w:val="auto"/>
        <w:outlineLvl w:val="1"/>
        <w:rPr>
          <w:rFonts w:hint="eastAsia" w:ascii="方正公文小标宋" w:hAnsi="方正公文小标宋" w:eastAsia="方正公文小标宋" w:cs="方正公文小标宋"/>
          <w:color w:val="000000" w:themeColor="text1"/>
          <w:kern w:val="0"/>
          <w:sz w:val="32"/>
          <w:szCs w:val="32"/>
          <w:lang w:val="en-US" w:eastAsia="zh-CN" w:bidi="ar-SA"/>
          <w14:textFill>
            <w14:solidFill>
              <w14:schemeClr w14:val="tx1"/>
            </w14:solidFill>
          </w14:textFill>
        </w:rPr>
      </w:pPr>
      <w:bookmarkStart w:id="81" w:name="_Toc15669"/>
      <w:r>
        <w:rPr>
          <w:rFonts w:hint="eastAsia" w:ascii="方正公文小标宋" w:hAnsi="方正公文小标宋" w:eastAsia="方正公文小标宋" w:cs="方正公文小标宋"/>
          <w:color w:val="000000" w:themeColor="text1"/>
          <w:kern w:val="0"/>
          <w:sz w:val="32"/>
          <w:szCs w:val="32"/>
          <w:lang w:val="en-US" w:eastAsia="zh-CN" w:bidi="ar-SA"/>
          <w14:textFill>
            <w14:solidFill>
              <w14:schemeClr w14:val="tx1"/>
            </w14:solidFill>
          </w14:textFill>
        </w:rPr>
        <w:t>部门整体绩效分析</w:t>
      </w:r>
      <w:bookmarkEnd w:id="81"/>
    </w:p>
    <w:p w14:paraId="4C2CCD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640" w:firstLineChars="200"/>
        <w:contextualSpacing/>
        <w:jc w:val="left"/>
        <w:textAlignment w:val="auto"/>
        <w:rPr>
          <w:rFonts w:hint="eastAsia" w:ascii="楷体" w:hAnsi="楷体" w:eastAsia="楷体" w:cs="楷体"/>
          <w:color w:val="000000" w:themeColor="text1"/>
          <w:kern w:val="0"/>
          <w:sz w:val="32"/>
          <w:szCs w:val="32"/>
          <w:lang w:val="zh-CN" w:eastAsia="zh-CN" w:bidi="ar-SA"/>
          <w14:textFill>
            <w14:solidFill>
              <w14:schemeClr w14:val="tx1"/>
            </w14:solidFill>
          </w14:textFill>
        </w:rPr>
      </w:pPr>
      <w:r>
        <w:rPr>
          <w:rFonts w:hint="eastAsia" w:ascii="楷体" w:hAnsi="楷体" w:eastAsia="楷体" w:cs="楷体"/>
          <w:color w:val="000000" w:themeColor="text1"/>
          <w:kern w:val="0"/>
          <w:sz w:val="32"/>
          <w:szCs w:val="32"/>
          <w:lang w:val="zh-CN" w:eastAsia="zh-CN" w:bidi="ar-SA"/>
          <w14:textFill>
            <w14:solidFill>
              <w14:schemeClr w14:val="tx1"/>
            </w14:solidFill>
          </w14:textFill>
        </w:rPr>
        <w:t>（一）部门预算项目绩效分析</w:t>
      </w:r>
    </w:p>
    <w:p w14:paraId="4E1D21A5">
      <w:pPr>
        <w:keepNext w:val="0"/>
        <w:keepLines w:val="0"/>
        <w:pageBreakBefore w:val="0"/>
        <w:widowControl/>
        <w:kinsoku/>
        <w:wordWrap/>
        <w:overflowPunct/>
        <w:topLinePunct w:val="0"/>
        <w:autoSpaceDE/>
        <w:autoSpaceDN/>
        <w:bidi w:val="0"/>
        <w:adjustRightInd w:val="0"/>
        <w:snapToGrid w:val="0"/>
        <w:spacing w:line="360" w:lineRule="auto"/>
        <w:ind w:leftChars="0" w:firstLine="640" w:firstLineChars="200"/>
        <w:contextualSpacing/>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人员类、运转类以及特定目标类</w:t>
      </w: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制定</w:t>
      </w: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情况</w:t>
      </w: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w:t>
      </w: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（1）部门绩效目标充分考虑到各项资金的使用内容、范围、方向和预期效果，符合国民经济和社会发展规划，符合部门职能及事业发展规划。</w:t>
      </w:r>
    </w:p>
    <w:p w14:paraId="639E70DB">
      <w:pPr>
        <w:keepNext w:val="0"/>
        <w:keepLines w:val="0"/>
        <w:pageBreakBefore w:val="0"/>
        <w:widowControl/>
        <w:kinsoku/>
        <w:wordWrap/>
        <w:overflowPunct/>
        <w:topLinePunct w:val="0"/>
        <w:autoSpaceDE/>
        <w:autoSpaceDN/>
        <w:bidi w:val="0"/>
        <w:adjustRightInd w:val="0"/>
        <w:snapToGrid w:val="0"/>
        <w:spacing w:line="360" w:lineRule="auto"/>
        <w:ind w:leftChars="0" w:firstLine="640" w:firstLineChars="200"/>
        <w:contextualSpacing/>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（2）部门绩效目标从数量、质量、成本、时效以及经济效益、社会效益、生态效益、可持续影响、满意度等方面进行了细化和定量表述，具有可衡量性。</w:t>
      </w:r>
    </w:p>
    <w:p w14:paraId="1A995744">
      <w:pPr>
        <w:keepNext w:val="0"/>
        <w:keepLines w:val="0"/>
        <w:pageBreakBefore w:val="0"/>
        <w:widowControl/>
        <w:kinsoku/>
        <w:wordWrap/>
        <w:overflowPunct/>
        <w:topLinePunct w:val="0"/>
        <w:autoSpaceDE/>
        <w:autoSpaceDN/>
        <w:bidi w:val="0"/>
        <w:adjustRightInd w:val="0"/>
        <w:snapToGrid w:val="0"/>
        <w:spacing w:line="360" w:lineRule="auto"/>
        <w:ind w:leftChars="0" w:firstLine="640" w:firstLineChars="200"/>
        <w:contextualSpacing/>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（3）绩效目标的设定经过了调查研究和科学论证，符合客观实际，能够在一定期限内如期实现。</w:t>
      </w:r>
    </w:p>
    <w:p w14:paraId="685AA78D">
      <w:pPr>
        <w:keepNext w:val="0"/>
        <w:keepLines w:val="0"/>
        <w:pageBreakBefore w:val="0"/>
        <w:widowControl/>
        <w:kinsoku/>
        <w:wordWrap/>
        <w:overflowPunct/>
        <w:topLinePunct w:val="0"/>
        <w:autoSpaceDE/>
        <w:autoSpaceDN/>
        <w:bidi w:val="0"/>
        <w:adjustRightInd w:val="0"/>
        <w:snapToGrid w:val="0"/>
        <w:spacing w:line="360" w:lineRule="auto"/>
        <w:ind w:leftChars="0" w:firstLine="640" w:firstLineChars="200"/>
        <w:contextualSpacing/>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（4）绩效目标相关指标设定与预算安排金额相对应，未超预算安排资金。</w:t>
      </w:r>
    </w:p>
    <w:p w14:paraId="67732F95">
      <w:pPr>
        <w:keepNext w:val="0"/>
        <w:keepLines w:val="0"/>
        <w:pageBreakBefore w:val="0"/>
        <w:widowControl/>
        <w:kinsoku/>
        <w:wordWrap/>
        <w:overflowPunct/>
        <w:topLinePunct w:val="0"/>
        <w:autoSpaceDE/>
        <w:autoSpaceDN/>
        <w:bidi w:val="0"/>
        <w:adjustRightInd w:val="0"/>
        <w:snapToGrid w:val="0"/>
        <w:spacing w:line="360" w:lineRule="auto"/>
        <w:ind w:leftChars="0" w:firstLine="640" w:firstLineChars="200"/>
        <w:contextualSpacing/>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人员类、运转类以及特定目标类支出控制情况</w:t>
      </w: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w:t>
      </w: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基本支出主要用于日常工作运转开支，包括人员的工资福利支出、一般商品和服务支出、对个人和家庭的补助支出。人员经费的开支主要是按照区组织和人事部门审批执行，公用经费按照厉行节约的原则规范资金使用流程。</w:t>
      </w:r>
    </w:p>
    <w:p w14:paraId="0B1ABAD9">
      <w:pPr>
        <w:keepNext w:val="0"/>
        <w:keepLines w:val="0"/>
        <w:pageBreakBefore w:val="0"/>
        <w:widowControl/>
        <w:kinsoku/>
        <w:wordWrap/>
        <w:overflowPunct/>
        <w:topLinePunct w:val="0"/>
        <w:autoSpaceDE/>
        <w:autoSpaceDN/>
        <w:bidi w:val="0"/>
        <w:adjustRightInd w:val="0"/>
        <w:snapToGrid w:val="0"/>
        <w:spacing w:line="360" w:lineRule="auto"/>
        <w:ind w:leftChars="0" w:firstLine="640" w:firstLineChars="200"/>
        <w:contextualSpacing/>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人员类、运转类以及特定目标类执行情况</w:t>
      </w: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w:t>
      </w: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对于上级或区本级下达的各类专项预算支出，严格按照预算批复的开支范围和标准执行，不准擅自调项、扩项、缩项，更不准拆借、挪用、挤占和随意扣压；资金拨付动向，按不同专项资金的要求执行，不准任意改变。</w:t>
      </w:r>
    </w:p>
    <w:p w14:paraId="2551B09D">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640" w:firstLineChars="200"/>
        <w:contextualSpacing/>
        <w:jc w:val="left"/>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人员类、运转类以及特定目标类</w:t>
      </w: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预算完成情况</w:t>
      </w: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及违规记录情况</w:t>
      </w: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w:t>
      </w: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项目完成预算的100%，无结余，无</w:t>
      </w: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违规记录等情况。</w:t>
      </w:r>
    </w:p>
    <w:p w14:paraId="409A7EF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firstLine="640" w:firstLineChars="200"/>
        <w:contextualSpacing/>
        <w:jc w:val="left"/>
        <w:textAlignment w:val="auto"/>
        <w:rPr>
          <w:rFonts w:hint="eastAsia" w:ascii="楷体" w:hAnsi="楷体" w:eastAsia="楷体" w:cs="楷体"/>
          <w:color w:val="000000" w:themeColor="text1"/>
          <w:kern w:val="0"/>
          <w:sz w:val="32"/>
          <w:szCs w:val="32"/>
          <w:lang w:val="zh-CN" w:eastAsia="zh-CN" w:bidi="ar-SA"/>
          <w14:textFill>
            <w14:solidFill>
              <w14:schemeClr w14:val="tx1"/>
            </w14:solidFill>
          </w14:textFill>
        </w:rPr>
      </w:pPr>
      <w:r>
        <w:rPr>
          <w:rFonts w:hint="eastAsia" w:ascii="楷体" w:hAnsi="楷体" w:eastAsia="楷体" w:cs="楷体"/>
          <w:color w:val="000000" w:themeColor="text1"/>
          <w:kern w:val="0"/>
          <w:sz w:val="32"/>
          <w:szCs w:val="32"/>
          <w:lang w:val="zh-CN" w:eastAsia="zh-CN" w:bidi="ar-SA"/>
          <w14:textFill>
            <w14:solidFill>
              <w14:schemeClr w14:val="tx1"/>
            </w14:solidFill>
          </w14:textFill>
        </w:rPr>
        <w:t>（二）部门整体履职绩效分析</w:t>
      </w:r>
    </w:p>
    <w:p w14:paraId="5E9041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firstLine="640" w:firstLineChars="200"/>
        <w:contextualSpacing/>
        <w:jc w:val="left"/>
        <w:textAlignment w:val="auto"/>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围绕部门整体绩效目标完成情况和部门履职情况进行绩效分析。</w:t>
      </w:r>
    </w:p>
    <w:p w14:paraId="5154939C">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640" w:firstLineChars="200"/>
        <w:contextualSpacing/>
        <w:jc w:val="left"/>
        <w:textAlignment w:val="auto"/>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zh-CN" w:eastAsia="zh-CN" w:bidi="ar-SA"/>
          <w14:textFill>
            <w14:solidFill>
              <w14:schemeClr w14:val="tx1"/>
            </w14:solidFill>
          </w14:textFill>
        </w:rPr>
        <w:t>（</w:t>
      </w:r>
      <w:r>
        <w:rPr>
          <w:rFonts w:hint="eastAsia" w:ascii="楷体" w:hAnsi="楷体" w:eastAsia="楷体" w:cs="楷体"/>
          <w:color w:val="000000" w:themeColor="text1"/>
          <w:kern w:val="0"/>
          <w:sz w:val="32"/>
          <w:szCs w:val="32"/>
          <w:lang w:val="zh-CN" w:eastAsia="zh-CN" w:bidi="ar-SA"/>
          <w14:textFill>
            <w14:solidFill>
              <w14:schemeClr w14:val="tx1"/>
            </w14:solidFill>
          </w14:textFill>
        </w:rPr>
        <w:t>三）结果应用情况</w:t>
      </w:r>
    </w:p>
    <w:p w14:paraId="12996C55">
      <w:pPr>
        <w:keepNext w:val="0"/>
        <w:keepLines w:val="0"/>
        <w:pageBreakBefore w:val="0"/>
        <w:widowControl/>
        <w:kinsoku/>
        <w:wordWrap/>
        <w:overflowPunct/>
        <w:topLinePunct w:val="0"/>
        <w:autoSpaceDE/>
        <w:autoSpaceDN/>
        <w:bidi w:val="0"/>
        <w:adjustRightInd w:val="0"/>
        <w:snapToGrid w:val="0"/>
        <w:spacing w:line="360" w:lineRule="auto"/>
        <w:ind w:leftChars="0" w:firstLine="640" w:firstLineChars="200"/>
        <w:contextualSpacing/>
        <w:textAlignment w:val="auto"/>
        <w:rPr>
          <w:rFonts w:hint="eastAsia" w:ascii="仿宋" w:hAnsi="仿宋" w:eastAsia="仿宋" w:cs="Times New Roman"/>
          <w:color w:val="000000" w:themeColor="text1"/>
          <w:kern w:val="0"/>
          <w:sz w:val="32"/>
          <w:szCs w:val="32"/>
          <w:lang w:val="zh-CN"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包括绩效自评公开、评价结果整改和应用结果反馈等情况。</w:t>
      </w:r>
    </w:p>
    <w:p w14:paraId="247854F6">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640" w:firstLineChars="200"/>
        <w:contextualSpacing/>
        <w:jc w:val="left"/>
        <w:textAlignment w:val="auto"/>
        <w:rPr>
          <w:rFonts w:hint="eastAsia" w:ascii="楷体" w:hAnsi="楷体" w:eastAsia="楷体" w:cs="楷体"/>
          <w:color w:val="000000" w:themeColor="text1"/>
          <w:kern w:val="0"/>
          <w:sz w:val="32"/>
          <w:szCs w:val="32"/>
          <w:lang w:val="zh-CN" w:eastAsia="zh-CN" w:bidi="ar-SA"/>
          <w14:textFill>
            <w14:solidFill>
              <w14:schemeClr w14:val="tx1"/>
            </w14:solidFill>
          </w14:textFill>
        </w:rPr>
      </w:pPr>
      <w:r>
        <w:rPr>
          <w:rFonts w:hint="eastAsia" w:ascii="楷体" w:hAnsi="楷体" w:eastAsia="楷体" w:cs="楷体"/>
          <w:color w:val="000000" w:themeColor="text1"/>
          <w:kern w:val="0"/>
          <w:sz w:val="32"/>
          <w:szCs w:val="32"/>
          <w:lang w:val="zh-CN" w:eastAsia="zh-CN" w:bidi="ar-SA"/>
          <w14:textFill>
            <w14:solidFill>
              <w14:schemeClr w14:val="tx1"/>
            </w14:solidFill>
          </w14:textFill>
        </w:rPr>
        <w:t>（</w:t>
      </w:r>
      <w:r>
        <w:rPr>
          <w:rFonts w:hint="eastAsia" w:ascii="楷体" w:hAnsi="楷体" w:eastAsia="楷体" w:cs="楷体"/>
          <w:color w:val="000000" w:themeColor="text1"/>
          <w:kern w:val="0"/>
          <w:sz w:val="32"/>
          <w:szCs w:val="32"/>
          <w:lang w:val="en-US" w:eastAsia="zh-CN" w:bidi="ar-SA"/>
          <w14:textFill>
            <w14:solidFill>
              <w14:schemeClr w14:val="tx1"/>
            </w14:solidFill>
          </w14:textFill>
        </w:rPr>
        <w:t>四</w:t>
      </w:r>
      <w:r>
        <w:rPr>
          <w:rFonts w:hint="eastAsia" w:ascii="楷体" w:hAnsi="楷体" w:eastAsia="楷体" w:cs="楷体"/>
          <w:color w:val="000000" w:themeColor="text1"/>
          <w:kern w:val="0"/>
          <w:sz w:val="32"/>
          <w:szCs w:val="32"/>
          <w:lang w:val="zh-CN" w:eastAsia="zh-CN" w:bidi="ar-SA"/>
          <w14:textFill>
            <w14:solidFill>
              <w14:schemeClr w14:val="tx1"/>
            </w14:solidFill>
          </w14:textFill>
        </w:rPr>
        <w:t>）自评质量</w:t>
      </w:r>
    </w:p>
    <w:p w14:paraId="7CF17370">
      <w:pPr>
        <w:pStyle w:val="13"/>
        <w:keepNext w:val="0"/>
        <w:keepLines w:val="0"/>
        <w:pageBreakBefore w:val="0"/>
        <w:widowControl w:val="0"/>
        <w:numPr>
          <w:ilvl w:val="0"/>
          <w:numId w:val="0"/>
        </w:numPr>
        <w:kinsoku/>
        <w:wordWrap/>
        <w:overflowPunct/>
        <w:topLinePunct w:val="0"/>
        <w:autoSpaceDE/>
        <w:autoSpaceDN/>
        <w:bidi w:val="0"/>
        <w:spacing w:after="0" w:line="360" w:lineRule="auto"/>
        <w:ind w:leftChars="0" w:right="0" w:firstLine="640" w:firstLineChars="200"/>
        <w:jc w:val="left"/>
        <w:textAlignment w:val="auto"/>
        <w:rPr>
          <w:rFonts w:hint="default"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包括评价部门整体自评准确情况。</w:t>
      </w:r>
    </w:p>
    <w:p w14:paraId="154FAFDD">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640" w:firstLineChars="200"/>
        <w:contextualSpacing/>
        <w:jc w:val="left"/>
        <w:textAlignment w:val="auto"/>
        <w:outlineLvl w:val="1"/>
        <w:rPr>
          <w:rFonts w:hint="eastAsia" w:ascii="黑体" w:hAnsi="黑体" w:eastAsia="黑体" w:cs="黑体"/>
          <w:color w:val="000000" w:themeColor="text1"/>
          <w:kern w:val="0"/>
          <w:sz w:val="32"/>
          <w:szCs w:val="32"/>
          <w:lang w:val="en-US" w:eastAsia="zh-CN" w:bidi="ar-SA"/>
          <w14:textFill>
            <w14:solidFill>
              <w14:schemeClr w14:val="tx1"/>
            </w14:solidFill>
          </w14:textFill>
        </w:rPr>
      </w:pPr>
      <w:bookmarkStart w:id="82" w:name="_Toc14137"/>
      <w:r>
        <w:rPr>
          <w:rFonts w:hint="eastAsia" w:ascii="黑体" w:hAnsi="黑体" w:eastAsia="黑体" w:cs="黑体"/>
          <w:color w:val="000000" w:themeColor="text1"/>
          <w:kern w:val="0"/>
          <w:sz w:val="32"/>
          <w:szCs w:val="32"/>
          <w:lang w:val="en-US" w:eastAsia="zh-CN" w:bidi="ar-SA"/>
          <w14:textFill>
            <w14:solidFill>
              <w14:schemeClr w14:val="tx1"/>
            </w14:solidFill>
          </w14:textFill>
        </w:rPr>
        <w:t>四、评价结论及建议</w:t>
      </w:r>
      <w:bookmarkEnd w:id="82"/>
    </w:p>
    <w:p w14:paraId="6E511FA9">
      <w:pPr>
        <w:keepNext w:val="0"/>
        <w:keepLines w:val="0"/>
        <w:pageBreakBefore w:val="0"/>
        <w:widowControl/>
        <w:kinsoku/>
        <w:wordWrap/>
        <w:overflowPunct/>
        <w:topLinePunct w:val="0"/>
        <w:autoSpaceDE/>
        <w:autoSpaceDN/>
        <w:bidi w:val="0"/>
        <w:adjustRightInd w:val="0"/>
        <w:snapToGrid w:val="0"/>
        <w:spacing w:line="360" w:lineRule="auto"/>
        <w:ind w:leftChars="0" w:firstLine="640" w:firstLineChars="200"/>
        <w:contextualSpacing/>
        <w:textAlignment w:val="auto"/>
        <w:rPr>
          <w:rFonts w:hint="eastAsia" w:ascii="楷体" w:hAnsi="楷体" w:eastAsia="楷体" w:cs="楷体"/>
          <w:color w:val="000000" w:themeColor="text1"/>
          <w:kern w:val="0"/>
          <w:sz w:val="32"/>
          <w:szCs w:val="32"/>
          <w:lang w:val="zh-CN" w:eastAsia="zh-CN" w:bidi="ar-SA"/>
          <w14:textFill>
            <w14:solidFill>
              <w14:schemeClr w14:val="tx1"/>
            </w14:solidFill>
          </w14:textFill>
        </w:rPr>
      </w:pPr>
      <w:r>
        <w:rPr>
          <w:rFonts w:hint="eastAsia" w:ascii="楷体" w:hAnsi="楷体" w:eastAsia="楷体" w:cs="楷体"/>
          <w:color w:val="000000" w:themeColor="text1"/>
          <w:kern w:val="0"/>
          <w:sz w:val="32"/>
          <w:szCs w:val="32"/>
          <w:lang w:val="zh-CN" w:eastAsia="zh-CN" w:bidi="ar-SA"/>
          <w14:textFill>
            <w14:solidFill>
              <w14:schemeClr w14:val="tx1"/>
            </w14:solidFill>
          </w14:textFill>
        </w:rPr>
        <w:t>（一）评价结论</w:t>
      </w:r>
    </w:p>
    <w:p w14:paraId="669DE9EE">
      <w:pPr>
        <w:keepNext w:val="0"/>
        <w:keepLines w:val="0"/>
        <w:pageBreakBefore w:val="0"/>
        <w:widowControl/>
        <w:kinsoku/>
        <w:wordWrap/>
        <w:overflowPunct/>
        <w:topLinePunct w:val="0"/>
        <w:autoSpaceDE/>
        <w:autoSpaceDN/>
        <w:bidi w:val="0"/>
        <w:adjustRightInd w:val="0"/>
        <w:snapToGrid w:val="0"/>
        <w:spacing w:line="360" w:lineRule="auto"/>
        <w:ind w:leftChars="0" w:firstLine="640" w:firstLineChars="200"/>
        <w:contextualSpacing/>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w:t>
      </w:r>
    </w:p>
    <w:p w14:paraId="3C2D9A21">
      <w:pPr>
        <w:keepNext w:val="0"/>
        <w:keepLines w:val="0"/>
        <w:pageBreakBefore w:val="0"/>
        <w:widowControl/>
        <w:kinsoku/>
        <w:wordWrap/>
        <w:overflowPunct/>
        <w:topLinePunct w:val="0"/>
        <w:autoSpaceDE/>
        <w:autoSpaceDN/>
        <w:bidi w:val="0"/>
        <w:adjustRightInd w:val="0"/>
        <w:snapToGrid w:val="0"/>
        <w:spacing w:line="360" w:lineRule="auto"/>
        <w:ind w:leftChars="0" w:firstLine="640" w:firstLineChars="200"/>
        <w:contextualSpacing/>
        <w:textAlignment w:val="auto"/>
        <w:rPr>
          <w:rFonts w:hint="eastAsia" w:ascii="楷体" w:hAnsi="楷体" w:eastAsia="楷体" w:cs="楷体"/>
          <w:color w:val="000000" w:themeColor="text1"/>
          <w:kern w:val="0"/>
          <w:sz w:val="32"/>
          <w:szCs w:val="32"/>
          <w:lang w:val="zh-CN" w:eastAsia="zh-CN" w:bidi="ar-SA"/>
          <w14:textFill>
            <w14:solidFill>
              <w14:schemeClr w14:val="tx1"/>
            </w14:solidFill>
          </w14:textFill>
        </w:rPr>
      </w:pPr>
      <w:r>
        <w:rPr>
          <w:rFonts w:hint="eastAsia" w:ascii="楷体" w:hAnsi="楷体" w:eastAsia="楷体" w:cs="楷体"/>
          <w:color w:val="000000" w:themeColor="text1"/>
          <w:kern w:val="0"/>
          <w:sz w:val="32"/>
          <w:szCs w:val="32"/>
          <w:lang w:val="zh-CN" w:eastAsia="zh-CN" w:bidi="ar-SA"/>
          <w14:textFill>
            <w14:solidFill>
              <w14:schemeClr w14:val="tx1"/>
            </w14:solidFill>
          </w14:textFill>
        </w:rPr>
        <w:t>（二）存在问题及改进建议</w:t>
      </w:r>
    </w:p>
    <w:p w14:paraId="1C6C2431">
      <w:pPr>
        <w:keepNext w:val="0"/>
        <w:keepLines w:val="0"/>
        <w:pageBreakBefore w:val="0"/>
        <w:widowControl/>
        <w:kinsoku/>
        <w:wordWrap/>
        <w:overflowPunct/>
        <w:topLinePunct w:val="0"/>
        <w:autoSpaceDE/>
        <w:autoSpaceDN/>
        <w:bidi w:val="0"/>
        <w:adjustRightInd w:val="0"/>
        <w:snapToGrid w:val="0"/>
        <w:spacing w:line="360" w:lineRule="auto"/>
        <w:ind w:leftChars="0" w:firstLine="640" w:firstLineChars="200"/>
        <w:contextualSpacing/>
        <w:textAlignment w:val="auto"/>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1.进一步完善项目支出的支出标准，严格按项目和进度执行预算，增强预算的约束力和严肃性。</w:t>
      </w:r>
    </w:p>
    <w:p w14:paraId="6A56F27E">
      <w:pPr>
        <w:keepNext w:val="0"/>
        <w:keepLines w:val="0"/>
        <w:pageBreakBefore w:val="0"/>
        <w:widowControl/>
        <w:kinsoku/>
        <w:wordWrap/>
        <w:overflowPunct/>
        <w:topLinePunct w:val="0"/>
        <w:autoSpaceDE/>
        <w:autoSpaceDN/>
        <w:bidi w:val="0"/>
        <w:adjustRightInd w:val="0"/>
        <w:snapToGrid w:val="0"/>
        <w:spacing w:line="360" w:lineRule="auto"/>
        <w:ind w:leftChars="0" w:firstLine="640" w:firstLineChars="200"/>
        <w:contextualSpacing/>
        <w:textAlignment w:val="auto"/>
        <w:rPr>
          <w:rFonts w:hint="default"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2.落实预算执行分析，及时了解预算执行差异，合理调整、纠正预算执行偏差，切实提高部门预算收支管理水平。</w:t>
      </w:r>
    </w:p>
    <w:p w14:paraId="52D28640">
      <w:pPr>
        <w:widowControl/>
        <w:adjustRightInd w:val="0"/>
        <w:snapToGrid w:val="0"/>
        <w:spacing w:line="500" w:lineRule="exact"/>
        <w:ind w:firstLine="640" w:firstLineChars="200"/>
        <w:contextualSpacing/>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p>
    <w:p w14:paraId="57D08790">
      <w:pPr>
        <w:outlineLvl w:val="9"/>
        <w:rPr>
          <w:rFonts w:hint="eastAsia"/>
          <w:sz w:val="32"/>
          <w:szCs w:val="32"/>
        </w:rPr>
      </w:pPr>
      <w:bookmarkStart w:id="83" w:name="_Toc15396618"/>
    </w:p>
    <w:p w14:paraId="1D5479CB">
      <w:pPr>
        <w:spacing w:line="600" w:lineRule="exact"/>
        <w:jc w:val="center"/>
        <w:outlineLvl w:val="9"/>
        <w:rPr>
          <w:rFonts w:hint="eastAsia" w:ascii="黑体" w:hAnsi="黑体" w:eastAsia="黑体"/>
          <w:color w:val="auto"/>
          <w:sz w:val="44"/>
          <w:szCs w:val="44"/>
          <w:highlight w:val="none"/>
        </w:rPr>
      </w:pPr>
    </w:p>
    <w:p w14:paraId="0B6226EE">
      <w:pPr>
        <w:spacing w:line="600" w:lineRule="exact"/>
        <w:jc w:val="center"/>
        <w:outlineLvl w:val="9"/>
        <w:rPr>
          <w:rFonts w:hint="eastAsia" w:ascii="黑体" w:hAnsi="黑体" w:eastAsia="黑体"/>
          <w:color w:val="auto"/>
          <w:sz w:val="44"/>
          <w:szCs w:val="44"/>
          <w:highlight w:val="none"/>
        </w:rPr>
      </w:pPr>
    </w:p>
    <w:p w14:paraId="09220242">
      <w:pPr>
        <w:spacing w:line="600" w:lineRule="exact"/>
        <w:jc w:val="center"/>
        <w:outlineLvl w:val="9"/>
        <w:rPr>
          <w:rFonts w:hint="eastAsia" w:ascii="黑体" w:hAnsi="黑体" w:eastAsia="黑体"/>
          <w:color w:val="auto"/>
          <w:sz w:val="44"/>
          <w:szCs w:val="44"/>
          <w:highlight w:val="none"/>
        </w:rPr>
      </w:pPr>
    </w:p>
    <w:p w14:paraId="16B53503">
      <w:pPr>
        <w:spacing w:line="600" w:lineRule="exact"/>
        <w:jc w:val="center"/>
        <w:outlineLvl w:val="9"/>
        <w:rPr>
          <w:rFonts w:hint="eastAsia" w:ascii="黑体" w:hAnsi="黑体" w:eastAsia="黑体"/>
          <w:color w:val="auto"/>
          <w:sz w:val="44"/>
          <w:szCs w:val="44"/>
          <w:highlight w:val="none"/>
        </w:rPr>
      </w:pPr>
    </w:p>
    <w:p w14:paraId="1A9D0238">
      <w:pPr>
        <w:spacing w:line="600" w:lineRule="exact"/>
        <w:jc w:val="center"/>
        <w:outlineLvl w:val="0"/>
        <w:rPr>
          <w:rFonts w:hint="eastAsia" w:ascii="仿宋" w:hAnsi="仿宋" w:eastAsia="仿宋"/>
          <w:b w:val="0"/>
          <w:color w:val="auto"/>
          <w:highlight w:val="none"/>
        </w:rPr>
      </w:pPr>
      <w:bookmarkStart w:id="84" w:name="_Toc1187"/>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76"/>
      <w:bookmarkEnd w:id="83"/>
      <w:bookmarkEnd w:id="84"/>
      <w:bookmarkStart w:id="85" w:name="_Toc15396619"/>
    </w:p>
    <w:p w14:paraId="65D00783">
      <w:pPr>
        <w:pStyle w:val="4"/>
        <w:rPr>
          <w:rFonts w:ascii="仿宋" w:hAnsi="仿宋" w:eastAsia="仿宋"/>
          <w:color w:val="auto"/>
          <w:highlight w:val="none"/>
        </w:rPr>
      </w:pPr>
      <w:bookmarkStart w:id="86" w:name="_Toc13556"/>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85"/>
      <w:bookmarkEnd w:id="86"/>
    </w:p>
    <w:p w14:paraId="70CB37CF">
      <w:pPr>
        <w:pStyle w:val="4"/>
        <w:rPr>
          <w:rFonts w:ascii="仿宋" w:hAnsi="仿宋" w:eastAsia="仿宋"/>
          <w:color w:val="auto"/>
          <w:highlight w:val="none"/>
        </w:rPr>
      </w:pPr>
      <w:bookmarkStart w:id="87" w:name="_Toc15396620"/>
      <w:bookmarkStart w:id="88" w:name="_Toc14728"/>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87"/>
      <w:bookmarkEnd w:id="88"/>
    </w:p>
    <w:p w14:paraId="51993BA9">
      <w:pPr>
        <w:pStyle w:val="4"/>
        <w:rPr>
          <w:rFonts w:ascii="仿宋" w:hAnsi="仿宋" w:eastAsia="仿宋"/>
          <w:color w:val="auto"/>
          <w:highlight w:val="none"/>
        </w:rPr>
      </w:pPr>
      <w:bookmarkStart w:id="89" w:name="_Toc15396621"/>
      <w:bookmarkStart w:id="90" w:name="_Toc3498"/>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89"/>
      <w:bookmarkEnd w:id="90"/>
    </w:p>
    <w:p w14:paraId="267FCBFA">
      <w:pPr>
        <w:pStyle w:val="4"/>
        <w:rPr>
          <w:rFonts w:ascii="仿宋" w:hAnsi="仿宋" w:eastAsia="仿宋"/>
          <w:b w:val="0"/>
          <w:color w:val="auto"/>
          <w:highlight w:val="none"/>
        </w:rPr>
      </w:pPr>
      <w:bookmarkStart w:id="91" w:name="_Toc17497"/>
      <w:bookmarkStart w:id="92"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91"/>
      <w:bookmarkEnd w:id="92"/>
    </w:p>
    <w:p w14:paraId="08FAAD5B">
      <w:pPr>
        <w:pStyle w:val="4"/>
        <w:rPr>
          <w:rStyle w:val="27"/>
          <w:rFonts w:ascii="仿宋" w:hAnsi="仿宋" w:eastAsia="仿宋"/>
          <w:b w:val="0"/>
          <w:bCs w:val="0"/>
          <w:color w:val="auto"/>
          <w:highlight w:val="none"/>
        </w:rPr>
      </w:pPr>
      <w:bookmarkStart w:id="93" w:name="_Toc15613"/>
      <w:bookmarkStart w:id="94"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93"/>
      <w:bookmarkEnd w:id="94"/>
      <w:bookmarkStart w:id="95" w:name="_Toc15396624"/>
    </w:p>
    <w:p w14:paraId="641F6640">
      <w:pPr>
        <w:pStyle w:val="4"/>
        <w:rPr>
          <w:rFonts w:ascii="仿宋" w:hAnsi="仿宋" w:eastAsia="仿宋"/>
          <w:color w:val="auto"/>
          <w:highlight w:val="none"/>
        </w:rPr>
      </w:pPr>
      <w:bookmarkStart w:id="96" w:name="_Toc6954"/>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95"/>
      <w:bookmarkEnd w:id="96"/>
    </w:p>
    <w:p w14:paraId="545A5DBE">
      <w:pPr>
        <w:pStyle w:val="4"/>
        <w:rPr>
          <w:rStyle w:val="27"/>
          <w:rFonts w:hint="eastAsia" w:ascii="仿宋" w:hAnsi="仿宋" w:eastAsia="仿宋"/>
          <w:b w:val="0"/>
          <w:bCs w:val="0"/>
          <w:color w:val="auto"/>
          <w:highlight w:val="none"/>
        </w:rPr>
      </w:pPr>
      <w:bookmarkStart w:id="97" w:name="_Toc15396625"/>
      <w:bookmarkStart w:id="98" w:name="_Toc3524"/>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97"/>
      <w:bookmarkEnd w:id="98"/>
      <w:bookmarkStart w:id="99" w:name="_Toc15396626"/>
    </w:p>
    <w:p w14:paraId="10DAEB8D">
      <w:pPr>
        <w:pStyle w:val="4"/>
        <w:rPr>
          <w:rFonts w:ascii="仿宋" w:hAnsi="仿宋" w:eastAsia="仿宋"/>
          <w:color w:val="auto"/>
          <w:highlight w:val="none"/>
        </w:rPr>
      </w:pPr>
      <w:bookmarkStart w:id="100" w:name="_Toc7748"/>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99"/>
      <w:bookmarkEnd w:id="100"/>
    </w:p>
    <w:p w14:paraId="496EB6EF">
      <w:pPr>
        <w:pStyle w:val="4"/>
        <w:rPr>
          <w:rFonts w:ascii="仿宋" w:hAnsi="仿宋" w:eastAsia="仿宋"/>
          <w:color w:val="auto"/>
          <w:highlight w:val="none"/>
        </w:rPr>
      </w:pPr>
      <w:bookmarkStart w:id="101" w:name="_Toc15396627"/>
      <w:bookmarkStart w:id="102" w:name="_Toc17606"/>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101"/>
      <w:bookmarkEnd w:id="102"/>
    </w:p>
    <w:p w14:paraId="05199CD2">
      <w:pPr>
        <w:pStyle w:val="4"/>
        <w:rPr>
          <w:rFonts w:ascii="仿宋" w:hAnsi="仿宋" w:eastAsia="仿宋"/>
          <w:color w:val="auto"/>
          <w:highlight w:val="none"/>
        </w:rPr>
      </w:pPr>
      <w:bookmarkStart w:id="103" w:name="_Toc15396628"/>
      <w:bookmarkStart w:id="104" w:name="_Toc22125"/>
      <w:r>
        <w:rPr>
          <w:rStyle w:val="27"/>
          <w:rFonts w:hint="eastAsia" w:ascii="仿宋" w:hAnsi="仿宋" w:eastAsia="仿宋"/>
          <w:b w:val="0"/>
          <w:bCs w:val="0"/>
          <w:color w:val="auto"/>
          <w:highlight w:val="none"/>
        </w:rPr>
        <w:t>十、</w:t>
      </w:r>
      <w:bookmarkEnd w:id="103"/>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104"/>
    </w:p>
    <w:p w14:paraId="23B4D402">
      <w:pPr>
        <w:pStyle w:val="4"/>
        <w:rPr>
          <w:rFonts w:ascii="仿宋" w:hAnsi="仿宋" w:eastAsia="仿宋"/>
          <w:color w:val="auto"/>
          <w:highlight w:val="none"/>
        </w:rPr>
      </w:pPr>
      <w:bookmarkStart w:id="105" w:name="_Toc15396629"/>
      <w:bookmarkStart w:id="106" w:name="_Toc10852"/>
      <w:r>
        <w:rPr>
          <w:rStyle w:val="27"/>
          <w:rFonts w:hint="eastAsia" w:ascii="仿宋" w:hAnsi="仿宋" w:eastAsia="仿宋"/>
          <w:b w:val="0"/>
          <w:bCs w:val="0"/>
          <w:color w:val="auto"/>
          <w:highlight w:val="none"/>
        </w:rPr>
        <w:t>十一、</w:t>
      </w:r>
      <w:bookmarkEnd w:id="105"/>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106"/>
    </w:p>
    <w:p w14:paraId="2A7637BD">
      <w:pPr>
        <w:pStyle w:val="4"/>
        <w:rPr>
          <w:rFonts w:ascii="仿宋" w:hAnsi="仿宋" w:eastAsia="仿宋"/>
          <w:color w:val="auto"/>
          <w:highlight w:val="none"/>
        </w:rPr>
      </w:pPr>
      <w:bookmarkStart w:id="107" w:name="_Toc15396630"/>
      <w:bookmarkStart w:id="108" w:name="_Toc2662"/>
      <w:r>
        <w:rPr>
          <w:rStyle w:val="27"/>
          <w:rFonts w:hint="eastAsia" w:ascii="仿宋" w:hAnsi="仿宋" w:eastAsia="仿宋"/>
          <w:b w:val="0"/>
          <w:bCs w:val="0"/>
          <w:color w:val="auto"/>
          <w:highlight w:val="none"/>
        </w:rPr>
        <w:t>十二、</w:t>
      </w:r>
      <w:bookmarkEnd w:id="107"/>
      <w:r>
        <w:rPr>
          <w:rStyle w:val="27"/>
          <w:rFonts w:hint="eastAsia" w:ascii="仿宋" w:hAnsi="仿宋" w:eastAsia="仿宋"/>
          <w:b w:val="0"/>
          <w:bCs w:val="0"/>
          <w:color w:val="auto"/>
          <w:highlight w:val="none"/>
          <w:lang w:eastAsia="zh-CN"/>
        </w:rPr>
        <w:t>国有资本经营预算财政拨款支出决算表</w:t>
      </w:r>
      <w:bookmarkEnd w:id="108"/>
    </w:p>
    <w:p w14:paraId="4B6052CD">
      <w:pPr>
        <w:pStyle w:val="4"/>
        <w:rPr>
          <w:rFonts w:hint="eastAsia" w:eastAsia="仿宋"/>
          <w:color w:val="auto"/>
          <w:highlight w:val="none"/>
          <w:lang w:eastAsia="zh-CN"/>
        </w:rPr>
      </w:pPr>
      <w:bookmarkStart w:id="109" w:name="_Toc15396631"/>
      <w:bookmarkStart w:id="110" w:name="_Toc12959"/>
      <w:r>
        <w:rPr>
          <w:rStyle w:val="27"/>
          <w:rFonts w:hint="eastAsia" w:ascii="仿宋" w:hAnsi="仿宋" w:eastAsia="仿宋"/>
          <w:b w:val="0"/>
          <w:bCs w:val="0"/>
          <w:color w:val="auto"/>
          <w:highlight w:val="none"/>
        </w:rPr>
        <w:t>十三、</w:t>
      </w:r>
      <w:bookmarkEnd w:id="109"/>
      <w:r>
        <w:rPr>
          <w:rStyle w:val="27"/>
          <w:rFonts w:hint="eastAsia" w:ascii="仿宋" w:hAnsi="仿宋" w:eastAsia="仿宋"/>
          <w:b w:val="0"/>
          <w:bCs w:val="0"/>
          <w:color w:val="auto"/>
          <w:highlight w:val="none"/>
          <w:lang w:eastAsia="zh-CN"/>
        </w:rPr>
        <w:t>财政拨款“三公”经费支出决算表</w:t>
      </w:r>
      <w:bookmarkEnd w:id="110"/>
    </w:p>
    <w:sectPr>
      <w:footerReference r:id="rId10" w:type="firs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7AC739-6474-4EF2-A694-0178934AA4A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embedRegular r:id="rId2" w:fontKey="{65114CEB-625B-4E01-96CC-29F57C1B1CBD}"/>
  </w:font>
  <w:font w:name="仿宋_GB2312">
    <w:panose1 w:val="02010609030101010101"/>
    <w:charset w:val="86"/>
    <w:family w:val="modern"/>
    <w:pitch w:val="default"/>
    <w:sig w:usb0="00000001" w:usb1="080E0000" w:usb2="00000000" w:usb3="00000000" w:csb0="00040000" w:csb1="00000000"/>
    <w:embedRegular r:id="rId3" w:fontKey="{5CE2D8ED-F459-4F7D-925E-D0DB9F2F53A3}"/>
  </w:font>
  <w:font w:name="仿宋">
    <w:panose1 w:val="02010609060101010101"/>
    <w:charset w:val="86"/>
    <w:family w:val="modern"/>
    <w:pitch w:val="default"/>
    <w:sig w:usb0="800002BF" w:usb1="38CF7CFA" w:usb2="00000016" w:usb3="00000000" w:csb0="00040001" w:csb1="00000000"/>
    <w:embedRegular r:id="rId4" w:fontKey="{113787AB-753B-47F7-A3A0-C8783925E62F}"/>
  </w:font>
  <w:font w:name="方正小标宋简体">
    <w:panose1 w:val="02000000000000000000"/>
    <w:charset w:val="86"/>
    <w:family w:val="script"/>
    <w:pitch w:val="default"/>
    <w:sig w:usb0="00000001" w:usb1="08000000" w:usb2="00000000" w:usb3="00000000" w:csb0="00040000" w:csb1="00000000"/>
    <w:embedRegular r:id="rId5" w:fontKey="{A8EC663A-1EC0-4805-AD0F-588AD77C7D60}"/>
  </w:font>
  <w:font w:name="楷体">
    <w:panose1 w:val="02010609060101010101"/>
    <w:charset w:val="86"/>
    <w:family w:val="auto"/>
    <w:pitch w:val="default"/>
    <w:sig w:usb0="800002BF" w:usb1="38CF7CFA" w:usb2="00000016" w:usb3="00000000" w:csb0="00040001" w:csb1="00000000"/>
    <w:embedRegular r:id="rId6" w:fontKey="{BEEE3FFD-34EB-4DC5-9271-36892EA6DE16}"/>
  </w:font>
  <w:font w:name="方正公文小标宋">
    <w:panose1 w:val="02000500000000000000"/>
    <w:charset w:val="86"/>
    <w:family w:val="auto"/>
    <w:pitch w:val="default"/>
    <w:sig w:usb0="A00002BF" w:usb1="38CF7CFA" w:usb2="00000016" w:usb3="00000000" w:csb0="00040001" w:csb1="00000000"/>
    <w:embedRegular r:id="rId7" w:fontKey="{C82C0AA3-F18E-4979-BFFE-3FF01C860E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35387">
    <w:pPr>
      <w:pStyle w:val="9"/>
      <w:jc w:val="center"/>
    </w:pPr>
  </w:p>
  <w:p w14:paraId="52453DC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603CF">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DAA10">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D00F5">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49CA935B">
                              <w:pPr>
                                <w:pStyle w:val="9"/>
                                <w:jc w:val="center"/>
                              </w:pPr>
                              <w:r>
                                <w:fldChar w:fldCharType="begin"/>
                              </w:r>
                              <w:r>
                                <w:instrText xml:space="preserve">PAGE   \* MERGEFORMAT</w:instrText>
                              </w:r>
                              <w:r>
                                <w:fldChar w:fldCharType="separate"/>
                              </w:r>
                              <w:r>
                                <w:rPr>
                                  <w:lang w:val="zh-CN"/>
                                </w:rPr>
                                <w:t>8</w:t>
                              </w:r>
                              <w:r>
                                <w:fldChar w:fldCharType="end"/>
                              </w:r>
                            </w:p>
                          </w:sdtContent>
                        </w:sdt>
                        <w:p w14:paraId="095621BC">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14:paraId="49CA935B">
                        <w:pPr>
                          <w:pStyle w:val="9"/>
                          <w:jc w:val="center"/>
                        </w:pPr>
                        <w:r>
                          <w:fldChar w:fldCharType="begin"/>
                        </w:r>
                        <w:r>
                          <w:instrText xml:space="preserve">PAGE   \* MERGEFORMAT</w:instrText>
                        </w:r>
                        <w:r>
                          <w:fldChar w:fldCharType="separate"/>
                        </w:r>
                        <w:r>
                          <w:rPr>
                            <w:lang w:val="zh-CN"/>
                          </w:rPr>
                          <w:t>8</w:t>
                        </w:r>
                        <w:r>
                          <w:fldChar w:fldCharType="end"/>
                        </w:r>
                      </w:p>
                    </w:sdtContent>
                  </w:sdt>
                  <w:p w14:paraId="095621BC">
                    <w:pPr>
                      <w:pStyle w:val="2"/>
                    </w:pPr>
                  </w:p>
                </w:txbxContent>
              </v:textbox>
            </v:shape>
          </w:pict>
        </mc:Fallback>
      </mc:AlternateContent>
    </w:r>
  </w:p>
  <w:p w14:paraId="1722D29E">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BC82">
    <w:pPr>
      <w:pStyle w:val="9"/>
      <w:jc w:val="center"/>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A166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5BA1663">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40CE9">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325"/>
                          </w:sdtPr>
                          <w:sdtContent>
                            <w:p w14:paraId="159DD7BF">
                              <w:pPr>
                                <w:pStyle w:val="9"/>
                                <w:jc w:val="center"/>
                              </w:pPr>
                              <w:r>
                                <w:fldChar w:fldCharType="begin"/>
                              </w:r>
                              <w:r>
                                <w:instrText xml:space="preserve">PAGE   \* MERGEFORMAT</w:instrText>
                              </w:r>
                              <w:r>
                                <w:fldChar w:fldCharType="separate"/>
                              </w:r>
                              <w:r>
                                <w:rPr>
                                  <w:lang w:val="zh-CN"/>
                                </w:rPr>
                                <w:t>8</w:t>
                              </w:r>
                              <w:r>
                                <w:fldChar w:fldCharType="end"/>
                              </w:r>
                            </w:p>
                          </w:sdtContent>
                        </w:sdt>
                        <w:p w14:paraId="5A60A68F">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sdt>
                    <w:sdtPr>
                      <w:id w:val="147455325"/>
                    </w:sdtPr>
                    <w:sdtContent>
                      <w:p w14:paraId="159DD7BF">
                        <w:pPr>
                          <w:pStyle w:val="9"/>
                          <w:jc w:val="center"/>
                        </w:pPr>
                        <w:r>
                          <w:fldChar w:fldCharType="begin"/>
                        </w:r>
                        <w:r>
                          <w:instrText xml:space="preserve">PAGE   \* MERGEFORMAT</w:instrText>
                        </w:r>
                        <w:r>
                          <w:fldChar w:fldCharType="separate"/>
                        </w:r>
                        <w:r>
                          <w:rPr>
                            <w:lang w:val="zh-CN"/>
                          </w:rPr>
                          <w:t>8</w:t>
                        </w:r>
                        <w:r>
                          <w:fldChar w:fldCharType="end"/>
                        </w:r>
                      </w:p>
                    </w:sdtContent>
                  </w:sdt>
                  <w:p w14:paraId="5A60A68F">
                    <w:pPr>
                      <w:pStyle w:val="2"/>
                    </w:pPr>
                  </w:p>
                </w:txbxContent>
              </v:textbox>
            </v:shape>
          </w:pict>
        </mc:Fallback>
      </mc:AlternateContent>
    </w:r>
  </w:p>
  <w:p w14:paraId="1A9677DC">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7EBAA">
    <w:pPr>
      <w:pStyle w:val="9"/>
      <w:jc w:val="center"/>
      <w:rPr>
        <w:rFonts w:hint="eastAsia" w:eastAsia="宋体"/>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F29F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0AF29FC">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5F75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2536E"/>
    <w:multiLevelType w:val="singleLevel"/>
    <w:tmpl w:val="9E92536E"/>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NWUxYWJhOGM0ZTY3YzY1ZTZkMWM1MTliNmQ5ZDMifQ=="/>
    <w:docVar w:name="KSO_WPS_MARK_KEY" w:val="9a28c7e3-d895-4fc1-8ceb-308daf7eee05"/>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264E"/>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C790E"/>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95F78"/>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E5315A"/>
    <w:rsid w:val="01FC748B"/>
    <w:rsid w:val="025D354B"/>
    <w:rsid w:val="047A7F2D"/>
    <w:rsid w:val="053A62B5"/>
    <w:rsid w:val="06393AB4"/>
    <w:rsid w:val="0A2032A3"/>
    <w:rsid w:val="0B293A5F"/>
    <w:rsid w:val="0B8A37D8"/>
    <w:rsid w:val="0BBE299A"/>
    <w:rsid w:val="0F74188E"/>
    <w:rsid w:val="1008439E"/>
    <w:rsid w:val="10C055FF"/>
    <w:rsid w:val="10FF1B4C"/>
    <w:rsid w:val="118107EC"/>
    <w:rsid w:val="11DD6519"/>
    <w:rsid w:val="120F6090"/>
    <w:rsid w:val="152A0AFF"/>
    <w:rsid w:val="168D697F"/>
    <w:rsid w:val="16BB723D"/>
    <w:rsid w:val="18015F3F"/>
    <w:rsid w:val="18F356AC"/>
    <w:rsid w:val="1B5763C6"/>
    <w:rsid w:val="1BE20E8C"/>
    <w:rsid w:val="1BE8440E"/>
    <w:rsid w:val="1C511068"/>
    <w:rsid w:val="1D155CEE"/>
    <w:rsid w:val="1F932853"/>
    <w:rsid w:val="20F57F95"/>
    <w:rsid w:val="23F43793"/>
    <w:rsid w:val="240371BF"/>
    <w:rsid w:val="24061D69"/>
    <w:rsid w:val="25711CC6"/>
    <w:rsid w:val="25C741E6"/>
    <w:rsid w:val="27842671"/>
    <w:rsid w:val="28A03AE1"/>
    <w:rsid w:val="29FD04D3"/>
    <w:rsid w:val="2A8E1D50"/>
    <w:rsid w:val="2ABE7A3E"/>
    <w:rsid w:val="2B793FF1"/>
    <w:rsid w:val="2CA234A8"/>
    <w:rsid w:val="2EFA178C"/>
    <w:rsid w:val="2F82048D"/>
    <w:rsid w:val="30B46D73"/>
    <w:rsid w:val="319F7F4E"/>
    <w:rsid w:val="31AA23AC"/>
    <w:rsid w:val="32062E26"/>
    <w:rsid w:val="367D5C22"/>
    <w:rsid w:val="383D272C"/>
    <w:rsid w:val="3952082C"/>
    <w:rsid w:val="39AE70AB"/>
    <w:rsid w:val="3C0C0783"/>
    <w:rsid w:val="3D496685"/>
    <w:rsid w:val="3F9F3A96"/>
    <w:rsid w:val="4073149A"/>
    <w:rsid w:val="41861ABC"/>
    <w:rsid w:val="43C14D32"/>
    <w:rsid w:val="45943E2A"/>
    <w:rsid w:val="48BF60AB"/>
    <w:rsid w:val="493C27E9"/>
    <w:rsid w:val="496F39ED"/>
    <w:rsid w:val="49FF41D3"/>
    <w:rsid w:val="4BE068DB"/>
    <w:rsid w:val="4BF6002B"/>
    <w:rsid w:val="4ECE2238"/>
    <w:rsid w:val="51DB4B86"/>
    <w:rsid w:val="537D2167"/>
    <w:rsid w:val="546C32D0"/>
    <w:rsid w:val="55333C3E"/>
    <w:rsid w:val="56272BE3"/>
    <w:rsid w:val="56921A85"/>
    <w:rsid w:val="57435475"/>
    <w:rsid w:val="5CF91529"/>
    <w:rsid w:val="5D3D1206"/>
    <w:rsid w:val="5F2A5DDD"/>
    <w:rsid w:val="64CA39A1"/>
    <w:rsid w:val="64F15C9A"/>
    <w:rsid w:val="65110961"/>
    <w:rsid w:val="688B191C"/>
    <w:rsid w:val="69630ADE"/>
    <w:rsid w:val="6B205B5B"/>
    <w:rsid w:val="6B776EFF"/>
    <w:rsid w:val="6C4A05C8"/>
    <w:rsid w:val="6D3B1A89"/>
    <w:rsid w:val="70B23B50"/>
    <w:rsid w:val="71BF4EC2"/>
    <w:rsid w:val="72734D90"/>
    <w:rsid w:val="7412278C"/>
    <w:rsid w:val="742C1F3D"/>
    <w:rsid w:val="746338D5"/>
    <w:rsid w:val="74A83A61"/>
    <w:rsid w:val="75745E3C"/>
    <w:rsid w:val="784A0436"/>
    <w:rsid w:val="79976D40"/>
    <w:rsid w:val="79E7B28D"/>
    <w:rsid w:val="7BB250E3"/>
    <w:rsid w:val="7E945A34"/>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章标题"/>
    <w:basedOn w:val="1"/>
    <w:next w:val="33"/>
    <w:unhideWhenUsed/>
    <w:qFormat/>
    <w:uiPriority w:val="99"/>
    <w:pPr>
      <w:widowControl/>
      <w:spacing w:before="158" w:after="153" w:line="323" w:lineRule="atLeast"/>
      <w:ind w:right="-120"/>
      <w:jc w:val="center"/>
      <w:textAlignment w:val="baseline"/>
    </w:pPr>
    <w:rPr>
      <w:rFonts w:hint="eastAsia"/>
      <w:color w:val="FF0000"/>
      <w:sz w:val="18"/>
    </w:rPr>
  </w:style>
  <w:style w:type="paragraph" w:customStyle="1" w:styleId="33">
    <w:name w:val="节标题"/>
    <w:basedOn w:val="1"/>
    <w:next w:val="1"/>
    <w:unhideWhenUsed/>
    <w:qFormat/>
    <w:uiPriority w:val="0"/>
    <w:pPr>
      <w:widowControl/>
      <w:spacing w:line="289" w:lineRule="atLeast"/>
      <w:jc w:val="center"/>
      <w:textAlignment w:val="baseline"/>
    </w:pPr>
    <w:rPr>
      <w:rFonts w:hint="eastAsia"/>
      <w:color w:val="000000"/>
      <w:sz w:val="28"/>
    </w:rPr>
  </w:style>
  <w:style w:type="paragraph" w:customStyle="1" w:styleId="34">
    <w:name w:val="WPSOffice手动目录 1"/>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52605459057072"/>
          <c:y val="0.0381313131313131"/>
          <c:w val="0.802166349721575"/>
          <c:h val="0.847475195631506"/>
        </c:manualLayout>
      </c:layout>
      <c:barChart>
        <c:barDir val="col"/>
        <c:grouping val="clustered"/>
        <c:varyColors val="0"/>
        <c:ser>
          <c:idx val="2"/>
          <c:order val="2"/>
          <c:tx>
            <c:strRef>
              <c:f>Sheet1!$B$1</c:f>
              <c:strCache>
                <c:ptCount val="1"/>
                <c:pt idx="0">
                  <c:v>收、支决算总计（万元）</c:v>
                </c:pt>
              </c:strCache>
            </c:strRef>
          </c:tx>
          <c:invertIfNegative val="0"/>
          <c:dLbls>
            <c:dLbl>
              <c:idx val="0"/>
              <c:layout>
                <c:manualLayout>
                  <c:x val="-0.0409429280397022"/>
                  <c:y val="0.017676767676767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290.11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0837468982630273"/>
                      <c:h val="0.177272727272727"/>
                    </c:manualLayout>
                  </c15:layout>
                </c:ext>
              </c:extLst>
            </c:dLbl>
            <c:dLbl>
              <c:idx val="1"/>
              <c:layout>
                <c:manualLayout>
                  <c:x val="-0.0225806451612903"/>
                  <c:y val="0.012626262626262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245.15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General</c:formatCode>
                <c:ptCount val="2"/>
                <c:pt idx="0">
                  <c:v>290.11</c:v>
                </c:pt>
                <c:pt idx="1">
                  <c:v>245.15</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2636476426799"/>
          <c:y val="0.028409090909090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Pt>
            <c:idx val="3"/>
            <c:bubble3D val="0"/>
          </c:dPt>
          <c:dPt>
            <c:idx val="4"/>
            <c:bubble3D val="0"/>
            <c:spPr>
              <a:gradFill>
                <a:gsLst>
                  <a:gs pos="0">
                    <a:srgbClr val="56A0B9"/>
                  </a:gs>
                  <a:gs pos="100000">
                    <a:srgbClr val="5DBDC3"/>
                  </a:gs>
                </a:gsLst>
                <a:lin scaled="1"/>
              </a:gradFill>
            </c:spPr>
          </c:dPt>
          <c:dPt>
            <c:idx val="5"/>
            <c:bubble3D val="0"/>
          </c:dPt>
          <c:dPt>
            <c:idx val="6"/>
            <c:bubble3D val="0"/>
          </c:dPt>
          <c:dLbls>
            <c:dLbl>
              <c:idx val="0"/>
              <c:layout>
                <c:manualLayout>
                  <c:x val="-0.0652421221269577"/>
                  <c:y val="-0.23987487684288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一般公共预算财政拨款收入</a:t>
                    </a:r>
                    <a:r>
                      <a:rPr lang="en-US" altLang="zh-CN"/>
                      <a:t>, 234.54,95.67%</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manualLayout>
                      <c:w val="0.329280038526366"/>
                      <c:h val="0.160990712074303"/>
                    </c:manualLayout>
                  </c15:layout>
                </c:ext>
              </c:extLst>
            </c:dLbl>
            <c:dLbl>
              <c:idx val="1"/>
              <c:delete val="1"/>
            </c:dLbl>
            <c:dLbl>
              <c:idx val="2"/>
              <c:delete val="1"/>
            </c:dLbl>
            <c:dLbl>
              <c:idx val="3"/>
              <c:delete val="1"/>
            </c:dLbl>
            <c:dLbl>
              <c:idx val="4"/>
              <c:delete val="1"/>
            </c:dLbl>
            <c:dLbl>
              <c:idx val="5"/>
              <c:delete val="1"/>
            </c:dLbl>
            <c:dLbl>
              <c:idx val="6"/>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234.54</c:v>
                </c:pt>
                <c:pt idx="1">
                  <c:v>0</c:v>
                </c:pt>
                <c:pt idx="2">
                  <c:v>0</c:v>
                </c:pt>
                <c:pt idx="3">
                  <c:v>0</c:v>
                </c:pt>
                <c:pt idx="4">
                  <c:v>0</c:v>
                </c:pt>
                <c:pt idx="5">
                  <c:v>0</c:v>
                </c:pt>
                <c:pt idx="6">
                  <c:v>10.61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3255910410618"/>
          <c:y val="0.065543564095814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Pt>
            <c:idx val="4"/>
            <c:bubble3D val="0"/>
          </c:dPt>
          <c:dLbls>
            <c:dLbl>
              <c:idx val="0"/>
              <c:layout>
                <c:manualLayout>
                  <c:x val="-0.122067468246156"/>
                  <c:y val="-0.23354116435589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基本支出, </a:t>
                    </a:r>
                    <a:r>
                      <a:rPr lang="en-US" altLang="zh-CN"/>
                      <a:t>185.78</a:t>
                    </a:r>
                    <a:r>
                      <a:t>, </a:t>
                    </a:r>
                    <a:r>
                      <a:rPr lang="en-US" altLang="zh-CN"/>
                      <a:t>75.78</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979835682131915"/>
                  <c:y val="0.1887950565369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项目支出, </a:t>
                    </a:r>
                    <a:r>
                      <a:rPr lang="en-US" altLang="zh-CN"/>
                      <a:t>59.37</a:t>
                    </a:r>
                    <a:r>
                      <a:t>, </a:t>
                    </a:r>
                    <a:r>
                      <a:rPr lang="en-US" altLang="zh-CN"/>
                      <a:t>24.22</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225.76</c:v>
                </c:pt>
                <c:pt idx="1">
                  <c:v>64.35</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1998125302649"/>
          <c:y val="0.097424298325821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89700472937467"/>
          <c:y val="0.0392253003187056"/>
          <c:w val="0.802166349721575"/>
          <c:h val="0.847475195631506"/>
        </c:manualLayout>
      </c:layout>
      <c:barChart>
        <c:barDir val="col"/>
        <c:grouping val="clustered"/>
        <c:varyColors val="0"/>
        <c:ser>
          <c:idx val="2"/>
          <c:order val="2"/>
          <c:tx>
            <c:strRef>
              <c:f>Sheet1!$B$1</c:f>
              <c:strCache>
                <c:ptCount val="1"/>
                <c:pt idx="0">
                  <c:v>财政拨款收、支决算总计（万元）</c:v>
                </c:pt>
              </c:strCache>
            </c:strRef>
          </c:tx>
          <c:spPr>
            <a:solidFill>
              <a:schemeClr val="accent2">
                <a:lumMod val="40000"/>
                <a:lumOff val="60000"/>
              </a:schemeClr>
            </a:solidFill>
          </c:spPr>
          <c:invertIfNegative val="0"/>
          <c:dLbls>
            <c:dLbl>
              <c:idx val="0"/>
              <c:layout>
                <c:manualLayout>
                  <c:x val="0.0315291644771414"/>
                  <c:y val="0.016670752635449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228.87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73252758801892"/>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234.54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General</c:formatCode>
                <c:ptCount val="2"/>
                <c:pt idx="0">
                  <c:v>228.87</c:v>
                </c:pt>
                <c:pt idx="1">
                  <c:v>234.54</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116263794009459"/>
          <c:y val="0.0102966413336602"/>
          <c:w val="0.391093011035208"/>
          <c:h val="0.17185584702132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一般公共预算财政拨款支出（万元）</c:v>
                </c:pt>
              </c:strCache>
            </c:strRef>
          </c:tx>
          <c:invertIfNegative val="0"/>
          <c:dLbls>
            <c:dLbl>
              <c:idx val="1"/>
              <c:layout>
                <c:manualLayout>
                  <c:x val="0.00337746554985139"/>
                  <c:y val="0.024972557628979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General</c:formatCode>
                <c:ptCount val="2"/>
                <c:pt idx="0">
                  <c:v>228.87</c:v>
                </c:pt>
                <c:pt idx="1">
                  <c:v>234.54</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0987570926776547"/>
          <c:y val="0.0271679473106476"/>
          <c:w val="0.458119427181843"/>
          <c:h val="0.13419319429198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0415685620961155"/>
                  <c:y val="-0.26080386823813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121951219512195"/>
                  <c:y val="0.13966932163536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社会保障和就业支出, 13.5, 5.</a:t>
                    </a:r>
                    <a:r>
                      <a:rPr lang="en-US" altLang="zh-CN"/>
                      <a:t>8</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217914198310507"/>
                  <c:y val="0"/>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卫生健康支出, </a:t>
                    </a:r>
                    <a:r>
                      <a:rPr lang="en-US" altLang="zh-CN"/>
                      <a:t>482</a:t>
                    </a:r>
                    <a:r>
                      <a:t>,</a:t>
                    </a:r>
                    <a:r>
                      <a:rPr lang="en-US" altLang="zh-CN"/>
                      <a:t>2.06</a:t>
                    </a:r>
                    <a:r>
                      <a:t>%</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6508945604556"/>
                  <c:y val="0.024721878862793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住房保障支出, 9.62, 4.</a:t>
                    </a:r>
                    <a:r>
                      <a:rPr lang="en-US" altLang="zh-CN"/>
                      <a:t>05</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206.6</c:v>
                </c:pt>
                <c:pt idx="1">
                  <c:v>13.5</c:v>
                </c:pt>
                <c:pt idx="2">
                  <c:v>4.82</c:v>
                </c:pt>
                <c:pt idx="3">
                  <c:v>9.62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7162</Words>
  <Characters>7734</Characters>
  <Lines>61</Lines>
  <Paragraphs>17</Paragraphs>
  <TotalTime>1</TotalTime>
  <ScaleCrop>false</ScaleCrop>
  <LinksUpToDate>false</LinksUpToDate>
  <CharactersWithSpaces>7850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企业用户_271171727</cp:lastModifiedBy>
  <cp:lastPrinted>2023-07-31T02:35:00Z</cp:lastPrinted>
  <dcterms:modified xsi:type="dcterms:W3CDTF">2024-10-13T08:08:15Z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41C92468AF0845D7A21C83FA6DB1CAC4_12</vt:lpwstr>
  </property>
</Properties>
</file>