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FC6E">
      <w:pPr>
        <w:spacing w:line="600" w:lineRule="exact"/>
        <w:jc w:val="left"/>
        <w:outlineLvl w:val="0"/>
        <w:rPr>
          <w:rFonts w:ascii="方正小标宋简体" w:hAnsi="宋体" w:eastAsia="方正小标宋简体"/>
          <w:color w:val="auto"/>
          <w:sz w:val="21"/>
          <w:szCs w:val="21"/>
          <w:highlight w:val="none"/>
        </w:rPr>
      </w:pPr>
      <w:bookmarkStart w:id="0" w:name="_Toc15306267"/>
    </w:p>
    <w:p w14:paraId="52066ADF">
      <w:pPr>
        <w:spacing w:line="600" w:lineRule="exact"/>
        <w:jc w:val="center"/>
        <w:outlineLvl w:val="0"/>
        <w:rPr>
          <w:rFonts w:ascii="方正小标宋简体" w:hAnsi="宋体" w:eastAsia="方正小标宋简体"/>
          <w:color w:val="auto"/>
          <w:sz w:val="72"/>
          <w:szCs w:val="72"/>
          <w:highlight w:val="none"/>
        </w:rPr>
      </w:pPr>
    </w:p>
    <w:p w14:paraId="5C14A885">
      <w:pPr>
        <w:spacing w:line="600" w:lineRule="exact"/>
        <w:jc w:val="center"/>
        <w:outlineLvl w:val="0"/>
        <w:rPr>
          <w:rFonts w:ascii="方正小标宋简体" w:hAnsi="宋体" w:eastAsia="方正小标宋简体"/>
          <w:color w:val="auto"/>
          <w:sz w:val="72"/>
          <w:szCs w:val="72"/>
          <w:highlight w:val="none"/>
        </w:rPr>
      </w:pPr>
    </w:p>
    <w:p w14:paraId="0BCE2B79">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eastAsia="zh-CN"/>
        </w:rPr>
      </w:pPr>
      <w:bookmarkStart w:id="1" w:name="_Toc15396475"/>
      <w:bookmarkStart w:id="2" w:name="_Toc15396597"/>
      <w:bookmarkStart w:id="3" w:name="_Toc15377425"/>
      <w:bookmarkStart w:id="4" w:name="_Toc15378441"/>
      <w:bookmarkStart w:id="5" w:name="_Toc15377193"/>
      <w:r>
        <w:rPr>
          <w:rFonts w:hint="eastAsia" w:ascii="方正小标宋简体" w:hAnsi="方正小标宋简体" w:eastAsia="方正小标宋简体" w:cs="方正小标宋简体"/>
          <w:color w:val="auto"/>
          <w:sz w:val="56"/>
          <w:szCs w:val="56"/>
          <w:highlight w:val="none"/>
          <w:lang w:eastAsia="zh-CN"/>
        </w:rPr>
        <w:t>20</w:t>
      </w:r>
      <w:r>
        <w:rPr>
          <w:rFonts w:hint="eastAsia" w:ascii="方正小标宋简体" w:hAnsi="方正小标宋简体" w:eastAsia="方正小标宋简体" w:cs="方正小标宋简体"/>
          <w:color w:val="auto"/>
          <w:sz w:val="56"/>
          <w:szCs w:val="56"/>
          <w:highlight w:val="none"/>
          <w:lang w:val="en-US" w:eastAsia="zh-CN"/>
        </w:rPr>
        <w:t>23</w:t>
      </w:r>
      <w:r>
        <w:rPr>
          <w:rFonts w:hint="eastAsia" w:ascii="方正小标宋简体" w:hAnsi="方正小标宋简体" w:eastAsia="方正小标宋简体" w:cs="方正小标宋简体"/>
          <w:color w:val="auto"/>
          <w:sz w:val="56"/>
          <w:szCs w:val="56"/>
          <w:highlight w:val="none"/>
          <w:lang w:eastAsia="zh-CN"/>
        </w:rPr>
        <w:t>年度</w:t>
      </w:r>
      <w:bookmarkEnd w:id="1"/>
      <w:bookmarkEnd w:id="2"/>
      <w:bookmarkEnd w:id="3"/>
      <w:bookmarkEnd w:id="4"/>
      <w:bookmarkEnd w:id="5"/>
    </w:p>
    <w:bookmarkEnd w:id="0"/>
    <w:p w14:paraId="22015139">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eastAsia="zh-CN"/>
        </w:rPr>
      </w:pPr>
      <w:bookmarkStart w:id="6" w:name="_Toc15378442"/>
      <w:bookmarkStart w:id="7" w:name="_Toc15396598"/>
      <w:bookmarkStart w:id="8" w:name="_Toc15306268"/>
      <w:bookmarkStart w:id="9" w:name="_Toc15377426"/>
      <w:bookmarkStart w:id="10" w:name="_Toc15377194"/>
      <w:bookmarkStart w:id="11" w:name="_Toc15396476"/>
      <w:r>
        <w:rPr>
          <w:rFonts w:hint="eastAsia" w:ascii="方正小标宋简体" w:hAnsi="方正小标宋简体" w:eastAsia="方正小标宋简体" w:cs="方正小标宋简体"/>
          <w:color w:val="auto"/>
          <w:sz w:val="56"/>
          <w:szCs w:val="56"/>
          <w:highlight w:val="none"/>
          <w:lang w:eastAsia="zh-CN"/>
        </w:rPr>
        <w:t>广元市利州区建平初级中学</w:t>
      </w:r>
    </w:p>
    <w:p w14:paraId="41DA8687">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rPr>
      </w:pPr>
      <w:r>
        <w:rPr>
          <w:rFonts w:hint="eastAsia" w:ascii="方正小标宋简体" w:hAnsi="方正小标宋简体" w:eastAsia="方正小标宋简体" w:cs="方正小标宋简体"/>
          <w:color w:val="auto"/>
          <w:sz w:val="56"/>
          <w:szCs w:val="56"/>
          <w:highlight w:val="none"/>
          <w:lang w:eastAsia="zh-CN"/>
        </w:rPr>
        <w:t>单位</w:t>
      </w:r>
      <w:r>
        <w:rPr>
          <w:rFonts w:hint="eastAsia" w:ascii="方正小标宋简体" w:hAnsi="方正小标宋简体" w:eastAsia="方正小标宋简体" w:cs="方正小标宋简体"/>
          <w:color w:val="auto"/>
          <w:sz w:val="56"/>
          <w:szCs w:val="56"/>
          <w:highlight w:val="none"/>
        </w:rPr>
        <w:t>决算</w:t>
      </w:r>
      <w:bookmarkEnd w:id="6"/>
      <w:bookmarkEnd w:id="7"/>
      <w:bookmarkEnd w:id="8"/>
      <w:bookmarkEnd w:id="9"/>
      <w:bookmarkEnd w:id="10"/>
      <w:bookmarkEnd w:id="11"/>
    </w:p>
    <w:p w14:paraId="46EB3269">
      <w:pPr>
        <w:pStyle w:val="2"/>
        <w:rPr>
          <w:rFonts w:hint="eastAsia"/>
          <w:highlight w:val="none"/>
        </w:rPr>
      </w:pPr>
    </w:p>
    <w:p w14:paraId="3CB5A8C1">
      <w:pPr>
        <w:widowControl/>
        <w:jc w:val="center"/>
        <w:rPr>
          <w:rFonts w:ascii="黑体" w:hAnsi="黑体" w:eastAsia="黑体"/>
          <w:color w:val="auto"/>
          <w:sz w:val="48"/>
          <w:szCs w:val="48"/>
          <w:highlight w:val="none"/>
        </w:rPr>
      </w:pPr>
      <w:r>
        <w:rPr>
          <w:rFonts w:ascii="方正小标宋简体" w:hAnsi="宋体" w:eastAsia="方正小标宋简体"/>
          <w:b/>
          <w:bCs/>
          <w:color w:val="auto"/>
          <w:sz w:val="36"/>
          <w:szCs w:val="36"/>
          <w:highlight w:val="none"/>
        </w:rPr>
        <w:br w:type="page"/>
      </w:r>
      <w:r>
        <w:rPr>
          <w:rFonts w:hint="eastAsia" w:ascii="黑体" w:hAnsi="黑体" w:eastAsia="黑体"/>
          <w:color w:val="auto"/>
          <w:sz w:val="48"/>
          <w:szCs w:val="48"/>
          <w:highlight w:val="none"/>
        </w:rPr>
        <w:t>目录</w:t>
      </w:r>
    </w:p>
    <w:p w14:paraId="12C4333A">
      <w:pPr>
        <w:widowControl/>
        <w:jc w:val="center"/>
        <w:rPr>
          <w:rFonts w:ascii="黑体" w:hAnsi="黑体" w:eastAsia="黑体" w:cstheme="minorBidi"/>
          <w:color w:val="auto"/>
          <w:sz w:val="28"/>
          <w:szCs w:val="28"/>
          <w:highlight w:val="none"/>
        </w:rPr>
      </w:pPr>
    </w:p>
    <w:p w14:paraId="241709AE">
      <w:pPr>
        <w:pStyle w:val="10"/>
        <w:rPr>
          <w:highlight w:val="none"/>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14</w:t>
      </w:r>
      <w:r>
        <w:rPr>
          <w:rFonts w:hint="eastAsia"/>
          <w:highlight w:val="none"/>
        </w:rPr>
        <w:t>日</w:t>
      </w:r>
    </w:p>
    <w:p w14:paraId="30A5A783">
      <w:pPr>
        <w:rPr>
          <w:color w:val="auto"/>
          <w:highlight w:val="none"/>
        </w:rPr>
      </w:pPr>
    </w:p>
    <w:p w14:paraId="1251B538">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10241CC8">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46219299">
      <w:pPr>
        <w:pStyle w:val="11"/>
        <w:adjustRightInd w:val="0"/>
        <w:snapToGrid w:val="0"/>
        <w:spacing w:line="440" w:lineRule="exact"/>
        <w:jc w:val="left"/>
        <w:rPr>
          <w:rFonts w:hint="eastAsia" w:eastAsia="宋体"/>
          <w:color w:val="auto"/>
          <w:highlight w:val="none"/>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0F6D5E25">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14:paraId="134F5C2E">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14:paraId="34F3527A">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14:paraId="689684DA">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14:paraId="04B568CC">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14:paraId="7EAC9C3C">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14:paraId="01E87492">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14:paraId="575C0A20">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6CB0F1F3">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14:paraId="79E48511">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286BEFAB">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215642D9">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3B770682">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337DFF33">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48411346">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0AE96999">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5A06AAA7">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45267193">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7E7312EB">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71D3473E">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4825FC70">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055D3BC2">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527E7358">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35BA7415">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043332A9">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3C996BD4">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6E478D9A">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0406D220">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00C1EB79">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5FB7A6DF">
      <w:pPr>
        <w:widowControl/>
        <w:jc w:val="left"/>
        <w:rPr>
          <w:rFonts w:ascii="黑体" w:eastAsia="黑体"/>
          <w:color w:val="auto"/>
          <w:sz w:val="32"/>
          <w:szCs w:val="32"/>
          <w:highlight w:val="none"/>
        </w:rPr>
      </w:pPr>
    </w:p>
    <w:p w14:paraId="0A77AF1D">
      <w:pPr>
        <w:pStyle w:val="4"/>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14:paraId="6D4CAA22">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1.贯彻执行党和国家关于义教育改革和发展的各项方针、政策，拟订全校教育事业发展规划、有关教育的规范性文件，实施教育教学体制改革。</w:t>
      </w:r>
    </w:p>
    <w:p w14:paraId="3B893D8F">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2.负责推进义务教育均衡发展和促进教育公平，负责义务教育的宏观指导与协调；学校全面实施素质教育；全面实施学校办学标准、教学基本要求、教学基本条件。</w:t>
      </w:r>
    </w:p>
    <w:p w14:paraId="2120550D">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3.促进基础教育发展，教育学生成长为德学兼备、思想端正的学生，多元启智，让学生获得扎实的基础知识，培养学习能力，为孩子的终身幸福奠基。</w:t>
      </w:r>
    </w:p>
    <w:p w14:paraId="54F785A2">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4.建立校本活动课程、校本综合实践课程，以生为本，尊重个性，减负增效，构建阳光快乐的校园生态，丰富育人内涵，全面践行为学生和谐发展，终身幸福奠基。</w:t>
      </w:r>
    </w:p>
    <w:p w14:paraId="4A5E66D3">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5.根据学校规模设置学校管理机构，建立健全各项规章制度和岗位责任制。抓好教师队伍建设，使每位教师热心于教育事业。</w:t>
      </w:r>
    </w:p>
    <w:p w14:paraId="205D938E">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6.落实学校依法治校、安全、综合治理、档案、保密工作。 </w:t>
      </w:r>
    </w:p>
    <w:p w14:paraId="7947BB0A">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7.落实学校后勤保障、信息化建设以及教学仪器设备和图书资料装备工作；管理教育信息统计、分析和发布；参与有关的教育学会、协会工作。</w:t>
      </w:r>
    </w:p>
    <w:p w14:paraId="11CDAF16">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8.落实学校体育、卫生与艺术教育工作。</w:t>
      </w:r>
    </w:p>
    <w:p w14:paraId="229911CB">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9.负责学校教育经费的统筹管理，筹措学校经费、学校拨款、学校基建投资办法和方案；宣传贯彻执行国家和省市有关学生资助工作方针和政策，统筹管理学校贫困家庭学生资助工作。</w:t>
      </w:r>
    </w:p>
    <w:p w14:paraId="06ECD110">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10.贯彻执行国家语言文字工作的方针、政策，编制语言文字工作中长期规划；组织执行语言文字的规范和标准的监督检查；指导和组织推广普通话、推行规范汉字；开展普通话培训和测试工作。</w:t>
      </w:r>
    </w:p>
    <w:p w14:paraId="060BD4CE">
      <w:pPr>
        <w:rPr>
          <w:rFonts w:hint="eastAsia"/>
          <w:highlight w:val="none"/>
          <w:lang w:eastAsia="zh-CN"/>
        </w:rPr>
      </w:pPr>
    </w:p>
    <w:p w14:paraId="47852867">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14:paraId="7BE948A4">
      <w:pPr>
        <w:pStyle w:val="2"/>
        <w:ind w:firstLine="960" w:firstLineChars="300"/>
        <w:rPr>
          <w:rFonts w:hint="eastAsia" w:ascii="仿宋_GB2312" w:hAnsi="Times New Roman" w:eastAsia="仿宋_GB2312" w:cs="Times New Roman"/>
          <w:kern w:val="2"/>
          <w:sz w:val="32"/>
          <w:szCs w:val="32"/>
          <w:highlight w:val="none"/>
          <w:lang w:val="en-US" w:eastAsia="zh-CN" w:bidi="ar-SA"/>
        </w:rPr>
      </w:pPr>
      <w:r>
        <w:rPr>
          <w:rFonts w:hint="eastAsia" w:cs="Times New Roman"/>
          <w:kern w:val="2"/>
          <w:sz w:val="32"/>
          <w:szCs w:val="32"/>
          <w:highlight w:val="none"/>
          <w:lang w:val="en-US" w:eastAsia="zh-CN" w:bidi="ar-SA"/>
        </w:rPr>
        <w:t>1.</w:t>
      </w:r>
      <w:r>
        <w:rPr>
          <w:rFonts w:hint="eastAsia" w:ascii="仿宋_GB2312" w:hAnsi="Times New Roman" w:eastAsia="仿宋_GB2312" w:cs="Times New Roman"/>
          <w:kern w:val="2"/>
          <w:sz w:val="32"/>
          <w:szCs w:val="32"/>
          <w:highlight w:val="none"/>
          <w:lang w:val="en-US" w:eastAsia="zh-CN" w:bidi="ar-SA"/>
        </w:rPr>
        <w:t>广元市利州区建平初级中学教育局下属单位，内设职能部门9个：校长室、行政办公室、教务处、德育处、技装处、教科室、学生发展中心、财务室、团委</w:t>
      </w:r>
      <w:r>
        <w:rPr>
          <w:rFonts w:hint="eastAsia" w:cs="Times New Roman"/>
          <w:kern w:val="2"/>
          <w:sz w:val="32"/>
          <w:szCs w:val="32"/>
          <w:highlight w:val="none"/>
          <w:lang w:val="en-US" w:eastAsia="zh-CN" w:bidi="ar-SA"/>
        </w:rPr>
        <w:t>少先队</w:t>
      </w:r>
      <w:r>
        <w:rPr>
          <w:rFonts w:hint="eastAsia" w:ascii="仿宋_GB2312" w:hAnsi="Times New Roman" w:eastAsia="仿宋_GB2312" w:cs="Times New Roman"/>
          <w:kern w:val="2"/>
          <w:sz w:val="32"/>
          <w:szCs w:val="32"/>
          <w:highlight w:val="none"/>
          <w:lang w:val="en-US" w:eastAsia="zh-CN" w:bidi="ar-SA"/>
        </w:rPr>
        <w:t>。</w:t>
      </w:r>
    </w:p>
    <w:p w14:paraId="1C597876">
      <w:pPr>
        <w:snapToGrid w:val="0"/>
        <w:spacing w:line="520" w:lineRule="exact"/>
        <w:ind w:firstLine="640" w:firstLineChars="200"/>
        <w:rPr>
          <w:rFonts w:ascii="仿宋_GB2312" w:hAnsi="Calibri" w:eastAsia="仿宋_GB2312" w:cs="仿宋"/>
          <w:kern w:val="0"/>
          <w:sz w:val="32"/>
          <w:szCs w:val="32"/>
          <w:highlight w:val="none"/>
        </w:rPr>
      </w:pPr>
      <w:r>
        <w:rPr>
          <w:rFonts w:hint="eastAsia" w:ascii="仿宋_GB2312" w:hAnsi="Calibri" w:eastAsia="仿宋_GB2312" w:cs="仿宋"/>
          <w:kern w:val="0"/>
          <w:sz w:val="32"/>
          <w:szCs w:val="32"/>
          <w:highlight w:val="none"/>
        </w:rPr>
        <w:t>2、广元市</w:t>
      </w:r>
      <w:r>
        <w:rPr>
          <w:rFonts w:hint="eastAsia" w:ascii="仿宋_GB2312" w:hAnsi="Calibri" w:eastAsia="仿宋_GB2312" w:cs="仿宋"/>
          <w:kern w:val="0"/>
          <w:sz w:val="32"/>
          <w:szCs w:val="32"/>
          <w:highlight w:val="none"/>
          <w:lang w:eastAsia="zh-CN"/>
        </w:rPr>
        <w:t>利州区建平</w:t>
      </w:r>
      <w:r>
        <w:rPr>
          <w:rFonts w:hint="eastAsia" w:ascii="仿宋_GB2312" w:hAnsi="Calibri" w:eastAsia="仿宋_GB2312" w:cs="仿宋"/>
          <w:kern w:val="0"/>
          <w:sz w:val="32"/>
          <w:szCs w:val="32"/>
          <w:highlight w:val="none"/>
        </w:rPr>
        <w:t>初级中学是区编制委员会命名的独立法人机构，为经费独立核算单位。</w:t>
      </w:r>
    </w:p>
    <w:p w14:paraId="4776196C">
      <w:pPr>
        <w:widowControl/>
        <w:jc w:val="left"/>
        <w:rPr>
          <w:rStyle w:val="25"/>
          <w:rFonts w:ascii="黑体" w:hAnsi="黑体"/>
          <w:highlight w:val="none"/>
        </w:rPr>
      </w:pPr>
    </w:p>
    <w:p w14:paraId="6696627F">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01953B6E">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14:paraId="489F95C3">
      <w:pPr>
        <w:rPr>
          <w:rFonts w:hint="eastAsia" w:eastAsia="宋体"/>
          <w:color w:val="auto"/>
          <w:highlight w:val="none"/>
          <w:lang w:eastAsia="zh-CN"/>
        </w:rPr>
      </w:pPr>
    </w:p>
    <w:p w14:paraId="31E383F5">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14:paraId="13BB1782">
      <w:pPr>
        <w:spacing w:line="600" w:lineRule="exact"/>
        <w:ind w:firstLine="425" w:firstLineChars="133"/>
        <w:rPr>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96.13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12.91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highlight w:val="none"/>
        </w:rPr>
        <w:t>主要变动原因是项目增加、人员变动。</w:t>
      </w:r>
    </w:p>
    <w:p w14:paraId="5DA24B91">
      <w:pPr>
        <w:pStyle w:val="2"/>
        <w:rPr>
          <w:highlight w:val="none"/>
        </w:rPr>
      </w:pPr>
      <w:r>
        <w:rPr>
          <w:rFonts w:hint="eastAsia" w:ascii="仿宋" w:hAnsi="仿宋" w:eastAsia="仿宋"/>
          <w:sz w:val="32"/>
          <w:szCs w:val="32"/>
          <w:highlight w:val="none"/>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135255</wp:posOffset>
            </wp:positionV>
            <wp:extent cx="4643120" cy="2279650"/>
            <wp:effectExtent l="4445" t="4445" r="19685" b="20955"/>
            <wp:wrapSquare wrapText="bothSides"/>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331B3934">
      <w:pPr>
        <w:pStyle w:val="2"/>
        <w:rPr>
          <w:highlight w:val="none"/>
        </w:rPr>
      </w:pPr>
    </w:p>
    <w:p w14:paraId="2DEC72EB">
      <w:pPr>
        <w:pStyle w:val="2"/>
        <w:rPr>
          <w:highlight w:val="none"/>
        </w:rPr>
      </w:pPr>
    </w:p>
    <w:p w14:paraId="1EB558C9">
      <w:pPr>
        <w:pStyle w:val="2"/>
        <w:rPr>
          <w:highlight w:val="none"/>
        </w:rPr>
      </w:pPr>
    </w:p>
    <w:p w14:paraId="53BA2FAB">
      <w:pPr>
        <w:pStyle w:val="2"/>
        <w:rPr>
          <w:highlight w:val="none"/>
        </w:rPr>
      </w:pPr>
    </w:p>
    <w:p w14:paraId="0752E9AC">
      <w:pPr>
        <w:spacing w:line="600" w:lineRule="exact"/>
        <w:ind w:firstLine="640" w:firstLineChars="200"/>
        <w:rPr>
          <w:rFonts w:hint="eastAsia" w:ascii="仿宋" w:hAnsi="仿宋" w:eastAsia="仿宋"/>
          <w:color w:val="auto"/>
          <w:sz w:val="32"/>
          <w:szCs w:val="32"/>
          <w:highlight w:val="none"/>
        </w:rPr>
      </w:pPr>
    </w:p>
    <w:p w14:paraId="4A8E9373">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10EC25F3">
      <w:pPr>
        <w:spacing w:line="600" w:lineRule="exact"/>
        <w:ind w:firstLine="640" w:firstLineChars="200"/>
        <w:jc w:val="left"/>
        <w:rPr>
          <w:rFonts w:ascii="仿宋_GB2312" w:eastAsia="仿宋_GB2312"/>
          <w:color w:val="auto"/>
          <w:sz w:val="32"/>
          <w:szCs w:val="32"/>
          <w:highlight w:val="none"/>
        </w:rPr>
      </w:pPr>
    </w:p>
    <w:p w14:paraId="490226C2">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14:paraId="443ACABB">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1420.66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sz w:val="32"/>
          <w:szCs w:val="32"/>
          <w:highlight w:val="none"/>
        </w:rPr>
        <w:drawing>
          <wp:anchor distT="0" distB="0" distL="114300" distR="114300" simplePos="0" relativeHeight="251663360" behindDoc="0" locked="0" layoutInCell="1" allowOverlap="1">
            <wp:simplePos x="0" y="0"/>
            <wp:positionH relativeFrom="column">
              <wp:posOffset>273050</wp:posOffset>
            </wp:positionH>
            <wp:positionV relativeFrom="paragraph">
              <wp:posOffset>648970</wp:posOffset>
            </wp:positionV>
            <wp:extent cx="5256530" cy="3249930"/>
            <wp:effectExtent l="4445" t="4445" r="15875" b="222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101.31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143566F">
      <w:pPr>
        <w:pStyle w:val="2"/>
        <w:rPr>
          <w:rFonts w:ascii="仿宋" w:hAnsi="仿宋" w:eastAsia="仿宋"/>
          <w:color w:val="auto"/>
          <w:sz w:val="32"/>
          <w:szCs w:val="32"/>
          <w:highlight w:val="none"/>
        </w:rPr>
      </w:pPr>
    </w:p>
    <w:p w14:paraId="046DCDC8">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14:paraId="74ACAC33">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14:paraId="5AFB14DA">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1273.71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83.69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248.26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4CDB356">
      <w:pPr>
        <w:pStyle w:val="2"/>
        <w:jc w:val="center"/>
        <w:rPr>
          <w:rFonts w:ascii="仿宋_GB2312" w:eastAsia="仿宋_GB2312"/>
          <w:color w:val="auto"/>
          <w:sz w:val="32"/>
          <w:szCs w:val="32"/>
          <w:highlight w:val="none"/>
        </w:rPr>
      </w:pPr>
      <w:r>
        <w:rPr>
          <w:rFonts w:hint="eastAsia" w:ascii="仿宋" w:hAnsi="仿宋" w:eastAsia="仿宋"/>
          <w:sz w:val="32"/>
          <w:szCs w:val="32"/>
          <w:highlight w:val="none"/>
          <w:shd w:val="pct10" w:color="auto" w:fill="FFFFFF"/>
        </w:rPr>
        <w:drawing>
          <wp:anchor distT="0" distB="0" distL="114300" distR="114300" simplePos="0" relativeHeight="251660288" behindDoc="1" locked="0" layoutInCell="1" allowOverlap="1">
            <wp:simplePos x="0" y="0"/>
            <wp:positionH relativeFrom="column">
              <wp:posOffset>-39370</wp:posOffset>
            </wp:positionH>
            <wp:positionV relativeFrom="paragraph">
              <wp:posOffset>175260</wp:posOffset>
            </wp:positionV>
            <wp:extent cx="5183505" cy="2622550"/>
            <wp:effectExtent l="4445" t="4445" r="50800" b="59055"/>
            <wp:wrapTight wrapText="bothSides">
              <wp:wrapPolygon>
                <wp:start x="-19" y="-37"/>
                <wp:lineTo x="-19" y="21459"/>
                <wp:lineTo x="21574" y="21459"/>
                <wp:lineTo x="21574" y="-37"/>
                <wp:lineTo x="-19" y="-37"/>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w:t>
      </w:r>
    </w:p>
    <w:p w14:paraId="4DF56FA5">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14:paraId="5B51DFDE">
      <w:pPr>
        <w:spacing w:line="600" w:lineRule="exact"/>
        <w:ind w:firstLine="425" w:firstLineChars="133"/>
        <w:rPr>
          <w:rFonts w:ascii="仿宋" w:hAnsi="仿宋" w:eastAsia="仿宋"/>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96.13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12.91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highlight w:val="none"/>
        </w:rPr>
        <w:t>人员变动。</w:t>
      </w:r>
    </w:p>
    <w:p w14:paraId="7542A2BC">
      <w:pPr>
        <w:spacing w:line="600" w:lineRule="exact"/>
        <w:ind w:firstLine="640"/>
        <w:rPr>
          <w:rFonts w:ascii="仿宋" w:hAnsi="仿宋" w:eastAsia="仿宋"/>
          <w:color w:val="auto"/>
          <w:sz w:val="32"/>
          <w:szCs w:val="32"/>
          <w:highlight w:val="none"/>
        </w:rPr>
      </w:pPr>
    </w:p>
    <w:p w14:paraId="38C29467">
      <w:pPr>
        <w:spacing w:line="600" w:lineRule="exact"/>
        <w:rPr>
          <w:rFonts w:ascii="仿宋" w:hAnsi="仿宋" w:eastAsia="仿宋"/>
          <w:color w:val="auto"/>
          <w:sz w:val="32"/>
          <w:szCs w:val="32"/>
          <w:highlight w:val="none"/>
        </w:rPr>
      </w:pPr>
      <w:r>
        <w:rPr>
          <w:rFonts w:ascii="仿宋" w:hAnsi="仿宋" w:eastAsia="仿宋"/>
          <w:sz w:val="32"/>
          <w:szCs w:val="32"/>
          <w:highlight w:val="none"/>
        </w:rPr>
        <w:drawing>
          <wp:anchor distT="0" distB="0" distL="114300" distR="114300" simplePos="0" relativeHeight="251661312" behindDoc="0" locked="0" layoutInCell="1" allowOverlap="1">
            <wp:simplePos x="0" y="0"/>
            <wp:positionH relativeFrom="column">
              <wp:posOffset>109220</wp:posOffset>
            </wp:positionH>
            <wp:positionV relativeFrom="paragraph">
              <wp:posOffset>153670</wp:posOffset>
            </wp:positionV>
            <wp:extent cx="4643120" cy="2279650"/>
            <wp:effectExtent l="4445" t="4445" r="19685" b="20955"/>
            <wp:wrapSquare wrapText="bothSides"/>
            <wp:docPr id="1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05472B7">
      <w:pPr>
        <w:pStyle w:val="2"/>
        <w:rPr>
          <w:highlight w:val="none"/>
        </w:rPr>
      </w:pPr>
    </w:p>
    <w:p w14:paraId="14F74009">
      <w:pPr>
        <w:pStyle w:val="2"/>
        <w:rPr>
          <w:rFonts w:ascii="仿宋" w:hAnsi="仿宋" w:eastAsia="仿宋"/>
          <w:color w:val="auto"/>
          <w:sz w:val="32"/>
          <w:szCs w:val="32"/>
          <w:highlight w:val="none"/>
        </w:rPr>
      </w:pPr>
    </w:p>
    <w:p w14:paraId="19A0C92B">
      <w:pPr>
        <w:pStyle w:val="2"/>
        <w:rPr>
          <w:rFonts w:ascii="仿宋" w:hAnsi="仿宋" w:eastAsia="仿宋"/>
          <w:color w:val="auto"/>
          <w:sz w:val="32"/>
          <w:szCs w:val="32"/>
          <w:highlight w:val="none"/>
        </w:rPr>
      </w:pPr>
    </w:p>
    <w:p w14:paraId="459ECFB0">
      <w:pPr>
        <w:pStyle w:val="2"/>
        <w:rPr>
          <w:rFonts w:ascii="仿宋" w:hAnsi="仿宋" w:eastAsia="仿宋"/>
          <w:color w:val="auto"/>
          <w:sz w:val="32"/>
          <w:szCs w:val="32"/>
          <w:highlight w:val="none"/>
        </w:rPr>
      </w:pPr>
    </w:p>
    <w:p w14:paraId="01E34171">
      <w:pPr>
        <w:pStyle w:val="2"/>
        <w:rPr>
          <w:rFonts w:ascii="仿宋" w:hAnsi="仿宋" w:eastAsia="仿宋"/>
          <w:color w:val="auto"/>
          <w:sz w:val="32"/>
          <w:szCs w:val="32"/>
          <w:highlight w:val="none"/>
        </w:rPr>
      </w:pPr>
    </w:p>
    <w:p w14:paraId="580D250C">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14:paraId="45564E08">
      <w:pPr>
        <w:spacing w:line="600" w:lineRule="exact"/>
        <w:ind w:firstLine="640"/>
        <w:rPr>
          <w:rFonts w:ascii="仿宋" w:hAnsi="仿宋" w:eastAsia="仿宋"/>
          <w:b/>
          <w:color w:val="auto"/>
          <w:sz w:val="32"/>
          <w:szCs w:val="32"/>
          <w:highlight w:val="none"/>
        </w:rPr>
      </w:pPr>
    </w:p>
    <w:p w14:paraId="70DBDFA7">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14:paraId="56E471DC">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1E7066B7">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197.52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highlight w:val="none"/>
        </w:rPr>
        <w:t>人员变动</w:t>
      </w:r>
      <w:r>
        <w:rPr>
          <w:rFonts w:hint="eastAsia" w:ascii="仿宋" w:hAnsi="仿宋" w:eastAsia="仿宋"/>
          <w:sz w:val="32"/>
          <w:szCs w:val="32"/>
          <w:highlight w:val="none"/>
          <w:lang w:eastAsia="zh-CN"/>
        </w:rPr>
        <w:t>。</w:t>
      </w:r>
    </w:p>
    <w:p w14:paraId="76245BDA">
      <w:pPr>
        <w:spacing w:line="600" w:lineRule="exact"/>
        <w:ind w:firstLine="640" w:firstLineChars="200"/>
        <w:rPr>
          <w:rFonts w:ascii="仿宋" w:hAnsi="仿宋" w:eastAsia="仿宋"/>
          <w:color w:val="auto"/>
          <w:sz w:val="32"/>
          <w:szCs w:val="32"/>
          <w:highlight w:val="none"/>
        </w:rPr>
      </w:pPr>
    </w:p>
    <w:p w14:paraId="4FD84436">
      <w:pPr>
        <w:pStyle w:val="2"/>
        <w:rPr>
          <w:rFonts w:ascii="仿宋" w:hAnsi="仿宋" w:eastAsia="仿宋"/>
          <w:color w:val="auto"/>
          <w:sz w:val="32"/>
          <w:szCs w:val="32"/>
          <w:highlight w:val="none"/>
        </w:rPr>
      </w:pPr>
      <w:r>
        <w:rPr>
          <w:rFonts w:hint="eastAsia" w:ascii="仿宋" w:hAnsi="仿宋" w:eastAsia="仿宋"/>
          <w:sz w:val="32"/>
          <w:szCs w:val="32"/>
          <w:highlight w:val="none"/>
        </w:rPr>
        <w:drawing>
          <wp:anchor distT="0" distB="0" distL="114300" distR="114300" simplePos="0" relativeHeight="251662336" behindDoc="0" locked="0" layoutInCell="1" allowOverlap="1">
            <wp:simplePos x="0" y="0"/>
            <wp:positionH relativeFrom="column">
              <wp:posOffset>394335</wp:posOffset>
            </wp:positionH>
            <wp:positionV relativeFrom="paragraph">
              <wp:posOffset>246380</wp:posOffset>
            </wp:positionV>
            <wp:extent cx="4643120" cy="2279650"/>
            <wp:effectExtent l="4445" t="4445" r="19685" b="20955"/>
            <wp:wrapSquare wrapText="bothSides"/>
            <wp:docPr id="1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314673E">
      <w:pPr>
        <w:pStyle w:val="2"/>
        <w:rPr>
          <w:rFonts w:ascii="仿宋" w:hAnsi="仿宋" w:eastAsia="仿宋"/>
          <w:color w:val="auto"/>
          <w:sz w:val="32"/>
          <w:szCs w:val="32"/>
          <w:highlight w:val="none"/>
        </w:rPr>
      </w:pPr>
    </w:p>
    <w:p w14:paraId="4E3197F3">
      <w:pPr>
        <w:pStyle w:val="2"/>
        <w:rPr>
          <w:rFonts w:ascii="仿宋" w:hAnsi="仿宋" w:eastAsia="仿宋"/>
          <w:color w:val="auto"/>
          <w:sz w:val="32"/>
          <w:szCs w:val="32"/>
          <w:highlight w:val="none"/>
        </w:rPr>
      </w:pPr>
    </w:p>
    <w:p w14:paraId="6045229D">
      <w:pPr>
        <w:pStyle w:val="2"/>
        <w:rPr>
          <w:rFonts w:ascii="仿宋" w:hAnsi="仿宋" w:eastAsia="仿宋"/>
          <w:color w:val="auto"/>
          <w:sz w:val="32"/>
          <w:szCs w:val="32"/>
          <w:highlight w:val="none"/>
        </w:rPr>
      </w:pPr>
    </w:p>
    <w:p w14:paraId="222F4885">
      <w:pPr>
        <w:pStyle w:val="2"/>
        <w:rPr>
          <w:rFonts w:ascii="仿宋" w:hAnsi="仿宋" w:eastAsia="仿宋"/>
          <w:color w:val="auto"/>
          <w:sz w:val="32"/>
          <w:szCs w:val="32"/>
          <w:highlight w:val="none"/>
        </w:rPr>
      </w:pPr>
    </w:p>
    <w:p w14:paraId="64997EC6">
      <w:pPr>
        <w:pStyle w:val="2"/>
        <w:rPr>
          <w:rFonts w:ascii="仿宋" w:hAnsi="仿宋" w:eastAsia="仿宋"/>
          <w:color w:val="auto"/>
          <w:sz w:val="32"/>
          <w:szCs w:val="32"/>
          <w:highlight w:val="none"/>
        </w:rPr>
      </w:pPr>
    </w:p>
    <w:p w14:paraId="12974E97">
      <w:pPr>
        <w:pStyle w:val="2"/>
        <w:rPr>
          <w:rFonts w:ascii="仿宋" w:hAnsi="仿宋" w:eastAsia="仿宋"/>
          <w:color w:val="auto"/>
          <w:sz w:val="32"/>
          <w:szCs w:val="32"/>
          <w:highlight w:val="none"/>
        </w:rPr>
      </w:pPr>
    </w:p>
    <w:p w14:paraId="15329A6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3A46F551">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0AE2D33A">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p>
    <w:p w14:paraId="11DC1F21">
      <w:pPr>
        <w:spacing w:line="600" w:lineRule="exact"/>
        <w:ind w:firstLine="640"/>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1467.57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42.86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6.69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1B5A156">
      <w:pPr>
        <w:pStyle w:val="2"/>
        <w:rPr>
          <w:rFonts w:hint="eastAsia" w:eastAsia="仿宋"/>
          <w:highlight w:val="none"/>
          <w:lang w:eastAsia="zh-CN"/>
        </w:rPr>
      </w:pPr>
      <w:r>
        <w:rPr>
          <w:rFonts w:hint="eastAsia" w:eastAsia="仿宋"/>
          <w:highlight w:val="none"/>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BED0C4">
      <w:pPr>
        <w:spacing w:line="600" w:lineRule="exact"/>
        <w:ind w:firstLine="640"/>
        <w:rPr>
          <w:rFonts w:ascii="仿宋" w:hAnsi="仿宋" w:eastAsia="仿宋"/>
          <w:color w:val="auto"/>
          <w:sz w:val="32"/>
          <w:szCs w:val="32"/>
          <w:highlight w:val="none"/>
        </w:rPr>
      </w:pPr>
    </w:p>
    <w:p w14:paraId="41737A06">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5170EACF">
      <w:pPr>
        <w:spacing w:line="600" w:lineRule="exact"/>
        <w:ind w:firstLine="640" w:firstLineChars="200"/>
        <w:rPr>
          <w:rFonts w:ascii="仿宋" w:hAnsi="仿宋" w:eastAsia="仿宋"/>
          <w:color w:val="auto"/>
          <w:sz w:val="32"/>
          <w:szCs w:val="32"/>
          <w:highlight w:val="none"/>
        </w:rPr>
      </w:pPr>
    </w:p>
    <w:p w14:paraId="469B4A3B">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456770BE">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1521.97</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14:paraId="6CA4D50F">
      <w:pPr>
        <w:pStyle w:val="2"/>
        <w:spacing w:before="93"/>
        <w:ind w:firstLine="426" w:firstLineChars="142"/>
        <w:rPr>
          <w:highlight w:val="none"/>
        </w:rPr>
      </w:pPr>
      <w:r>
        <w:rPr>
          <w:rFonts w:hint="eastAsia"/>
          <w:highlight w:val="none"/>
        </w:rPr>
        <w:t>1.教育（类）普通教育（款）小学教育（项）:支出决算为</w:t>
      </w:r>
      <w:r>
        <w:rPr>
          <w:rFonts w:hint="eastAsia"/>
          <w:highlight w:val="none"/>
          <w:lang w:val="en-US" w:eastAsia="zh-CN"/>
        </w:rPr>
        <w:t>223.53</w:t>
      </w:r>
      <w:r>
        <w:rPr>
          <w:rFonts w:hint="eastAsia"/>
          <w:highlight w:val="none"/>
        </w:rPr>
        <w:t>万元，完成预算100%。</w:t>
      </w:r>
    </w:p>
    <w:p w14:paraId="5FEFE79E">
      <w:pPr>
        <w:pStyle w:val="2"/>
        <w:spacing w:before="93"/>
        <w:ind w:firstLine="426" w:firstLineChars="142"/>
        <w:rPr>
          <w:highlight w:val="none"/>
        </w:rPr>
      </w:pPr>
      <w:r>
        <w:rPr>
          <w:rFonts w:hint="eastAsia"/>
          <w:highlight w:val="none"/>
        </w:rPr>
        <w:t>2.教育（类）普通教育（款）初中教育（项）:支出决算为</w:t>
      </w:r>
      <w:r>
        <w:rPr>
          <w:rFonts w:hint="eastAsia"/>
          <w:highlight w:val="none"/>
          <w:lang w:val="en-US" w:eastAsia="zh-CN"/>
        </w:rPr>
        <w:t>1244.04</w:t>
      </w:r>
      <w:r>
        <w:rPr>
          <w:rFonts w:hint="eastAsia"/>
          <w:highlight w:val="none"/>
        </w:rPr>
        <w:t>万元，完成预算</w:t>
      </w:r>
      <w:r>
        <w:rPr>
          <w:rFonts w:hint="eastAsia"/>
          <w:highlight w:val="none"/>
          <w:lang w:val="en-US" w:eastAsia="zh-CN"/>
        </w:rPr>
        <w:t>100</w:t>
      </w:r>
      <w:r>
        <w:rPr>
          <w:rFonts w:hint="eastAsia"/>
          <w:highlight w:val="none"/>
        </w:rPr>
        <w:t>%。</w:t>
      </w:r>
    </w:p>
    <w:p w14:paraId="632892B9">
      <w:pPr>
        <w:pStyle w:val="2"/>
        <w:spacing w:before="93"/>
        <w:ind w:firstLine="426" w:firstLineChars="142"/>
        <w:rPr>
          <w:highlight w:val="none"/>
        </w:rPr>
      </w:pPr>
      <w:r>
        <w:rPr>
          <w:rFonts w:hint="eastAsia"/>
          <w:highlight w:val="none"/>
        </w:rPr>
        <w:t>3.社会保障和就业（类）行政事业单位养老支出（款）机关事业单位基本养老保险缴费支出（项）:支出决算为</w:t>
      </w:r>
      <w:r>
        <w:rPr>
          <w:rFonts w:hint="eastAsia"/>
          <w:highlight w:val="none"/>
          <w:lang w:val="en-US" w:eastAsia="zh-CN"/>
        </w:rPr>
        <w:t>42.87</w:t>
      </w:r>
      <w:r>
        <w:rPr>
          <w:rFonts w:hint="eastAsia"/>
          <w:highlight w:val="none"/>
        </w:rPr>
        <w:t>万元，完成预算100%。</w:t>
      </w:r>
    </w:p>
    <w:p w14:paraId="0EA3625C">
      <w:pPr>
        <w:pStyle w:val="2"/>
        <w:spacing w:before="93"/>
        <w:ind w:firstLine="426" w:firstLineChars="142"/>
        <w:rPr>
          <w:rFonts w:hint="eastAsia"/>
          <w:highlight w:val="none"/>
        </w:rPr>
      </w:pPr>
      <w:r>
        <w:rPr>
          <w:rFonts w:hint="eastAsia"/>
          <w:highlight w:val="none"/>
          <w:lang w:val="en-US" w:eastAsia="zh-CN"/>
        </w:rPr>
        <w:t>4</w:t>
      </w:r>
      <w:r>
        <w:rPr>
          <w:rFonts w:hint="eastAsia"/>
          <w:highlight w:val="none"/>
        </w:rPr>
        <w:t>.社会保障和就业（类）行政事业单位医疗（款）事业单位医疗（项）:支出决算为</w:t>
      </w:r>
      <w:r>
        <w:rPr>
          <w:rFonts w:hint="eastAsia"/>
          <w:highlight w:val="none"/>
          <w:lang w:val="en-US" w:eastAsia="zh-CN"/>
        </w:rPr>
        <w:t>4.85</w:t>
      </w:r>
      <w:r>
        <w:rPr>
          <w:rFonts w:hint="eastAsia"/>
          <w:highlight w:val="none"/>
        </w:rPr>
        <w:t>万元，完成预算</w:t>
      </w:r>
      <w:r>
        <w:rPr>
          <w:rFonts w:hint="eastAsia"/>
          <w:highlight w:val="none"/>
          <w:lang w:val="en-US" w:eastAsia="zh-CN"/>
        </w:rPr>
        <w:t>100</w:t>
      </w:r>
      <w:r>
        <w:rPr>
          <w:rFonts w:hint="eastAsia"/>
          <w:highlight w:val="none"/>
        </w:rPr>
        <w:t>%。</w:t>
      </w:r>
    </w:p>
    <w:p w14:paraId="6680FF2A">
      <w:pPr>
        <w:pStyle w:val="2"/>
        <w:spacing w:before="93"/>
        <w:ind w:firstLine="426" w:firstLineChars="142"/>
        <w:rPr>
          <w:rFonts w:ascii="仿宋" w:hAnsi="仿宋" w:eastAsia="仿宋"/>
          <w:b/>
          <w:color w:val="auto"/>
          <w:sz w:val="32"/>
          <w:szCs w:val="32"/>
          <w:highlight w:val="none"/>
        </w:rPr>
      </w:pPr>
      <w:r>
        <w:rPr>
          <w:rFonts w:hint="eastAsia"/>
          <w:highlight w:val="none"/>
          <w:lang w:val="en-US" w:eastAsia="zh-CN"/>
        </w:rPr>
        <w:t>5.住房保障支出</w:t>
      </w:r>
      <w:r>
        <w:rPr>
          <w:rFonts w:hint="eastAsia"/>
          <w:highlight w:val="none"/>
        </w:rPr>
        <w:t>（类）住房改革支出（款） 住房公积金（项）:支出决算为</w:t>
      </w:r>
      <w:r>
        <w:rPr>
          <w:rFonts w:hint="eastAsia"/>
          <w:highlight w:val="none"/>
          <w:lang w:val="en-US" w:eastAsia="zh-CN"/>
        </w:rPr>
        <w:t>6.69</w:t>
      </w:r>
      <w:r>
        <w:rPr>
          <w:rFonts w:hint="eastAsia"/>
          <w:highlight w:val="none"/>
        </w:rPr>
        <w:t>万元，完成预算</w:t>
      </w:r>
      <w:r>
        <w:rPr>
          <w:rFonts w:hint="eastAsia"/>
          <w:highlight w:val="none"/>
          <w:lang w:val="en-US" w:eastAsia="zh-CN"/>
        </w:rPr>
        <w:t>100</w:t>
      </w:r>
      <w:r>
        <w:rPr>
          <w:rFonts w:hint="eastAsia"/>
          <w:highlight w:val="none"/>
        </w:rPr>
        <w:t>%。</w:t>
      </w:r>
    </w:p>
    <w:p w14:paraId="64DBE417">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14:paraId="6A1CA95C">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1521.97</w:t>
      </w:r>
      <w:r>
        <w:rPr>
          <w:rFonts w:hint="eastAsia" w:ascii="仿宋" w:hAnsi="仿宋" w:eastAsia="仿宋"/>
          <w:color w:val="auto"/>
          <w:sz w:val="32"/>
          <w:szCs w:val="32"/>
          <w:highlight w:val="none"/>
        </w:rPr>
        <w:t>万元，其中：</w:t>
      </w:r>
    </w:p>
    <w:p w14:paraId="71B476AE">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1402.04</w:t>
      </w:r>
      <w:r>
        <w:rPr>
          <w:rFonts w:hint="eastAsia" w:ascii="仿宋" w:hAnsi="仿宋" w:eastAsia="仿宋"/>
          <w:color w:val="auto"/>
          <w:sz w:val="32"/>
          <w:szCs w:val="32"/>
          <w:highlight w:val="none"/>
        </w:rPr>
        <w:t>万元，主要包括：基本工资、津贴补贴、伙食补助费、绩效工资、机关事业单位基本养老保险缴费、职业年金缴费、其他社会保障缴费、其他工资福利支出、退休费、抚恤金、生活补助、住房公积金、其他对个人和家庭的补助支出等。</w:t>
      </w:r>
    </w:p>
    <w:p w14:paraId="5AF8C396">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145.84</w:t>
      </w:r>
      <w:r>
        <w:rPr>
          <w:rFonts w:hint="eastAsia" w:ascii="仿宋" w:hAnsi="仿宋" w:eastAsia="仿宋"/>
          <w:color w:val="auto"/>
          <w:sz w:val="32"/>
          <w:szCs w:val="32"/>
          <w:highlight w:val="none"/>
        </w:rPr>
        <w:t>万元，主要包括：办公费、印刷费、手续费、水费、电费、差旅费、维修（护）费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会议费、培训费、劳务费、工会经费、福利费、其他商品和服务支出、办公设备购置、信息网络及软件购置更新、其他资本性支出等。</w:t>
      </w:r>
    </w:p>
    <w:p w14:paraId="1B798016">
      <w:pPr>
        <w:spacing w:line="600" w:lineRule="exact"/>
        <w:ind w:firstLine="640"/>
        <w:outlineLvl w:val="1"/>
        <w:rPr>
          <w:rStyle w:val="2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14:paraId="13A2DC3F">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14:paraId="635571C6">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0.00万元，增长0.00%。</w:t>
      </w:r>
    </w:p>
    <w:p w14:paraId="0D384B75">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14:paraId="14C5F59E">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47FF75CF">
      <w:pPr>
        <w:spacing w:line="600" w:lineRule="exact"/>
        <w:ind w:firstLine="426"/>
        <w:rPr>
          <w:rFonts w:hint="eastAsia" w:ascii="仿宋_GB2312" w:eastAsia="仿宋"/>
          <w:b/>
          <w:sz w:val="32"/>
          <w:szCs w:val="32"/>
          <w:highlight w:val="none"/>
          <w:lang w:eastAsia="zh-CN"/>
        </w:rPr>
      </w:pPr>
      <w:bookmarkStart w:id="40" w:name="_Toc15396610"/>
      <w:bookmarkStart w:id="41" w:name="_Toc15377218"/>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hint="eastAsia" w:ascii="仿宋_GB2312" w:eastAsia="仿宋_GB2312"/>
          <w:sz w:val="32"/>
          <w:szCs w:val="32"/>
          <w:highlight w:val="none"/>
        </w:rPr>
        <w:t>0.00万元，</w:t>
      </w:r>
      <w:r>
        <w:rPr>
          <w:rStyle w:val="15"/>
          <w:rFonts w:hint="eastAsia" w:ascii="仿宋" w:hAnsi="仿宋" w:eastAsia="仿宋"/>
          <w:b w:val="0"/>
          <w:bCs/>
          <w:sz w:val="32"/>
          <w:szCs w:val="32"/>
          <w:highlight w:val="none"/>
        </w:rPr>
        <w:t>完成预算100</w:t>
      </w:r>
      <w:r>
        <w:rPr>
          <w:rStyle w:val="15"/>
          <w:rFonts w:ascii="仿宋" w:hAnsi="仿宋" w:eastAsia="仿宋"/>
          <w:b w:val="0"/>
          <w:bCs/>
          <w:sz w:val="32"/>
          <w:szCs w:val="32"/>
          <w:highlight w:val="none"/>
        </w:rPr>
        <w:t>%</w:t>
      </w:r>
      <w:r>
        <w:rPr>
          <w:rStyle w:val="15"/>
          <w:rFonts w:hint="eastAsia" w:ascii="仿宋" w:hAnsi="仿宋" w:eastAsia="仿宋"/>
          <w:b w:val="0"/>
          <w:bCs/>
          <w:sz w:val="32"/>
          <w:szCs w:val="32"/>
          <w:highlight w:val="none"/>
          <w:lang w:eastAsia="zh-CN"/>
        </w:rPr>
        <w:t>，</w:t>
      </w:r>
      <w:r>
        <w:rPr>
          <w:rFonts w:hint="eastAsia" w:ascii="仿宋" w:hAnsi="仿宋" w:eastAsia="仿宋"/>
          <w:sz w:val="32"/>
          <w:szCs w:val="32"/>
          <w:highlight w:val="none"/>
        </w:rPr>
        <w:t>与</w:t>
      </w:r>
      <w:r>
        <w:rPr>
          <w:rFonts w:ascii="仿宋" w:hAnsi="仿宋" w:eastAsia="仿宋"/>
          <w:sz w:val="32"/>
          <w:szCs w:val="32"/>
          <w:highlight w:val="none"/>
        </w:rPr>
        <w:t>20</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年相比，增加</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0.00</w:t>
      </w:r>
      <w:r>
        <w:rPr>
          <w:rFonts w:ascii="仿宋" w:hAnsi="仿宋" w:eastAsia="仿宋"/>
          <w:sz w:val="32"/>
          <w:szCs w:val="32"/>
          <w:highlight w:val="none"/>
        </w:rPr>
        <w:t>%</w:t>
      </w:r>
      <w:r>
        <w:rPr>
          <w:rFonts w:hint="eastAsia" w:ascii="仿宋" w:hAnsi="仿宋" w:eastAsia="仿宋"/>
          <w:sz w:val="32"/>
          <w:szCs w:val="32"/>
          <w:highlight w:val="none"/>
          <w:lang w:eastAsia="zh-CN"/>
        </w:rPr>
        <w:t>。</w:t>
      </w:r>
    </w:p>
    <w:p w14:paraId="23D656A8">
      <w:pPr>
        <w:spacing w:line="600" w:lineRule="exact"/>
        <w:ind w:firstLine="424" w:firstLineChars="132"/>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hint="eastAsia" w:ascii="仿宋_GB2312" w:eastAsia="仿宋_GB2312"/>
          <w:sz w:val="32"/>
          <w:szCs w:val="32"/>
          <w:highlight w:val="none"/>
        </w:rPr>
        <w:t>0.00万元,</w:t>
      </w:r>
      <w:r>
        <w:rPr>
          <w:rStyle w:val="15"/>
          <w:rFonts w:hint="eastAsia" w:ascii="仿宋" w:hAnsi="仿宋" w:eastAsia="仿宋"/>
          <w:b w:val="0"/>
          <w:bCs/>
          <w:sz w:val="32"/>
          <w:szCs w:val="32"/>
          <w:highlight w:val="none"/>
        </w:rPr>
        <w:t>完成预算100</w:t>
      </w:r>
      <w:r>
        <w:rPr>
          <w:rStyle w:val="15"/>
          <w:rFonts w:ascii="仿宋" w:hAnsi="仿宋" w:eastAsia="仿宋"/>
          <w:b w:val="0"/>
          <w:bCs/>
          <w:sz w:val="32"/>
          <w:szCs w:val="32"/>
          <w:highlight w:val="none"/>
        </w:rPr>
        <w:t>%</w:t>
      </w:r>
      <w:r>
        <w:rPr>
          <w:rStyle w:val="15"/>
          <w:rFonts w:hint="eastAsia" w:ascii="仿宋" w:hAnsi="仿宋" w:eastAsia="仿宋"/>
          <w:b w:val="0"/>
          <w:bCs/>
          <w:sz w:val="32"/>
          <w:szCs w:val="32"/>
          <w:highlight w:val="none"/>
        </w:rPr>
        <w:t>。</w:t>
      </w: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hint="eastAsia" w:ascii="仿宋_GB2312" w:eastAsia="仿宋_GB2312"/>
          <w:sz w:val="32"/>
          <w:szCs w:val="32"/>
          <w:highlight w:val="none"/>
        </w:rPr>
        <w:t>0.00万元。全年按规定更新购置公务用车0辆。截至</w:t>
      </w:r>
      <w:r>
        <w:rPr>
          <w:rFonts w:ascii="仿宋_GB2312" w:eastAsia="仿宋_GB2312"/>
          <w:sz w:val="32"/>
          <w:szCs w:val="32"/>
          <w:highlight w:val="none"/>
        </w:rPr>
        <w:t>20</w:t>
      </w: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ascii="仿宋_GB2312" w:eastAsia="仿宋_GB2312"/>
          <w:sz w:val="32"/>
          <w:szCs w:val="32"/>
          <w:highlight w:val="none"/>
        </w:rPr>
        <w:t>12</w:t>
      </w:r>
      <w:r>
        <w:rPr>
          <w:rFonts w:hint="eastAsia" w:ascii="仿宋_GB2312" w:eastAsia="仿宋_GB2312"/>
          <w:sz w:val="32"/>
          <w:szCs w:val="32"/>
          <w:highlight w:val="none"/>
        </w:rPr>
        <w:t>月底，单位共有公务用车0辆。</w:t>
      </w:r>
    </w:p>
    <w:p w14:paraId="7FB2AE98">
      <w:pPr>
        <w:spacing w:line="600" w:lineRule="exact"/>
        <w:ind w:firstLine="426"/>
        <w:rPr>
          <w:rFonts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hint="eastAsia" w:ascii="仿宋_GB2312" w:eastAsia="仿宋_GB2312"/>
          <w:sz w:val="32"/>
          <w:szCs w:val="32"/>
          <w:highlight w:val="none"/>
        </w:rPr>
        <w:t>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w:t>
      </w:r>
    </w:p>
    <w:p w14:paraId="06B254F9">
      <w:pPr>
        <w:numPr>
          <w:ilvl w:val="0"/>
          <w:numId w:val="3"/>
        </w:numPr>
        <w:spacing w:line="600" w:lineRule="exact"/>
        <w:ind w:firstLine="426"/>
        <w:rPr>
          <w:rStyle w:val="15"/>
          <w:rFonts w:hint="eastAsia" w:ascii="仿宋" w:hAnsi="仿宋" w:eastAsia="仿宋"/>
          <w:b w:val="0"/>
          <w:bCs/>
          <w:sz w:val="32"/>
          <w:szCs w:val="32"/>
          <w:highlight w:val="none"/>
        </w:rPr>
      </w:pPr>
      <w:r>
        <w:rPr>
          <w:rFonts w:hint="eastAsia" w:ascii="仿宋_GB2312" w:eastAsia="仿宋_GB2312"/>
          <w:b/>
          <w:sz w:val="32"/>
          <w:szCs w:val="32"/>
          <w:highlight w:val="none"/>
        </w:rPr>
        <w:t>公务接待费支出</w:t>
      </w:r>
      <w:r>
        <w:rPr>
          <w:rFonts w:hint="eastAsia" w:ascii="仿宋_GB2312" w:eastAsia="仿宋_GB2312"/>
          <w:sz w:val="32"/>
          <w:szCs w:val="32"/>
          <w:highlight w:val="none"/>
        </w:rPr>
        <w:t>0.00万元，</w:t>
      </w:r>
      <w:r>
        <w:rPr>
          <w:rStyle w:val="15"/>
          <w:rFonts w:hint="eastAsia" w:ascii="仿宋" w:hAnsi="仿宋" w:eastAsia="仿宋"/>
          <w:b w:val="0"/>
          <w:bCs/>
          <w:sz w:val="32"/>
          <w:szCs w:val="32"/>
          <w:highlight w:val="none"/>
        </w:rPr>
        <w:t>完成预算100</w:t>
      </w:r>
      <w:r>
        <w:rPr>
          <w:rStyle w:val="15"/>
          <w:rFonts w:ascii="仿宋" w:hAnsi="仿宋" w:eastAsia="仿宋"/>
          <w:b w:val="0"/>
          <w:bCs/>
          <w:sz w:val="32"/>
          <w:szCs w:val="32"/>
          <w:highlight w:val="none"/>
        </w:rPr>
        <w:t>%</w:t>
      </w:r>
      <w:r>
        <w:rPr>
          <w:rStyle w:val="15"/>
          <w:rFonts w:hint="eastAsia" w:ascii="仿宋" w:hAnsi="仿宋" w:eastAsia="仿宋"/>
          <w:b w:val="0"/>
          <w:bCs/>
          <w:sz w:val="32"/>
          <w:szCs w:val="32"/>
          <w:highlight w:val="none"/>
        </w:rPr>
        <w:t>。</w:t>
      </w:r>
    </w:p>
    <w:p w14:paraId="08367FD0">
      <w:pPr>
        <w:numPr>
          <w:numId w:val="0"/>
        </w:num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其中：</w:t>
      </w:r>
    </w:p>
    <w:p w14:paraId="11C65AE4">
      <w:pPr>
        <w:spacing w:line="600" w:lineRule="exact"/>
        <w:ind w:firstLine="426"/>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sz w:val="32"/>
          <w:szCs w:val="32"/>
          <w:highlight w:val="none"/>
        </w:rPr>
        <w:t>0.00</w:t>
      </w:r>
      <w:r>
        <w:rPr>
          <w:rFonts w:hint="eastAsia" w:ascii="仿宋_GB2312" w:eastAsia="仿宋_GB2312"/>
          <w:sz w:val="32"/>
          <w:szCs w:val="32"/>
          <w:highlight w:val="none"/>
        </w:rPr>
        <w:t>万元。</w:t>
      </w:r>
    </w:p>
    <w:p w14:paraId="0FF07D43">
      <w:pPr>
        <w:spacing w:line="600" w:lineRule="exact"/>
        <w:ind w:firstLine="424" w:firstLineChars="132"/>
        <w:rPr>
          <w:rFonts w:ascii="黑体" w:eastAsia="黑体"/>
          <w:color w:val="auto"/>
          <w:sz w:val="32"/>
          <w:szCs w:val="32"/>
          <w:highlight w:val="none"/>
        </w:rPr>
      </w:pPr>
      <w:r>
        <w:rPr>
          <w:rFonts w:hint="eastAsia" w:ascii="仿宋" w:hAnsi="仿宋" w:eastAsia="仿宋"/>
          <w:b/>
          <w:sz w:val="32"/>
          <w:szCs w:val="32"/>
          <w:highlight w:val="none"/>
        </w:rPr>
        <w:t>外事接待支出</w:t>
      </w:r>
      <w:r>
        <w:rPr>
          <w:rFonts w:hint="eastAsia" w:ascii="仿宋" w:hAnsi="仿宋" w:eastAsia="仿宋"/>
          <w:sz w:val="32"/>
          <w:szCs w:val="32"/>
          <w:highlight w:val="none"/>
        </w:rPr>
        <w:t>0.00</w:t>
      </w:r>
      <w:r>
        <w:rPr>
          <w:rFonts w:hint="eastAsia" w:ascii="仿宋_GB2312" w:eastAsia="仿宋_GB2312"/>
          <w:sz w:val="32"/>
          <w:szCs w:val="32"/>
          <w:highlight w:val="none"/>
        </w:rPr>
        <w:t>万元。</w:t>
      </w:r>
    </w:p>
    <w:p w14:paraId="44EBAA18">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14:paraId="0307E569">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0BC06D2D">
      <w:pPr>
        <w:numPr>
          <w:ilvl w:val="0"/>
          <w:numId w:val="4"/>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14:paraId="13F698C6">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1C4BE91B">
      <w:pPr>
        <w:numPr>
          <w:ilvl w:val="0"/>
          <w:numId w:val="4"/>
        </w:numPr>
        <w:spacing w:line="600" w:lineRule="exact"/>
        <w:ind w:firstLine="640"/>
        <w:outlineLvl w:val="1"/>
        <w:rPr>
          <w:rStyle w:val="26"/>
          <w:rFonts w:hint="eastAsia" w:ascii="黑体" w:hAnsi="黑体" w:eastAsia="黑体"/>
          <w:b w:val="0"/>
          <w:color w:val="auto"/>
          <w:highlight w:val="none"/>
        </w:rPr>
      </w:pPr>
      <w:bookmarkStart w:id="44" w:name="_Toc15396612"/>
      <w:bookmarkStart w:id="45" w:name="_Toc15377221"/>
      <w:r>
        <w:rPr>
          <w:rStyle w:val="26"/>
          <w:rFonts w:hint="eastAsia" w:ascii="黑体" w:hAnsi="黑体" w:eastAsia="黑体"/>
          <w:b w:val="0"/>
          <w:color w:val="auto"/>
          <w:highlight w:val="none"/>
        </w:rPr>
        <w:t>其他重要事项的情况说明</w:t>
      </w:r>
      <w:bookmarkEnd w:id="44"/>
      <w:bookmarkEnd w:id="45"/>
    </w:p>
    <w:p w14:paraId="34B19111">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5F054019">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sz w:val="32"/>
          <w:szCs w:val="32"/>
          <w:highlight w:val="none"/>
        </w:rPr>
        <w:t>建平初级中学运行经费支出0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万元，比</w:t>
      </w:r>
      <w:r>
        <w:rPr>
          <w:rFonts w:ascii="仿宋_GB2312" w:eastAsia="仿宋_GB2312"/>
          <w:sz w:val="32"/>
          <w:szCs w:val="32"/>
          <w:highlight w:val="none"/>
        </w:rPr>
        <w:t>20</w:t>
      </w:r>
      <w:r>
        <w:rPr>
          <w:rFonts w:hint="eastAsia" w:ascii="仿宋_GB2312" w:eastAsia="仿宋_GB2312"/>
          <w:sz w:val="32"/>
          <w:szCs w:val="32"/>
          <w:highlight w:val="none"/>
        </w:rPr>
        <w:t>20年增加0</w:t>
      </w:r>
      <w:r>
        <w:rPr>
          <w:rFonts w:hint="eastAsia" w:ascii="仿宋_GB2312" w:eastAsia="仿宋_GB2312"/>
          <w:sz w:val="32"/>
          <w:szCs w:val="32"/>
          <w:highlight w:val="none"/>
          <w:lang w:val="en-US" w:eastAsia="zh-CN"/>
        </w:rPr>
        <w:t>.00</w:t>
      </w:r>
      <w:r>
        <w:rPr>
          <w:rFonts w:hint="eastAsia" w:ascii="仿宋_GB2312" w:eastAsia="仿宋_GB2312"/>
          <w:sz w:val="32"/>
          <w:szCs w:val="32"/>
          <w:highlight w:val="none"/>
        </w:rPr>
        <w:t>万元，增长0</w:t>
      </w:r>
      <w:r>
        <w:rPr>
          <w:rFonts w:hint="eastAsia" w:ascii="仿宋_GB2312" w:eastAsia="仿宋_GB2312"/>
          <w:sz w:val="32"/>
          <w:szCs w:val="32"/>
          <w:highlight w:val="none"/>
          <w:lang w:val="en-US" w:eastAsia="zh-CN"/>
        </w:rPr>
        <w:t>.00</w:t>
      </w:r>
      <w:r>
        <w:rPr>
          <w:rFonts w:ascii="仿宋_GB2312" w:eastAsia="仿宋_GB2312"/>
          <w:sz w:val="32"/>
          <w:szCs w:val="32"/>
          <w:highlight w:val="none"/>
        </w:rPr>
        <w:t>%</w:t>
      </w:r>
      <w:r>
        <w:rPr>
          <w:rFonts w:hint="eastAsia" w:ascii="仿宋_GB2312" w:eastAsia="仿宋_GB2312"/>
          <w:color w:val="000000" w:themeColor="text1"/>
          <w:sz w:val="32"/>
          <w:szCs w:val="32"/>
          <w:highlight w:val="none"/>
          <w14:textFill>
            <w14:solidFill>
              <w14:schemeClr w14:val="tx1"/>
            </w14:solidFill>
          </w14:textFill>
        </w:rPr>
        <w:t>。</w:t>
      </w:r>
    </w:p>
    <w:p w14:paraId="1D8065D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41EE57EC">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000000" w:themeColor="text1"/>
          <w:sz w:val="32"/>
          <w:szCs w:val="32"/>
          <w:highlight w:val="none"/>
          <w14:textFill>
            <w14:solidFill>
              <w14:schemeClr w14:val="tx1"/>
            </w14:solidFill>
          </w14:textFill>
        </w:rPr>
        <w:t>建平初级中学政府采购支出总额0.00万元。</w:t>
      </w:r>
    </w:p>
    <w:p w14:paraId="208D7882">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7D6C41F6">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sz w:val="32"/>
          <w:szCs w:val="32"/>
          <w:highlight w:val="none"/>
        </w:rPr>
        <w:t>建平初级中学共有车辆0辆，单价</w:t>
      </w:r>
      <w:r>
        <w:rPr>
          <w:rFonts w:ascii="仿宋_GB2312" w:eastAsia="仿宋_GB2312"/>
          <w:sz w:val="32"/>
          <w:szCs w:val="32"/>
          <w:highlight w:val="none"/>
        </w:rPr>
        <w:t>50</w:t>
      </w:r>
      <w:r>
        <w:rPr>
          <w:rFonts w:hint="eastAsia" w:ascii="仿宋_GB2312" w:eastAsia="仿宋_GB2312"/>
          <w:sz w:val="32"/>
          <w:szCs w:val="32"/>
          <w:highlight w:val="none"/>
        </w:rPr>
        <w:t>万元以上通用设备0台（套），单价</w:t>
      </w:r>
      <w:r>
        <w:rPr>
          <w:rFonts w:ascii="仿宋_GB2312" w:eastAsia="仿宋_GB2312"/>
          <w:sz w:val="32"/>
          <w:szCs w:val="32"/>
          <w:highlight w:val="none"/>
        </w:rPr>
        <w:t>100</w:t>
      </w:r>
      <w:r>
        <w:rPr>
          <w:rFonts w:hint="eastAsia" w:ascii="仿宋_GB2312" w:eastAsia="仿宋_GB2312"/>
          <w:sz w:val="32"/>
          <w:szCs w:val="32"/>
          <w:highlight w:val="none"/>
        </w:rPr>
        <w:t>万元以上专用设备0台（套）。</w:t>
      </w:r>
    </w:p>
    <w:p w14:paraId="244BAFDC">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248B9F1A">
      <w:pPr>
        <w:pStyle w:val="2"/>
        <w:ind w:firstLine="640" w:firstLineChars="200"/>
        <w:rPr>
          <w:color w:val="auto"/>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营养餐改善计划、热水澡工程运行维护</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个项目编制了绩效目标，预算执行过程中，选</w:t>
      </w:r>
      <w:bookmarkStart w:id="96" w:name="_GoBack"/>
      <w:bookmarkEnd w:id="96"/>
      <w:r>
        <w:rPr>
          <w:rFonts w:hint="eastAsia" w:ascii="仿宋_GB2312" w:hAnsi="仿宋_GB2312" w:eastAsia="仿宋_GB2312" w:cs="仿宋_GB2312"/>
          <w:color w:val="auto"/>
          <w:sz w:val="32"/>
          <w:szCs w:val="32"/>
          <w:highlight w:val="none"/>
        </w:rPr>
        <w:t>取</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214DD24A">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E566979">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14:paraId="7974C9C3">
      <w:pPr>
        <w:spacing w:line="600" w:lineRule="exact"/>
        <w:jc w:val="left"/>
        <w:rPr>
          <w:rFonts w:ascii="宋体"/>
          <w:b/>
          <w:color w:val="auto"/>
          <w:sz w:val="44"/>
          <w:szCs w:val="44"/>
          <w:highlight w:val="none"/>
        </w:rPr>
      </w:pPr>
    </w:p>
    <w:p w14:paraId="56E3A940">
      <w:pPr>
        <w:pStyle w:val="23"/>
        <w:snapToGrid w:val="0"/>
        <w:spacing w:line="560" w:lineRule="exact"/>
        <w:ind w:firstLine="640" w:firstLineChars="200"/>
        <w:outlineLvl w:val="1"/>
        <w:rPr>
          <w:rFonts w:ascii="仿宋_GB2312" w:eastAsia="仿宋_GB2312"/>
          <w:color w:val="auto"/>
          <w:sz w:val="32"/>
          <w:szCs w:val="32"/>
          <w:highlight w:val="none"/>
        </w:rPr>
      </w:pPr>
      <w:bookmarkStart w:id="51" w:name="_Toc3288"/>
      <w:bookmarkStart w:id="52" w:name="_Toc15680"/>
      <w:bookmarkStart w:id="53" w:name="_Toc5536"/>
      <w:bookmarkStart w:id="54" w:name="_Toc15377226"/>
      <w:r>
        <w:rPr>
          <w:rFonts w:hint="eastAsia" w:ascii="仿宋_GB2312" w:eastAsia="仿宋_GB2312"/>
          <w:color w:val="auto"/>
          <w:sz w:val="32"/>
          <w:szCs w:val="32"/>
          <w:highlight w:val="none"/>
        </w:rPr>
        <w:t>1.财</w:t>
      </w:r>
      <w:r>
        <w:rPr>
          <w:rFonts w:hint="eastAsia" w:ascii="仿宋_GB2312" w:eastAsia="仿宋_GB2312"/>
          <w:color w:val="auto"/>
          <w:spacing w:val="-6"/>
          <w:sz w:val="32"/>
          <w:szCs w:val="32"/>
          <w:highlight w:val="none"/>
        </w:rPr>
        <w:t>政拨款收入：指单位从同级财政部门取得的财政预算资金</w:t>
      </w:r>
      <w:r>
        <w:rPr>
          <w:rFonts w:hint="eastAsia" w:ascii="仿宋_GB2312" w:eastAsia="仿宋_GB2312"/>
          <w:color w:val="auto"/>
          <w:sz w:val="32"/>
          <w:szCs w:val="32"/>
          <w:highlight w:val="none"/>
        </w:rPr>
        <w:t>。</w:t>
      </w:r>
      <w:bookmarkEnd w:id="51"/>
      <w:bookmarkEnd w:id="52"/>
      <w:bookmarkEnd w:id="53"/>
    </w:p>
    <w:p w14:paraId="24A98D7F">
      <w:pPr>
        <w:pStyle w:val="23"/>
        <w:snapToGrid w:val="0"/>
        <w:spacing w:line="560" w:lineRule="exact"/>
        <w:ind w:firstLine="640" w:firstLineChars="200"/>
        <w:outlineLvl w:val="1"/>
        <w:rPr>
          <w:rFonts w:ascii="仿宋_GB2312" w:eastAsia="仿宋_GB2312"/>
          <w:color w:val="auto"/>
          <w:sz w:val="32"/>
          <w:szCs w:val="32"/>
          <w:highlight w:val="none"/>
        </w:rPr>
      </w:pPr>
      <w:bookmarkStart w:id="55" w:name="_Toc18447"/>
      <w:bookmarkStart w:id="56" w:name="_Toc6452"/>
      <w:bookmarkStart w:id="57" w:name="_Toc8473"/>
      <w:r>
        <w:rPr>
          <w:rFonts w:hint="eastAsia" w:ascii="仿宋_GB2312" w:eastAsia="仿宋_GB2312"/>
          <w:color w:val="auto"/>
          <w:sz w:val="32"/>
          <w:szCs w:val="32"/>
          <w:highlight w:val="none"/>
        </w:rPr>
        <w:t>2.事业收入：指事业单位开展专业业务活动及辅助活动取得的收入。</w:t>
      </w:r>
      <w:bookmarkEnd w:id="55"/>
      <w:bookmarkEnd w:id="56"/>
      <w:bookmarkEnd w:id="57"/>
    </w:p>
    <w:p w14:paraId="51CDD828">
      <w:pPr>
        <w:pStyle w:val="23"/>
        <w:snapToGrid w:val="0"/>
        <w:spacing w:line="560" w:lineRule="exact"/>
        <w:ind w:firstLine="640" w:firstLineChars="200"/>
        <w:outlineLvl w:val="2"/>
        <w:rPr>
          <w:rFonts w:ascii="仿宋_GB2312" w:eastAsia="仿宋_GB2312"/>
          <w:color w:val="auto"/>
          <w:sz w:val="32"/>
          <w:szCs w:val="32"/>
          <w:highlight w:val="none"/>
        </w:rPr>
      </w:pPr>
      <w:bookmarkStart w:id="58" w:name="_Toc14375"/>
      <w:r>
        <w:rPr>
          <w:rFonts w:hint="eastAsia" w:ascii="仿宋_GB2312" w:eastAsia="仿宋_GB2312"/>
          <w:color w:val="auto"/>
          <w:sz w:val="32"/>
          <w:szCs w:val="32"/>
          <w:highlight w:val="none"/>
        </w:rPr>
        <w:t>3.经营收入：指事业单位在专业业务活动及其辅助活动之外开展非独立核算经营活动取得的收入。。</w:t>
      </w:r>
      <w:bookmarkEnd w:id="58"/>
    </w:p>
    <w:p w14:paraId="3D4B87E7">
      <w:pPr>
        <w:pStyle w:val="23"/>
        <w:snapToGrid w:val="0"/>
        <w:spacing w:line="560" w:lineRule="exact"/>
        <w:ind w:firstLine="640" w:firstLineChars="200"/>
        <w:outlineLvl w:val="2"/>
        <w:rPr>
          <w:rFonts w:ascii="仿宋_GB2312" w:eastAsia="仿宋_GB2312"/>
          <w:color w:val="auto"/>
          <w:sz w:val="32"/>
          <w:szCs w:val="32"/>
          <w:highlight w:val="none"/>
        </w:rPr>
      </w:pPr>
      <w:bookmarkStart w:id="59" w:name="_Toc21622"/>
      <w:r>
        <w:rPr>
          <w:rFonts w:hint="eastAsia" w:ascii="仿宋_GB2312" w:eastAsia="仿宋_GB2312"/>
          <w:color w:val="auto"/>
          <w:sz w:val="32"/>
          <w:szCs w:val="32"/>
          <w:highlight w:val="none"/>
        </w:rPr>
        <w:t>4.其他收入：指单位取得的除上述收入以外的各项收入。主要是学前教育保育教育费收入、银行存款利息收入等。</w:t>
      </w:r>
      <w:bookmarkEnd w:id="59"/>
      <w:r>
        <w:rPr>
          <w:rFonts w:hint="eastAsia" w:ascii="仿宋_GB2312" w:eastAsia="仿宋_GB2312"/>
          <w:color w:val="auto"/>
          <w:sz w:val="32"/>
          <w:szCs w:val="32"/>
          <w:highlight w:val="none"/>
        </w:rPr>
        <w:t xml:space="preserve"> </w:t>
      </w:r>
    </w:p>
    <w:p w14:paraId="5A994369">
      <w:pPr>
        <w:pStyle w:val="23"/>
        <w:snapToGrid w:val="0"/>
        <w:spacing w:line="560" w:lineRule="exact"/>
        <w:ind w:firstLine="640" w:firstLineChars="200"/>
        <w:outlineLvl w:val="2"/>
        <w:rPr>
          <w:rFonts w:ascii="仿宋_GB2312" w:eastAsia="仿宋_GB2312"/>
          <w:color w:val="auto"/>
          <w:sz w:val="32"/>
          <w:szCs w:val="32"/>
          <w:highlight w:val="none"/>
        </w:rPr>
      </w:pPr>
      <w:bookmarkStart w:id="60" w:name="_Toc1105"/>
      <w:r>
        <w:rPr>
          <w:rFonts w:hint="eastAsia" w:ascii="仿宋_GB2312" w:eastAsia="仿宋_GB2312"/>
          <w:color w:val="auto"/>
          <w:sz w:val="32"/>
          <w:szCs w:val="32"/>
          <w:highlight w:val="none"/>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60"/>
      <w:r>
        <w:rPr>
          <w:rFonts w:hint="eastAsia" w:ascii="仿宋_GB2312" w:eastAsia="仿宋_GB2312"/>
          <w:color w:val="auto"/>
          <w:sz w:val="32"/>
          <w:szCs w:val="32"/>
          <w:highlight w:val="none"/>
        </w:rPr>
        <w:t xml:space="preserve"> </w:t>
      </w:r>
    </w:p>
    <w:p w14:paraId="5A25395C">
      <w:pPr>
        <w:pStyle w:val="23"/>
        <w:snapToGrid w:val="0"/>
        <w:spacing w:line="560" w:lineRule="exact"/>
        <w:ind w:firstLine="640" w:firstLineChars="200"/>
        <w:outlineLvl w:val="1"/>
        <w:rPr>
          <w:rFonts w:ascii="仿宋_GB2312" w:eastAsia="仿宋_GB2312"/>
          <w:color w:val="auto"/>
          <w:sz w:val="32"/>
          <w:szCs w:val="32"/>
          <w:highlight w:val="none"/>
        </w:rPr>
      </w:pPr>
      <w:bookmarkStart w:id="61" w:name="_Toc20496"/>
      <w:bookmarkStart w:id="62" w:name="_Toc10972"/>
      <w:bookmarkStart w:id="63" w:name="_Toc8656"/>
      <w:r>
        <w:rPr>
          <w:rFonts w:hint="eastAsia" w:ascii="仿宋_GB2312" w:eastAsia="仿宋_GB2312"/>
          <w:color w:val="auto"/>
          <w:sz w:val="32"/>
          <w:szCs w:val="32"/>
          <w:highlight w:val="none"/>
        </w:rPr>
        <w:t>6.年初结转和结余：指以前年度尚未完成、结转到本年按有关规定继续使用的资金。</w:t>
      </w:r>
      <w:bookmarkEnd w:id="61"/>
      <w:bookmarkEnd w:id="62"/>
      <w:bookmarkEnd w:id="63"/>
    </w:p>
    <w:p w14:paraId="60A09372">
      <w:pPr>
        <w:pStyle w:val="23"/>
        <w:snapToGrid w:val="0"/>
        <w:spacing w:line="560" w:lineRule="exact"/>
        <w:ind w:firstLine="640" w:firstLineChars="200"/>
        <w:outlineLvl w:val="2"/>
        <w:rPr>
          <w:rFonts w:ascii="仿宋_GB2312" w:eastAsia="仿宋_GB2312"/>
          <w:color w:val="auto"/>
          <w:sz w:val="32"/>
          <w:szCs w:val="32"/>
          <w:highlight w:val="none"/>
        </w:rPr>
      </w:pPr>
      <w:bookmarkStart w:id="64" w:name="_Toc1939"/>
      <w:r>
        <w:rPr>
          <w:rFonts w:hint="eastAsia" w:ascii="仿宋_GB2312" w:eastAsia="仿宋_GB2312"/>
          <w:color w:val="auto"/>
          <w:sz w:val="32"/>
          <w:szCs w:val="32"/>
          <w:highlight w:val="none"/>
        </w:rPr>
        <w:t>7.结余分配：指事业单位按照事业单位会计制度的规定从非财政补助结余中分配的事业基金和职工福利基金等。</w:t>
      </w:r>
      <w:bookmarkEnd w:id="64"/>
    </w:p>
    <w:p w14:paraId="47A3BF66">
      <w:pPr>
        <w:pStyle w:val="23"/>
        <w:snapToGrid w:val="0"/>
        <w:spacing w:line="560" w:lineRule="exact"/>
        <w:ind w:firstLine="640" w:firstLineChars="200"/>
        <w:outlineLvl w:val="1"/>
        <w:rPr>
          <w:rFonts w:ascii="仿宋_GB2312" w:eastAsia="仿宋_GB2312"/>
          <w:color w:val="auto"/>
          <w:sz w:val="32"/>
          <w:szCs w:val="32"/>
          <w:highlight w:val="none"/>
        </w:rPr>
      </w:pPr>
      <w:bookmarkStart w:id="65" w:name="_Toc26707"/>
      <w:bookmarkStart w:id="66" w:name="_Toc1650"/>
      <w:bookmarkStart w:id="67" w:name="_Toc17823"/>
      <w:r>
        <w:rPr>
          <w:rFonts w:hint="eastAsia" w:ascii="仿宋_GB2312" w:eastAsia="仿宋_GB2312"/>
          <w:color w:val="auto"/>
          <w:sz w:val="32"/>
          <w:szCs w:val="32"/>
          <w:highlight w:val="none"/>
        </w:rPr>
        <w:t>8、年末结转和结余：指单位按有关规定结转到下年或以后年度继续使用的资金。</w:t>
      </w:r>
      <w:bookmarkEnd w:id="65"/>
      <w:bookmarkEnd w:id="66"/>
      <w:bookmarkEnd w:id="67"/>
    </w:p>
    <w:p w14:paraId="4D244C0E">
      <w:pPr>
        <w:pStyle w:val="23"/>
        <w:snapToGrid w:val="0"/>
        <w:spacing w:line="560" w:lineRule="exact"/>
        <w:ind w:firstLine="640" w:firstLineChars="200"/>
        <w:outlineLvl w:val="2"/>
        <w:rPr>
          <w:rFonts w:ascii="仿宋_GB2312" w:eastAsia="仿宋_GB2312"/>
          <w:color w:val="auto"/>
          <w:sz w:val="32"/>
          <w:szCs w:val="32"/>
          <w:highlight w:val="none"/>
        </w:rPr>
      </w:pPr>
      <w:bookmarkStart w:id="68" w:name="_Toc15835"/>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bookmarkEnd w:id="68"/>
    </w:p>
    <w:p w14:paraId="239B6A18">
      <w:pPr>
        <w:pStyle w:val="23"/>
        <w:snapToGrid w:val="0"/>
        <w:spacing w:line="560" w:lineRule="exact"/>
        <w:ind w:firstLine="640" w:firstLineChars="200"/>
        <w:outlineLvl w:val="2"/>
        <w:rPr>
          <w:rFonts w:ascii="仿宋_GB2312" w:eastAsia="仿宋_GB2312"/>
          <w:color w:val="auto"/>
          <w:sz w:val="32"/>
          <w:szCs w:val="32"/>
          <w:highlight w:val="none"/>
        </w:rPr>
      </w:pPr>
      <w:bookmarkStart w:id="69" w:name="_Toc10966"/>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教育支出（类）普通教育（款）初中教育（项）: 反映各部门举办的初中教育支出。政府各部门对社会中介组织等举办的初中教育的资助，如捐赠、补贴等，也在本科目中反映。</w:t>
      </w:r>
      <w:bookmarkEnd w:id="69"/>
    </w:p>
    <w:p w14:paraId="3CA4B31C">
      <w:pPr>
        <w:pStyle w:val="23"/>
        <w:snapToGrid w:val="0"/>
        <w:spacing w:line="560" w:lineRule="exact"/>
        <w:ind w:firstLine="640" w:firstLineChars="200"/>
        <w:outlineLvl w:val="2"/>
        <w:rPr>
          <w:rFonts w:ascii="仿宋_GB2312" w:eastAsia="仿宋_GB2312"/>
          <w:color w:val="auto"/>
          <w:sz w:val="32"/>
          <w:szCs w:val="32"/>
          <w:highlight w:val="none"/>
        </w:rPr>
      </w:pPr>
      <w:bookmarkStart w:id="70" w:name="_Toc12355"/>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教育支出（类）普通教育（款）其它普通教育（项）: 反映除上述项目以外其他用于普通教育方面的支出。</w:t>
      </w:r>
      <w:bookmarkEnd w:id="70"/>
    </w:p>
    <w:p w14:paraId="4B2721DC">
      <w:pPr>
        <w:pStyle w:val="23"/>
        <w:snapToGrid w:val="0"/>
        <w:spacing w:line="560" w:lineRule="exact"/>
        <w:ind w:firstLine="640" w:firstLineChars="200"/>
        <w:outlineLvl w:val="2"/>
        <w:rPr>
          <w:rFonts w:ascii="仿宋_GB2312" w:eastAsia="仿宋_GB2312"/>
          <w:color w:val="auto"/>
          <w:sz w:val="32"/>
          <w:szCs w:val="32"/>
          <w:highlight w:val="none"/>
        </w:rPr>
      </w:pPr>
      <w:bookmarkStart w:id="71" w:name="_Toc17445"/>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bookmarkEnd w:id="71"/>
    </w:p>
    <w:p w14:paraId="4D0213F6">
      <w:pPr>
        <w:pStyle w:val="23"/>
        <w:snapToGrid w:val="0"/>
        <w:spacing w:line="560" w:lineRule="exact"/>
        <w:ind w:firstLine="640" w:firstLineChars="200"/>
        <w:outlineLvl w:val="2"/>
        <w:rPr>
          <w:rFonts w:ascii="仿宋_GB2312" w:eastAsia="仿宋_GB2312"/>
          <w:color w:val="auto"/>
          <w:sz w:val="32"/>
          <w:szCs w:val="32"/>
          <w:highlight w:val="none"/>
        </w:rPr>
      </w:pPr>
      <w:bookmarkStart w:id="72" w:name="_Toc21221"/>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医疗卫生与计划生育（类）行政事业单位医疗（款）事业单位医疗（项）: 指财政部门安排的事业单位基本医疗保险缴费经费，未参加医疗保险的事业单位的公费医疗经费，按国家规定享受离休人员待遇的医疗经费。</w:t>
      </w:r>
      <w:bookmarkEnd w:id="72"/>
    </w:p>
    <w:p w14:paraId="677D2288">
      <w:pPr>
        <w:pStyle w:val="23"/>
        <w:snapToGrid w:val="0"/>
        <w:spacing w:line="560" w:lineRule="exact"/>
        <w:ind w:firstLine="640" w:firstLineChars="200"/>
        <w:outlineLvl w:val="2"/>
        <w:rPr>
          <w:rFonts w:ascii="仿宋_GB2312" w:eastAsia="仿宋_GB2312"/>
          <w:color w:val="auto"/>
          <w:sz w:val="32"/>
          <w:szCs w:val="32"/>
          <w:highlight w:val="none"/>
        </w:rPr>
      </w:pPr>
      <w:bookmarkStart w:id="73" w:name="_Toc15252"/>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w:t>
      </w:r>
      <w:bookmarkEnd w:id="73"/>
      <w:bookmarkStart w:id="74" w:name="_Toc916"/>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bookmarkEnd w:id="74"/>
    </w:p>
    <w:p w14:paraId="5654B2D0">
      <w:pPr>
        <w:pStyle w:val="23"/>
        <w:snapToGrid w:val="0"/>
        <w:spacing w:line="560" w:lineRule="exact"/>
        <w:ind w:firstLine="640" w:firstLineChars="200"/>
        <w:outlineLvl w:val="2"/>
        <w:rPr>
          <w:rFonts w:ascii="仿宋_GB2312" w:eastAsia="仿宋_GB2312"/>
          <w:color w:val="auto"/>
          <w:sz w:val="32"/>
          <w:szCs w:val="32"/>
          <w:highlight w:val="none"/>
        </w:rPr>
      </w:pPr>
      <w:bookmarkStart w:id="75" w:name="_Toc17121"/>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.基本支出：指为保障机构正常运转、完成日常工作任务而发生的人员支出和公用支出。</w:t>
      </w:r>
      <w:bookmarkEnd w:id="75"/>
    </w:p>
    <w:p w14:paraId="506DDA70">
      <w:pPr>
        <w:pStyle w:val="23"/>
        <w:snapToGrid w:val="0"/>
        <w:spacing w:line="560" w:lineRule="exact"/>
        <w:ind w:firstLine="640" w:firstLineChars="200"/>
        <w:outlineLvl w:val="1"/>
        <w:rPr>
          <w:rFonts w:ascii="仿宋_GB2312" w:eastAsia="仿宋_GB2312"/>
          <w:color w:val="auto"/>
          <w:sz w:val="32"/>
          <w:szCs w:val="32"/>
          <w:highlight w:val="none"/>
        </w:rPr>
      </w:pPr>
      <w:bookmarkStart w:id="76" w:name="_Toc31294"/>
      <w:bookmarkStart w:id="77" w:name="_Toc32046"/>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.项目支出：指在基本支出之外为完成特定行政任务和事业发展目标所发生的支出。</w:t>
      </w:r>
      <w:bookmarkEnd w:id="76"/>
      <w:bookmarkEnd w:id="77"/>
      <w:r>
        <w:rPr>
          <w:rFonts w:hint="eastAsia" w:ascii="仿宋_GB2312" w:eastAsia="仿宋_GB2312"/>
          <w:color w:val="auto"/>
          <w:sz w:val="32"/>
          <w:szCs w:val="32"/>
          <w:highlight w:val="none"/>
        </w:rPr>
        <w:t xml:space="preserve"> </w:t>
      </w:r>
    </w:p>
    <w:p w14:paraId="6D383EE2">
      <w:pPr>
        <w:pStyle w:val="23"/>
        <w:snapToGrid w:val="0"/>
        <w:spacing w:line="560" w:lineRule="exact"/>
        <w:ind w:firstLine="640" w:firstLineChars="200"/>
        <w:outlineLvl w:val="2"/>
        <w:rPr>
          <w:rFonts w:ascii="仿宋_GB2312" w:eastAsia="仿宋_GB2312"/>
          <w:color w:val="auto"/>
          <w:sz w:val="32"/>
          <w:szCs w:val="32"/>
          <w:highlight w:val="none"/>
        </w:rPr>
      </w:pPr>
      <w:bookmarkStart w:id="78" w:name="_Toc863"/>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.经营支出：指事业单位在专业业务活动及其辅助活动之外开展非独立核算经营活动发生的支出。</w:t>
      </w:r>
      <w:bookmarkEnd w:id="78"/>
    </w:p>
    <w:p w14:paraId="10CD6DC2">
      <w:pPr>
        <w:pStyle w:val="23"/>
        <w:snapToGrid w:val="0"/>
        <w:spacing w:line="560" w:lineRule="exact"/>
        <w:ind w:firstLine="640" w:firstLineChars="200"/>
        <w:outlineLvl w:val="2"/>
        <w:rPr>
          <w:rFonts w:ascii="仿宋_GB2312" w:eastAsia="仿宋_GB2312"/>
          <w:color w:val="auto"/>
          <w:sz w:val="32"/>
          <w:szCs w:val="32"/>
          <w:highlight w:val="none"/>
        </w:rPr>
      </w:pPr>
      <w:bookmarkStart w:id="79" w:name="_Toc18034"/>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79"/>
    </w:p>
    <w:p w14:paraId="6CA309A8">
      <w:pPr>
        <w:snapToGrid w:val="0"/>
        <w:spacing w:line="560" w:lineRule="exact"/>
        <w:ind w:firstLine="640" w:firstLineChars="200"/>
        <w:outlineLvl w:val="2"/>
        <w:rPr>
          <w:rFonts w:ascii="仿宋_GB2312" w:eastAsia="仿宋_GB2312"/>
          <w:sz w:val="32"/>
          <w:szCs w:val="32"/>
          <w:highlight w:val="none"/>
        </w:rPr>
      </w:pPr>
      <w:bookmarkStart w:id="80" w:name="_Toc23926"/>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80"/>
    </w:p>
    <w:p w14:paraId="016DBBFD">
      <w:pPr>
        <w:widowControl/>
        <w:jc w:val="left"/>
        <w:rPr>
          <w:rFonts w:ascii="黑体" w:hAnsi="黑体" w:eastAsia="黑体"/>
          <w:sz w:val="44"/>
          <w:szCs w:val="44"/>
          <w:highlight w:val="none"/>
        </w:rPr>
      </w:pPr>
    </w:p>
    <w:p w14:paraId="1CD5F217">
      <w:pPr>
        <w:spacing w:line="600" w:lineRule="exact"/>
        <w:jc w:val="center"/>
        <w:outlineLvl w:val="0"/>
        <w:rPr>
          <w:rStyle w:val="25"/>
          <w:rFonts w:ascii="黑体" w:hAnsi="黑体" w:eastAsia="黑体"/>
          <w:b w:val="0"/>
          <w:color w:val="auto"/>
          <w:highlight w:val="none"/>
        </w:rPr>
      </w:pPr>
      <w:r>
        <w:rPr>
          <w:rFonts w:ascii="宋体"/>
          <w:b/>
          <w:color w:val="auto"/>
          <w:sz w:val="44"/>
          <w:szCs w:val="44"/>
          <w:highlight w:val="none"/>
        </w:rPr>
        <w:br w:type="page"/>
      </w:r>
      <w:bookmarkStart w:id="81"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81"/>
    </w:p>
    <w:p w14:paraId="24682B4F">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82" w:name="_Toc15396618"/>
      <w:r>
        <w:rPr>
          <w:rFonts w:hint="eastAsia" w:ascii="宋体" w:hAnsi="宋体" w:eastAsia="宋体" w:cs="宋体"/>
          <w:color w:val="auto"/>
          <w:kern w:val="0"/>
          <w:sz w:val="32"/>
          <w:szCs w:val="32"/>
          <w:highlight w:val="none"/>
          <w:lang w:val="en-US" w:eastAsia="zh-CN" w:bidi="ar-SA"/>
        </w:rPr>
        <w:t>部门预算项目支出绩效自评表（202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14:paraId="6DF1487F">
      <w:pPr>
        <w:pStyle w:val="2"/>
        <w:tabs>
          <w:tab w:val="left" w:pos="2932"/>
        </w:tabs>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ab/>
      </w:r>
    </w:p>
    <w:p w14:paraId="70D842A6">
      <w:pPr>
        <w:pStyle w:val="2"/>
        <w:tabs>
          <w:tab w:val="left" w:pos="2932"/>
        </w:tabs>
        <w:rPr>
          <w:rFonts w:hint="eastAsia" w:ascii="宋体" w:hAnsi="宋体" w:eastAsia="宋体" w:cs="宋体"/>
          <w:color w:val="auto"/>
          <w:kern w:val="0"/>
          <w:sz w:val="32"/>
          <w:szCs w:val="32"/>
          <w:highlight w:val="none"/>
          <w:lang w:val="en-US" w:eastAsia="zh-CN" w:bidi="ar-SA"/>
        </w:rPr>
      </w:pPr>
    </w:p>
    <w:p w14:paraId="2E85C702">
      <w:pPr>
        <w:pStyle w:val="2"/>
        <w:tabs>
          <w:tab w:val="left" w:pos="2932"/>
        </w:tabs>
        <w:rPr>
          <w:rFonts w:hint="eastAsia" w:ascii="宋体" w:hAnsi="宋体" w:eastAsia="宋体" w:cs="宋体"/>
          <w:color w:val="auto"/>
          <w:kern w:val="0"/>
          <w:sz w:val="32"/>
          <w:szCs w:val="32"/>
          <w:highlight w:val="none"/>
          <w:lang w:val="en-US" w:eastAsia="zh-CN" w:bidi="ar-SA"/>
        </w:rPr>
      </w:pPr>
    </w:p>
    <w:p w14:paraId="06E460CB">
      <w:pPr>
        <w:pStyle w:val="2"/>
        <w:tabs>
          <w:tab w:val="left" w:pos="2932"/>
        </w:tabs>
        <w:rPr>
          <w:rFonts w:hint="eastAsia" w:ascii="宋体" w:hAnsi="宋体" w:eastAsia="宋体" w:cs="宋体"/>
          <w:color w:val="auto"/>
          <w:kern w:val="0"/>
          <w:sz w:val="32"/>
          <w:szCs w:val="32"/>
          <w:highlight w:val="none"/>
          <w:lang w:val="en-US" w:eastAsia="zh-CN" w:bidi="ar-SA"/>
        </w:rPr>
      </w:pPr>
    </w:p>
    <w:p w14:paraId="096C1FDA">
      <w:pPr>
        <w:pStyle w:val="2"/>
        <w:tabs>
          <w:tab w:val="left" w:pos="2932"/>
        </w:tabs>
        <w:rPr>
          <w:rFonts w:hint="eastAsia" w:ascii="宋体" w:hAnsi="宋体" w:eastAsia="宋体" w:cs="宋体"/>
          <w:color w:val="auto"/>
          <w:kern w:val="0"/>
          <w:sz w:val="32"/>
          <w:szCs w:val="32"/>
          <w:highlight w:val="none"/>
          <w:lang w:val="en-US" w:eastAsia="zh-CN" w:bidi="ar-SA"/>
        </w:rPr>
      </w:pPr>
    </w:p>
    <w:p w14:paraId="33885052">
      <w:pPr>
        <w:pStyle w:val="2"/>
        <w:tabs>
          <w:tab w:val="left" w:pos="2932"/>
        </w:tabs>
        <w:rPr>
          <w:rFonts w:hint="eastAsia" w:ascii="宋体" w:hAnsi="宋体" w:eastAsia="宋体" w:cs="宋体"/>
          <w:color w:val="auto"/>
          <w:kern w:val="0"/>
          <w:sz w:val="32"/>
          <w:szCs w:val="32"/>
          <w:highlight w:val="none"/>
          <w:lang w:val="en-US" w:eastAsia="zh-CN" w:bidi="ar-SA"/>
        </w:rPr>
      </w:pPr>
    </w:p>
    <w:p w14:paraId="4678A789">
      <w:pPr>
        <w:pStyle w:val="2"/>
        <w:tabs>
          <w:tab w:val="left" w:pos="2932"/>
        </w:tabs>
        <w:rPr>
          <w:rFonts w:hint="eastAsia" w:ascii="宋体" w:hAnsi="宋体" w:eastAsia="宋体" w:cs="宋体"/>
          <w:color w:val="auto"/>
          <w:kern w:val="0"/>
          <w:sz w:val="32"/>
          <w:szCs w:val="32"/>
          <w:highlight w:val="none"/>
          <w:lang w:val="en-US" w:eastAsia="zh-CN" w:bidi="ar-SA"/>
        </w:rPr>
      </w:pPr>
    </w:p>
    <w:p w14:paraId="787382F4">
      <w:pPr>
        <w:pStyle w:val="2"/>
        <w:tabs>
          <w:tab w:val="left" w:pos="2932"/>
        </w:tabs>
        <w:rPr>
          <w:rFonts w:hint="eastAsia" w:ascii="宋体" w:hAnsi="宋体" w:eastAsia="宋体" w:cs="宋体"/>
          <w:color w:val="auto"/>
          <w:kern w:val="0"/>
          <w:sz w:val="32"/>
          <w:szCs w:val="32"/>
          <w:highlight w:val="none"/>
          <w:lang w:val="en-US" w:eastAsia="zh-CN" w:bidi="ar-SA"/>
        </w:rPr>
      </w:pPr>
    </w:p>
    <w:p w14:paraId="50BEAFB2">
      <w:pPr>
        <w:pStyle w:val="2"/>
        <w:tabs>
          <w:tab w:val="left" w:pos="2932"/>
        </w:tabs>
        <w:rPr>
          <w:rFonts w:hint="eastAsia" w:ascii="宋体" w:hAnsi="宋体" w:eastAsia="宋体" w:cs="宋体"/>
          <w:color w:val="auto"/>
          <w:kern w:val="0"/>
          <w:sz w:val="32"/>
          <w:szCs w:val="32"/>
          <w:highlight w:val="none"/>
          <w:lang w:val="en-US" w:eastAsia="zh-CN" w:bidi="ar-SA"/>
        </w:rPr>
      </w:pPr>
    </w:p>
    <w:p w14:paraId="3E27291F">
      <w:pPr>
        <w:pStyle w:val="2"/>
        <w:tabs>
          <w:tab w:val="left" w:pos="2932"/>
        </w:tabs>
        <w:rPr>
          <w:rFonts w:hint="eastAsia" w:ascii="宋体" w:hAnsi="宋体" w:eastAsia="宋体" w:cs="宋体"/>
          <w:color w:val="auto"/>
          <w:kern w:val="0"/>
          <w:sz w:val="32"/>
          <w:szCs w:val="32"/>
          <w:highlight w:val="none"/>
          <w:lang w:val="en-US" w:eastAsia="zh-CN" w:bidi="ar-SA"/>
        </w:rPr>
      </w:pPr>
    </w:p>
    <w:p w14:paraId="0A1D7432">
      <w:pPr>
        <w:pStyle w:val="2"/>
        <w:tabs>
          <w:tab w:val="left" w:pos="2932"/>
        </w:tabs>
        <w:rPr>
          <w:rFonts w:hint="eastAsia" w:ascii="宋体" w:hAnsi="宋体" w:eastAsia="宋体" w:cs="宋体"/>
          <w:color w:val="auto"/>
          <w:kern w:val="0"/>
          <w:sz w:val="32"/>
          <w:szCs w:val="32"/>
          <w:highlight w:val="none"/>
          <w:lang w:val="en-US" w:eastAsia="zh-CN" w:bidi="ar-SA"/>
        </w:rPr>
      </w:pPr>
    </w:p>
    <w:p w14:paraId="52E95426">
      <w:pPr>
        <w:pStyle w:val="2"/>
        <w:tabs>
          <w:tab w:val="left" w:pos="2932"/>
        </w:tabs>
        <w:rPr>
          <w:rFonts w:hint="eastAsia" w:ascii="宋体" w:hAnsi="宋体" w:eastAsia="宋体" w:cs="宋体"/>
          <w:color w:val="auto"/>
          <w:kern w:val="0"/>
          <w:sz w:val="32"/>
          <w:szCs w:val="32"/>
          <w:highlight w:val="none"/>
          <w:lang w:val="en-US" w:eastAsia="zh-CN" w:bidi="ar-SA"/>
        </w:rPr>
      </w:pPr>
    </w:p>
    <w:p w14:paraId="112AB1E0">
      <w:pPr>
        <w:pStyle w:val="2"/>
        <w:tabs>
          <w:tab w:val="left" w:pos="2932"/>
        </w:tabs>
        <w:rPr>
          <w:rFonts w:hint="eastAsia" w:ascii="宋体" w:hAnsi="宋体" w:eastAsia="宋体" w:cs="宋体"/>
          <w:color w:val="auto"/>
          <w:kern w:val="0"/>
          <w:sz w:val="32"/>
          <w:szCs w:val="32"/>
          <w:highlight w:val="none"/>
          <w:lang w:val="en-US" w:eastAsia="zh-CN" w:bidi="ar-SA"/>
        </w:rPr>
      </w:pPr>
    </w:p>
    <w:p w14:paraId="716B76EC">
      <w:pPr>
        <w:pStyle w:val="2"/>
        <w:tabs>
          <w:tab w:val="left" w:pos="2932"/>
        </w:tabs>
        <w:rPr>
          <w:rFonts w:hint="eastAsia" w:ascii="宋体" w:hAnsi="宋体" w:eastAsia="宋体" w:cs="宋体"/>
          <w:color w:val="auto"/>
          <w:kern w:val="0"/>
          <w:sz w:val="32"/>
          <w:szCs w:val="32"/>
          <w:highlight w:val="none"/>
          <w:lang w:val="en-US" w:eastAsia="zh-CN" w:bidi="ar-SA"/>
        </w:rPr>
      </w:pPr>
    </w:p>
    <w:p w14:paraId="1651A2D3">
      <w:pPr>
        <w:pStyle w:val="2"/>
        <w:tabs>
          <w:tab w:val="left" w:pos="2932"/>
        </w:tabs>
        <w:rPr>
          <w:rFonts w:hint="eastAsia" w:ascii="宋体" w:hAnsi="宋体" w:eastAsia="宋体" w:cs="宋体"/>
          <w:color w:val="auto"/>
          <w:kern w:val="0"/>
          <w:sz w:val="32"/>
          <w:szCs w:val="32"/>
          <w:highlight w:val="none"/>
          <w:lang w:val="en-US" w:eastAsia="zh-CN" w:bidi="ar-SA"/>
        </w:rPr>
      </w:pPr>
    </w:p>
    <w:p w14:paraId="5EA79BA9">
      <w:pPr>
        <w:pStyle w:val="2"/>
        <w:tabs>
          <w:tab w:val="left" w:pos="2932"/>
        </w:tabs>
        <w:rPr>
          <w:rFonts w:hint="eastAsia" w:ascii="宋体" w:hAnsi="宋体" w:eastAsia="宋体" w:cs="宋体"/>
          <w:color w:val="auto"/>
          <w:kern w:val="0"/>
          <w:sz w:val="32"/>
          <w:szCs w:val="32"/>
          <w:highlight w:val="none"/>
          <w:lang w:val="en-US" w:eastAsia="zh-CN" w:bidi="ar-SA"/>
        </w:rPr>
      </w:pPr>
    </w:p>
    <w:p w14:paraId="7FBD16D2">
      <w:pPr>
        <w:pStyle w:val="2"/>
        <w:rPr>
          <w:rFonts w:hint="eastAsia" w:ascii="宋体" w:hAnsi="宋体" w:eastAsia="宋体" w:cs="宋体"/>
          <w:color w:val="auto"/>
          <w:kern w:val="0"/>
          <w:sz w:val="32"/>
          <w:szCs w:val="32"/>
          <w:highlight w:val="none"/>
          <w:lang w:val="en-US" w:eastAsia="zh-CN" w:bidi="ar-SA"/>
        </w:rPr>
      </w:pPr>
    </w:p>
    <w:p w14:paraId="6A4693F6">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4"/>
      <w:bookmarkEnd w:id="82"/>
      <w:bookmarkStart w:id="83" w:name="_Toc15396619"/>
    </w:p>
    <w:p w14:paraId="5E719F51">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83"/>
    </w:p>
    <w:p w14:paraId="380DBEB8">
      <w:pPr>
        <w:pStyle w:val="4"/>
        <w:rPr>
          <w:rFonts w:ascii="仿宋" w:hAnsi="仿宋" w:eastAsia="仿宋"/>
          <w:color w:val="auto"/>
          <w:highlight w:val="none"/>
        </w:rPr>
      </w:pPr>
      <w:bookmarkStart w:id="84"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84"/>
    </w:p>
    <w:p w14:paraId="595BA915">
      <w:pPr>
        <w:pStyle w:val="4"/>
        <w:rPr>
          <w:rFonts w:ascii="仿宋" w:hAnsi="仿宋" w:eastAsia="仿宋"/>
          <w:color w:val="auto"/>
          <w:highlight w:val="none"/>
        </w:rPr>
      </w:pPr>
      <w:bookmarkStart w:id="85"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85"/>
    </w:p>
    <w:p w14:paraId="503E348C">
      <w:pPr>
        <w:pStyle w:val="4"/>
        <w:rPr>
          <w:rFonts w:ascii="仿宋" w:hAnsi="仿宋" w:eastAsia="仿宋"/>
          <w:b w:val="0"/>
          <w:color w:val="auto"/>
          <w:highlight w:val="none"/>
        </w:rPr>
      </w:pPr>
      <w:bookmarkStart w:id="86"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86"/>
    </w:p>
    <w:p w14:paraId="5A349478">
      <w:pPr>
        <w:pStyle w:val="4"/>
        <w:rPr>
          <w:rStyle w:val="26"/>
          <w:rFonts w:ascii="仿宋" w:hAnsi="仿宋" w:eastAsia="仿宋"/>
          <w:b w:val="0"/>
          <w:bCs w:val="0"/>
          <w:color w:val="auto"/>
          <w:highlight w:val="none"/>
        </w:rPr>
      </w:pPr>
      <w:bookmarkStart w:id="87"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87"/>
      <w:bookmarkStart w:id="88" w:name="_Toc15396624"/>
    </w:p>
    <w:p w14:paraId="6B5F50F4">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88"/>
    </w:p>
    <w:p w14:paraId="2C0D2B02">
      <w:pPr>
        <w:pStyle w:val="4"/>
        <w:rPr>
          <w:rFonts w:ascii="仿宋" w:hAnsi="仿宋" w:eastAsia="仿宋"/>
          <w:color w:val="auto"/>
          <w:highlight w:val="none"/>
        </w:rPr>
      </w:pPr>
      <w:bookmarkStart w:id="89"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89"/>
    </w:p>
    <w:p w14:paraId="0C3B8008">
      <w:pPr>
        <w:pStyle w:val="4"/>
        <w:rPr>
          <w:rFonts w:ascii="仿宋" w:hAnsi="仿宋" w:eastAsia="仿宋"/>
          <w:color w:val="auto"/>
          <w:highlight w:val="none"/>
        </w:rPr>
      </w:pPr>
      <w:bookmarkStart w:id="90"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90"/>
    </w:p>
    <w:p w14:paraId="651D5FCB">
      <w:pPr>
        <w:pStyle w:val="4"/>
        <w:rPr>
          <w:rFonts w:ascii="仿宋" w:hAnsi="仿宋" w:eastAsia="仿宋"/>
          <w:color w:val="auto"/>
          <w:highlight w:val="none"/>
        </w:rPr>
      </w:pPr>
      <w:bookmarkStart w:id="91"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91"/>
    </w:p>
    <w:p w14:paraId="54ECFF27">
      <w:pPr>
        <w:pStyle w:val="4"/>
        <w:rPr>
          <w:rFonts w:ascii="仿宋" w:hAnsi="仿宋" w:eastAsia="仿宋"/>
          <w:color w:val="auto"/>
          <w:highlight w:val="none"/>
        </w:rPr>
      </w:pPr>
      <w:bookmarkStart w:id="92" w:name="_Toc15396628"/>
      <w:r>
        <w:rPr>
          <w:rStyle w:val="26"/>
          <w:rFonts w:hint="eastAsia" w:ascii="仿宋" w:hAnsi="仿宋" w:eastAsia="仿宋"/>
          <w:b w:val="0"/>
          <w:bCs w:val="0"/>
          <w:color w:val="auto"/>
          <w:highlight w:val="none"/>
        </w:rPr>
        <w:t>十、</w:t>
      </w:r>
      <w:bookmarkEnd w:id="92"/>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14:paraId="1CB27565">
      <w:pPr>
        <w:pStyle w:val="4"/>
        <w:rPr>
          <w:rFonts w:ascii="仿宋" w:hAnsi="仿宋" w:eastAsia="仿宋"/>
          <w:color w:val="auto"/>
          <w:highlight w:val="none"/>
        </w:rPr>
      </w:pPr>
      <w:bookmarkStart w:id="93" w:name="_Toc15396629"/>
      <w:r>
        <w:rPr>
          <w:rStyle w:val="26"/>
          <w:rFonts w:hint="eastAsia" w:ascii="仿宋" w:hAnsi="仿宋" w:eastAsia="仿宋"/>
          <w:b w:val="0"/>
          <w:bCs w:val="0"/>
          <w:color w:val="auto"/>
          <w:highlight w:val="none"/>
        </w:rPr>
        <w:t>十一、</w:t>
      </w:r>
      <w:bookmarkEnd w:id="93"/>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14:paraId="60B57910">
      <w:pPr>
        <w:pStyle w:val="4"/>
        <w:rPr>
          <w:rFonts w:ascii="仿宋" w:hAnsi="仿宋" w:eastAsia="仿宋"/>
          <w:color w:val="auto"/>
          <w:highlight w:val="none"/>
        </w:rPr>
      </w:pPr>
      <w:bookmarkStart w:id="94" w:name="_Toc15396630"/>
      <w:r>
        <w:rPr>
          <w:rStyle w:val="26"/>
          <w:rFonts w:hint="eastAsia" w:ascii="仿宋" w:hAnsi="仿宋" w:eastAsia="仿宋"/>
          <w:b w:val="0"/>
          <w:bCs w:val="0"/>
          <w:color w:val="auto"/>
          <w:highlight w:val="none"/>
        </w:rPr>
        <w:t>十二、</w:t>
      </w:r>
      <w:bookmarkEnd w:id="94"/>
      <w:r>
        <w:rPr>
          <w:rStyle w:val="26"/>
          <w:rFonts w:hint="eastAsia" w:ascii="仿宋" w:hAnsi="仿宋" w:eastAsia="仿宋"/>
          <w:b w:val="0"/>
          <w:bCs w:val="0"/>
          <w:color w:val="auto"/>
          <w:highlight w:val="none"/>
          <w:lang w:eastAsia="zh-CN"/>
        </w:rPr>
        <w:t>国有资本经营预算财政拨款支出决算表</w:t>
      </w:r>
    </w:p>
    <w:p w14:paraId="7731A5BB">
      <w:pPr>
        <w:pStyle w:val="4"/>
        <w:rPr>
          <w:rFonts w:hint="eastAsia" w:eastAsia="仿宋"/>
          <w:color w:val="auto"/>
          <w:highlight w:val="none"/>
          <w:lang w:eastAsia="zh-CN"/>
        </w:rPr>
      </w:pPr>
      <w:bookmarkStart w:id="95" w:name="_Toc15396631"/>
      <w:r>
        <w:rPr>
          <w:rStyle w:val="26"/>
          <w:rFonts w:hint="eastAsia" w:ascii="仿宋" w:hAnsi="仿宋" w:eastAsia="仿宋"/>
          <w:b w:val="0"/>
          <w:bCs w:val="0"/>
          <w:color w:val="auto"/>
          <w:highlight w:val="none"/>
        </w:rPr>
        <w:t>十三、</w:t>
      </w:r>
      <w:bookmarkEnd w:id="95"/>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B8FEC15">
        <w:pPr>
          <w:pStyle w:val="8"/>
          <w:jc w:val="center"/>
        </w:pPr>
        <w:r>
          <w:fldChar w:fldCharType="begin"/>
        </w:r>
        <w:r>
          <w:instrText xml:space="preserve">PAGE   \* MERGEFORMAT</w:instrText>
        </w:r>
        <w:r>
          <w:fldChar w:fldCharType="separate"/>
        </w:r>
        <w:r>
          <w:rPr>
            <w:lang w:val="zh-CN"/>
          </w:rPr>
          <w:t>8</w:t>
        </w:r>
        <w:r>
          <w:fldChar w:fldCharType="end"/>
        </w:r>
      </w:p>
    </w:sdtContent>
  </w:sdt>
  <w:p w14:paraId="6307B8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77AE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C5AA102"/>
    <w:multiLevelType w:val="singleLevel"/>
    <w:tmpl w:val="EC5AA102"/>
    <w:lvl w:ilvl="0" w:tentative="0">
      <w:start w:val="3"/>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UxYWJhOGM0ZTY3YzY1ZTZkMWM1MTliNmQ5Z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769D7"/>
    <w:rsid w:val="0B8A37D8"/>
    <w:rsid w:val="0DA11C02"/>
    <w:rsid w:val="10A37B32"/>
    <w:rsid w:val="10C055FF"/>
    <w:rsid w:val="118107EC"/>
    <w:rsid w:val="11DD6519"/>
    <w:rsid w:val="13DB5F89"/>
    <w:rsid w:val="16BB723D"/>
    <w:rsid w:val="18015F3F"/>
    <w:rsid w:val="18527161"/>
    <w:rsid w:val="1BE8440E"/>
    <w:rsid w:val="1D155CEE"/>
    <w:rsid w:val="1DAE3037"/>
    <w:rsid w:val="1DCC725B"/>
    <w:rsid w:val="20F57F95"/>
    <w:rsid w:val="219B4843"/>
    <w:rsid w:val="240371BF"/>
    <w:rsid w:val="25711CC6"/>
    <w:rsid w:val="25C741E6"/>
    <w:rsid w:val="27117D71"/>
    <w:rsid w:val="27842671"/>
    <w:rsid w:val="27DC274C"/>
    <w:rsid w:val="28670377"/>
    <w:rsid w:val="29FD04D3"/>
    <w:rsid w:val="2ABE7A3E"/>
    <w:rsid w:val="2C895EC6"/>
    <w:rsid w:val="2CA234A8"/>
    <w:rsid w:val="2CBE06C0"/>
    <w:rsid w:val="2EFA178C"/>
    <w:rsid w:val="30B46D73"/>
    <w:rsid w:val="30CC6F71"/>
    <w:rsid w:val="319F7F4E"/>
    <w:rsid w:val="352E28B9"/>
    <w:rsid w:val="35944D37"/>
    <w:rsid w:val="383D272C"/>
    <w:rsid w:val="39AE70AB"/>
    <w:rsid w:val="3A1E0383"/>
    <w:rsid w:val="3C0C0783"/>
    <w:rsid w:val="3F9F3A96"/>
    <w:rsid w:val="40774C91"/>
    <w:rsid w:val="46E17764"/>
    <w:rsid w:val="479C4C4F"/>
    <w:rsid w:val="48BF60AB"/>
    <w:rsid w:val="493C27E9"/>
    <w:rsid w:val="496F39ED"/>
    <w:rsid w:val="49FF41D3"/>
    <w:rsid w:val="4BE068DB"/>
    <w:rsid w:val="4BF6002B"/>
    <w:rsid w:val="4D746D07"/>
    <w:rsid w:val="4E716B15"/>
    <w:rsid w:val="4ECE2238"/>
    <w:rsid w:val="51DB4B86"/>
    <w:rsid w:val="54734720"/>
    <w:rsid w:val="551115CA"/>
    <w:rsid w:val="55333C3E"/>
    <w:rsid w:val="5AA4733F"/>
    <w:rsid w:val="5C7D0377"/>
    <w:rsid w:val="5D911D76"/>
    <w:rsid w:val="64CA39A1"/>
    <w:rsid w:val="69630ADE"/>
    <w:rsid w:val="6B7D66BD"/>
    <w:rsid w:val="6BB57221"/>
    <w:rsid w:val="6C4A05C8"/>
    <w:rsid w:val="6D3B1A89"/>
    <w:rsid w:val="6E577779"/>
    <w:rsid w:val="6E8563B9"/>
    <w:rsid w:val="71BF4EC2"/>
    <w:rsid w:val="72734D90"/>
    <w:rsid w:val="7412278C"/>
    <w:rsid w:val="75F330E3"/>
    <w:rsid w:val="79E7B28D"/>
    <w:rsid w:val="7CE708CF"/>
    <w:rsid w:val="7D312D9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112089715536105"/>
          <c:y val="0.00835654596100279"/>
          <c:w val="0.883807439824945"/>
          <c:h val="0.80401114206128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1288.17</c:v>
                </c:pt>
                <c:pt idx="1">
                  <c:v>1324.53</c:v>
                </c:pt>
              </c:numCache>
            </c:numRef>
          </c:val>
        </c:ser>
        <c:dLbls>
          <c:showLegendKey val="0"/>
          <c:showVal val="0"/>
          <c:showCatName val="0"/>
          <c:showSerName val="0"/>
          <c:showPercent val="0"/>
          <c:showBubbleSize val="0"/>
        </c:dLbls>
        <c:gapWidth val="246"/>
        <c:overlap val="-28"/>
        <c:axId val="170813312"/>
        <c:axId val="184155520"/>
      </c:barChart>
      <c:catAx>
        <c:axId val="17081331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155520"/>
        <c:crosses val="autoZero"/>
        <c:auto val="1"/>
        <c:lblAlgn val="ctr"/>
        <c:lblOffset val="100"/>
        <c:noMultiLvlLbl val="0"/>
      </c:catAx>
      <c:valAx>
        <c:axId val="184155520"/>
        <c:scaling>
          <c:orientation val="minMax"/>
        </c:scaling>
        <c:delete val="0"/>
        <c:axPos val="l"/>
        <c:majorGridlines>
          <c:spPr>
            <a:ln w="9525" cap="flat" cmpd="sng" algn="ctr">
              <a:solidFill>
                <a:schemeClr val="lt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813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一般公共预算财政拨款收入
</a:t>
                    </a:r>
                    <a:r>
                      <a:rPr lang="en-US" altLang="zh-CN"/>
                      <a:t>99.93</a:t>
                    </a:r>
                    <a:r>
                      <a:rPr altLang="en-US"/>
                      <a:t>%</a:t>
                    </a:r>
                    <a:endParaRPr altLang="en-US"/>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73057284546662"/>
                  <c:y val="0.01605307356792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其他收入
</a:t>
                    </a:r>
                    <a:r>
                      <a:rPr lang="en-US" altLang="zh-CN"/>
                      <a:t>0.07</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1466.25</c:v>
                </c:pt>
                <c:pt idx="1">
                  <c:v>0.84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16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Lbls>
            <c:dLbl>
              <c:idx val="0"/>
              <c:layout>
                <c:manualLayout>
                  <c:x val="0.165261637408373"/>
                  <c:y val="-0.1385654704687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a:t>基本支出
</a:t>
                    </a:r>
                    <a:r>
                      <a:rPr lang="en-US" altLang="en-US"/>
                      <a:t>83.69</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807001627003512"/>
                  <c:y val="0.02891821768504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altLang="en-US"/>
                      <a:t>项目支出
</a:t>
                    </a:r>
                    <a:r>
                      <a:rPr lang="en-US" altLang="zh-CN"/>
                      <a:t>16.31</a:t>
                    </a:r>
                    <a:r>
                      <a:rPr altLang="en-US"/>
                      <a:t>%</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1324.53</c:v>
                </c:pt>
                <c:pt idx="1">
                  <c:v>164.96</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012035010941"/>
          <c:y val="0.0807799442896936"/>
          <c:w val="0.865207877461707"/>
          <c:h val="0.80401114206128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1287.29</c:v>
                </c:pt>
                <c:pt idx="1">
                  <c:v>1324.45</c:v>
                </c:pt>
              </c:numCache>
            </c:numRef>
          </c:val>
        </c:ser>
        <c:dLbls>
          <c:showLegendKey val="0"/>
          <c:showVal val="0"/>
          <c:showCatName val="0"/>
          <c:showSerName val="0"/>
          <c:showPercent val="0"/>
          <c:showBubbleSize val="0"/>
        </c:dLbls>
        <c:gapWidth val="246"/>
        <c:overlap val="-28"/>
        <c:axId val="190122624"/>
        <c:axId val="190214528"/>
      </c:barChart>
      <c:catAx>
        <c:axId val="19012262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214528"/>
        <c:crosses val="autoZero"/>
        <c:auto val="1"/>
        <c:lblAlgn val="ctr"/>
        <c:lblOffset val="100"/>
        <c:noMultiLvlLbl val="0"/>
      </c:catAx>
      <c:valAx>
        <c:axId val="190214528"/>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122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1189.57</c:v>
                </c:pt>
                <c:pt idx="1">
                  <c:v>1324.45</c:v>
                </c:pt>
              </c:numCache>
            </c:numRef>
          </c:val>
        </c:ser>
        <c:dLbls>
          <c:showLegendKey val="0"/>
          <c:showVal val="0"/>
          <c:showCatName val="0"/>
          <c:showSerName val="0"/>
          <c:showPercent val="0"/>
          <c:showBubbleSize val="0"/>
        </c:dLbls>
        <c:gapWidth val="246"/>
        <c:overlap val="-28"/>
        <c:axId val="190454400"/>
        <c:axId val="190542208"/>
      </c:barChart>
      <c:catAx>
        <c:axId val="19045440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542208"/>
        <c:crosses val="autoZero"/>
        <c:auto val="1"/>
        <c:lblAlgn val="ctr"/>
        <c:lblOffset val="100"/>
        <c:noMultiLvlLbl val="0"/>
      </c:catAx>
      <c:valAx>
        <c:axId val="190542208"/>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45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86.1</c:v>
                </c:pt>
                <c:pt idx="1">
                  <c:v>6.1</c:v>
                </c:pt>
                <c:pt idx="2">
                  <c:v>3.23</c:v>
                </c:pt>
                <c:pt idx="3">
                  <c:v>4.57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4853</Words>
  <Characters>5370</Characters>
  <Lines>61</Lines>
  <Paragraphs>17</Paragraphs>
  <TotalTime>0</TotalTime>
  <ScaleCrop>false</ScaleCrop>
  <LinksUpToDate>false</LinksUpToDate>
  <CharactersWithSpaces>5449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企业用户_271171727</cp:lastModifiedBy>
  <cp:lastPrinted>2023-10-13T05:59:00Z</cp:lastPrinted>
  <dcterms:modified xsi:type="dcterms:W3CDTF">2024-10-13T08:30:59Z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901B0F5F27FB4E889FE03D991D761C46_13</vt:lpwstr>
  </property>
</Properties>
</file>