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Override PartName="/word/webExtensions/webExtension4.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425"/>
      <w:bookmarkStart w:id="3" w:name="_Toc15396475"/>
      <w:bookmarkStart w:id="4" w:name="_Toc15396597"/>
      <w:bookmarkStart w:id="5" w:name="_Toc15377193"/>
      <w:r>
        <w:rPr>
          <w:rFonts w:hint="eastAsia" w:ascii="方正小标宋简体" w:hAnsi="方正小标宋简体" w:eastAsia="方正小标宋简体" w:cs="方正小标宋简体"/>
          <w:color w:val="auto"/>
          <w:sz w:val="72"/>
          <w:szCs w:val="72"/>
          <w:highlight w:val="none"/>
          <w:lang w:eastAsia="zh-CN"/>
        </w:rPr>
        <w:t>2023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广元市利州区大石小学</w:t>
      </w:r>
    </w:p>
    <w:p>
      <w:pPr>
        <w:widowControl/>
        <w:jc w:val="center"/>
        <w:rPr>
          <w:rFonts w:ascii="方正小标宋简体" w:hAnsi="宋体" w:eastAsia="方正小标宋简体"/>
          <w:color w:val="auto"/>
          <w:sz w:val="36"/>
          <w:szCs w:val="36"/>
          <w:highlight w:val="none"/>
        </w:rPr>
      </w:pPr>
      <w:bookmarkStart w:id="6" w:name="_Toc19089860"/>
      <w:r>
        <w:rPr>
          <w:rFonts w:hint="eastAsia" w:ascii="方正小标宋简体" w:hAnsi="宋体" w:eastAsia="方正小标宋简体"/>
          <w:sz w:val="72"/>
          <w:szCs w:val="72"/>
        </w:rPr>
        <w:t>部门决算</w:t>
      </w:r>
      <w:bookmarkEnd w:id="6"/>
    </w:p>
    <w:p>
      <w:pPr>
        <w:widowControl/>
        <w:jc w:val="center"/>
        <w:rPr>
          <w:rFonts w:ascii="方正小标宋简体" w:hAnsi="宋体" w:eastAsia="方正小标宋简体"/>
          <w:color w:val="auto"/>
          <w:sz w:val="36"/>
          <w:szCs w:val="36"/>
          <w:highlight w:val="none"/>
        </w:rPr>
      </w:pPr>
    </w:p>
    <w:p>
      <w:pPr>
        <w:widowControl/>
        <w:jc w:val="center"/>
        <w:rPr>
          <w:rFonts w:ascii="方正小标宋简体" w:hAnsi="宋体" w:eastAsia="方正小标宋简体"/>
          <w:color w:val="auto"/>
          <w:sz w:val="36"/>
          <w:szCs w:val="36"/>
          <w:highlight w:val="none"/>
        </w:rPr>
      </w:pPr>
    </w:p>
    <w:p>
      <w:pPr>
        <w:pStyle w:val="2"/>
      </w:pPr>
    </w:p>
    <w:p>
      <w:pPr>
        <w:widowControl/>
        <w:jc w:val="center"/>
        <w:rPr>
          <w:rFonts w:ascii="黑体" w:hAnsi="黑体" w:eastAsia="黑体"/>
          <w:color w:val="auto"/>
          <w:sz w:val="48"/>
          <w:szCs w:val="48"/>
          <w:highlight w:val="none"/>
        </w:rPr>
      </w:pPr>
      <w:r>
        <w:rPr>
          <w:rFonts w:hint="eastAsia" w:ascii="方正小标宋简体" w:hAnsi="宋体" w:eastAsia="方正小标宋简体"/>
          <w:color w:val="auto"/>
          <w:sz w:val="36"/>
          <w:szCs w:val="36"/>
          <w:highlight w:val="none"/>
          <w:lang w:val="en-US" w:eastAsia="zh-CN"/>
        </w:rPr>
        <w:t xml:space="preserve"> </w:t>
      </w: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第一部分 </w:t>
      </w:r>
      <w:r>
        <w:rPr>
          <w:rFonts w:hint="eastAsia" w:ascii="仿宋" w:hAnsi="仿宋" w:eastAsia="仿宋" w:cs="仿宋"/>
          <w:sz w:val="28"/>
          <w:szCs w:val="28"/>
          <w:lang w:eastAsia="zh-CN"/>
        </w:rPr>
        <w:t>单位</w:t>
      </w:r>
      <w:r>
        <w:rPr>
          <w:rFonts w:hint="eastAsia" w:ascii="仿宋" w:hAnsi="仿宋" w:eastAsia="仿宋" w:cs="仿宋"/>
          <w:sz w:val="28"/>
          <w:szCs w:val="28"/>
        </w:rPr>
        <w:t>概况</w:t>
      </w:r>
      <w:r>
        <w:rPr>
          <w:rFonts w:hint="eastAsia" w:ascii="仿宋" w:hAnsi="仿宋" w:eastAsia="仿宋" w:cs="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eastAsia="zh-CN"/>
        </w:rPr>
        <w:t>主要职责</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sz w:val="28"/>
          <w:szCs w:val="28"/>
        </w:rPr>
        <w:t>、</w:t>
      </w:r>
      <w:r>
        <w:rPr>
          <w:rFonts w:hint="eastAsia" w:ascii="仿宋" w:hAnsi="仿宋" w:eastAsia="仿宋" w:cs="仿宋"/>
          <w:sz w:val="28"/>
          <w:szCs w:val="28"/>
          <w:lang w:eastAsia="zh-CN"/>
        </w:rPr>
        <w:t>机构设置</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第二部分</w:t>
      </w:r>
      <w:r>
        <w:rPr>
          <w:rFonts w:hint="eastAsia" w:ascii="仿宋" w:hAnsi="仿宋" w:eastAsia="仿宋" w:cs="仿宋"/>
          <w:sz w:val="28"/>
          <w:szCs w:val="28"/>
          <w:lang w:val="en-US" w:eastAsia="zh-CN"/>
        </w:rPr>
        <w:t xml:space="preserve"> 2023年度</w:t>
      </w:r>
      <w:r>
        <w:rPr>
          <w:rFonts w:hint="eastAsia" w:ascii="仿宋" w:hAnsi="仿宋" w:eastAsia="仿宋" w:cs="仿宋"/>
          <w:sz w:val="28"/>
          <w:szCs w:val="28"/>
          <w:lang w:eastAsia="zh-CN"/>
        </w:rPr>
        <w:t>单位</w:t>
      </w:r>
      <w:r>
        <w:rPr>
          <w:rFonts w:hint="eastAsia" w:ascii="仿宋" w:hAnsi="仿宋" w:eastAsia="仿宋" w:cs="仿宋"/>
          <w:sz w:val="28"/>
          <w:szCs w:val="28"/>
        </w:rPr>
        <w:t>决算情况说明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七、财政拨款</w:t>
      </w:r>
      <w:r>
        <w:rPr>
          <w:rFonts w:hint="eastAsia" w:ascii="仿宋" w:hAnsi="仿宋" w:eastAsia="仿宋" w:cs="仿宋"/>
          <w:sz w:val="28"/>
          <w:szCs w:val="28"/>
          <w:lang w:eastAsia="zh-CN"/>
        </w:rPr>
        <w:t>“</w:t>
      </w:r>
      <w:r>
        <w:rPr>
          <w:rFonts w:hint="eastAsia" w:ascii="仿宋" w:hAnsi="仿宋" w:eastAsia="仿宋" w:cs="仿宋"/>
          <w:sz w:val="28"/>
          <w:szCs w:val="28"/>
        </w:rPr>
        <w:t>三公”经费支出决算情况说明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九、国有资本经营预算支出决算情况说明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十、其他重要事项的情况说明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第四部分 附件</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t>一、</w:t>
      </w:r>
      <w:r>
        <w:rPr>
          <w:rFonts w:hint="eastAsia" w:ascii="仿宋" w:hAnsi="仿宋" w:eastAsia="仿宋" w:cs="仿宋"/>
          <w:sz w:val="28"/>
          <w:szCs w:val="28"/>
        </w:rPr>
        <w:t>部门预算项目支出绩效自评表（</w:t>
      </w:r>
      <w:r>
        <w:rPr>
          <w:rFonts w:hint="eastAsia" w:ascii="仿宋" w:hAnsi="仿宋" w:eastAsia="仿宋" w:cs="仿宋"/>
          <w:sz w:val="28"/>
          <w:szCs w:val="28"/>
          <w:lang w:eastAsia="zh-CN"/>
        </w:rPr>
        <w:t>2023</w:t>
      </w:r>
      <w:r>
        <w:rPr>
          <w:rFonts w:hint="eastAsia" w:ascii="仿宋" w:hAnsi="仿宋" w:eastAsia="仿宋" w:cs="仿宋"/>
          <w:sz w:val="28"/>
          <w:szCs w:val="28"/>
        </w:rPr>
        <w:t>年度）</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第五部分 附表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一、收入支出决算总表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二、收入决算表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四、财政拨款收入支出决算总表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五、财政拨款支出决算明细表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六、一般公共预算财政拨款支出决算表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七、一般公共预算财政拨款支出决算明细表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八、一般公共预算财政拨款基本支出决算</w:t>
      </w:r>
      <w:r>
        <w:rPr>
          <w:rFonts w:hint="eastAsia" w:ascii="仿宋" w:hAnsi="仿宋" w:eastAsia="仿宋" w:cs="仿宋"/>
          <w:color w:val="auto"/>
          <w:sz w:val="28"/>
          <w:szCs w:val="28"/>
          <w:highlight w:val="none"/>
          <w:lang w:eastAsia="zh-CN"/>
        </w:rPr>
        <w:t>明细</w:t>
      </w:r>
      <w:r>
        <w:rPr>
          <w:rFonts w:hint="eastAsia" w:ascii="仿宋" w:hAnsi="仿宋" w:eastAsia="仿宋" w:cs="仿宋"/>
          <w:color w:val="auto"/>
          <w:sz w:val="28"/>
          <w:szCs w:val="28"/>
          <w:highlight w:val="none"/>
        </w:rPr>
        <w:t>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九、一般公共预算财政拨款项目支出决算表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十、政府性基金预算财政拨款收入支出决算表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十一、国有资本经营预算财政拨款收入支出决算表</w:t>
      </w:r>
    </w:p>
    <w:p>
      <w:pPr>
        <w:pStyle w:val="11"/>
        <w:adjustRightInd w:val="0"/>
        <w:snapToGrid w:val="0"/>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w:t>
      </w:r>
      <w:r>
        <w:rPr>
          <w:rFonts w:hint="eastAsia" w:ascii="仿宋" w:hAnsi="仿宋" w:eastAsia="仿宋" w:cs="仿宋"/>
          <w:color w:val="auto"/>
          <w:sz w:val="28"/>
          <w:szCs w:val="28"/>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ascii="仿宋" w:hAnsi="仿宋" w:eastAsia="仿宋" w:cs="仿宋"/>
          <w:color w:val="auto"/>
          <w:sz w:val="28"/>
          <w:szCs w:val="28"/>
          <w:highlight w:val="none"/>
        </w:rPr>
        <w:t>十三、财政拨款“三公”经费支出决算表</w:t>
      </w:r>
    </w:p>
    <w:p>
      <w:pPr>
        <w:pStyle w:val="3"/>
        <w:jc w:val="center"/>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7" w:name="_Toc15377196"/>
      <w:bookmarkStart w:id="8" w:name="_Toc15396599"/>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7"/>
      <w:bookmarkEnd w:id="8"/>
    </w:p>
    <w:p>
      <w:pPr>
        <w:widowControl/>
        <w:jc w:val="left"/>
        <w:rPr>
          <w:rFonts w:ascii="黑体" w:eastAsia="黑体"/>
          <w:color w:val="auto"/>
          <w:sz w:val="32"/>
          <w:szCs w:val="32"/>
          <w:highlight w:val="none"/>
        </w:rPr>
      </w:pPr>
    </w:p>
    <w:p>
      <w:pPr>
        <w:pStyle w:val="4"/>
        <w:numPr>
          <w:ilvl w:val="0"/>
          <w:numId w:val="1"/>
        </w:numPr>
        <w:ind w:left="0" w:leftChars="0" w:firstLine="0" w:firstLineChars="0"/>
        <w:rPr>
          <w:rStyle w:val="26"/>
          <w:rFonts w:hint="eastAsia" w:ascii="黑体" w:hAnsi="黑体" w:eastAsia="黑体"/>
          <w:b w:val="0"/>
          <w:bCs w:val="0"/>
          <w:color w:val="auto"/>
          <w:highlight w:val="none"/>
          <w:lang w:eastAsia="zh-CN"/>
        </w:rPr>
      </w:pPr>
      <w:bookmarkStart w:id="9" w:name="_Toc15396600"/>
      <w:bookmarkStart w:id="10" w:name="_Toc15377197"/>
      <w:r>
        <w:rPr>
          <w:rStyle w:val="26"/>
          <w:rFonts w:hint="eastAsia" w:ascii="黑体" w:hAnsi="黑体" w:eastAsia="黑体"/>
          <w:b w:val="0"/>
          <w:bCs w:val="0"/>
          <w:color w:val="auto"/>
          <w:highlight w:val="none"/>
          <w:lang w:eastAsia="zh-CN"/>
        </w:rPr>
        <w:t>主要职责</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lang w:eastAsia="zh-CN"/>
        </w:rPr>
      </w:pPr>
      <w:r>
        <w:rPr>
          <w:rFonts w:hint="eastAsia" w:ascii="仿宋" w:hAnsi="仿宋" w:eastAsia="仿宋" w:cs="仿宋"/>
          <w:sz w:val="28"/>
          <w:szCs w:val="28"/>
        </w:rPr>
        <w:t>4.促进基础教育发展，教育学生成长为德学兼备、思想端正的学生，让学生获得基本的基础知识，尽可能培养其自学能力。</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9"/>
    <w:bookmarkEnd w:id="10"/>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s="仿宋"/>
          <w:sz w:val="28"/>
          <w:szCs w:val="28"/>
        </w:rPr>
        <w:t>1、大石小学是经利州区编制委员会批准成立的，隶属区教</w:t>
      </w:r>
      <w:r>
        <w:rPr>
          <w:rFonts w:hint="eastAsia" w:ascii="仿宋" w:hAnsi="仿宋" w:eastAsia="仿宋"/>
          <w:color w:val="auto"/>
          <w:kern w:val="0"/>
          <w:sz w:val="28"/>
          <w:szCs w:val="28"/>
          <w:highlight w:val="none"/>
        </w:rPr>
        <w:t>育局领导下的一所农村完全小学校。主要职能：实施小学义务教育，小学学历教育。</w:t>
      </w:r>
    </w:p>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2、大石小学是区编制委员会命名的独立法人机构，为经费独立核算单位。</w:t>
      </w:r>
    </w:p>
    <w:p>
      <w:pPr>
        <w:pStyle w:val="3"/>
        <w:ind w:right="440"/>
        <w:jc w:val="center"/>
        <w:rPr>
          <w:rFonts w:hint="eastAsia" w:ascii="黑体" w:hAnsi="黑体" w:eastAsia="黑体"/>
          <w:b w:val="0"/>
          <w:bCs/>
          <w:color w:val="auto"/>
          <w:highlight w:val="none"/>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1" w:name="_Toc15377204"/>
      <w:bookmarkStart w:id="12" w:name="_Toc15396602"/>
    </w:p>
    <w:p>
      <w:pPr>
        <w:pStyle w:val="3"/>
        <w:ind w:right="440"/>
        <w:jc w:val="center"/>
        <w:rPr>
          <w:rStyle w:val="25"/>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1"/>
      <w:bookmarkEnd w:id="12"/>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3" w:name="_Toc15396603"/>
      <w:bookmarkStart w:id="14"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3"/>
      <w:bookmarkEnd w:id="14"/>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年度收、支总计1876.87万元。与20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相比，收、支总计</w:t>
      </w:r>
      <w:r>
        <w:rPr>
          <w:rFonts w:hint="eastAsia" w:ascii="仿宋" w:hAnsi="仿宋" w:eastAsia="仿宋"/>
          <w:color w:val="auto"/>
          <w:sz w:val="32"/>
          <w:szCs w:val="32"/>
          <w:highlight w:val="none"/>
          <w:lang w:val="en-US" w:eastAsia="zh-CN"/>
        </w:rPr>
        <w:t>各增加87.72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增加5.14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一是幼儿园设施设备修缮；二是按学校实际情况对师生生活补助救助资金变动；三是差旅培训支出增加；四是项目资金支付增加。</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pPr>
      <w:r>
        <w:rPr>
          <w:rFonts w:hint="eastAsia" w:eastAsiaTheme="minorEastAsia"/>
          <w:lang w:eastAsia="zh-CN"/>
        </w:rPr>
        <w:drawing>
          <wp:inline distT="0" distB="0" distL="114300" distR="114300">
            <wp:extent cx="5143500" cy="3229610"/>
            <wp:effectExtent l="0" t="0" r="0" b="889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5143500" cy="3229610"/>
                    </a:xfrm>
                    <a:prstGeom prst="rect">
                      <a:avLst/>
                    </a:prstGeom>
                    <a:extLst>
                      <wpswe:webExtensionRef xmlns:wpswe="http://www.wps.cn/officeDocument/2018/webExtension" r:id="rId9"/>
                    </a:extLst>
                  </pic:spPr>
                </pic:pic>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5" w:name="_Toc15377206"/>
      <w:bookmarkStart w:id="16"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15"/>
      <w:bookmarkEnd w:id="16"/>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年本年收入合计1847.6</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万元，其中：一般公共预算财政拨款收入1</w:t>
      </w:r>
      <w:r>
        <w:rPr>
          <w:rFonts w:hint="eastAsia" w:ascii="仿宋" w:hAnsi="仿宋" w:eastAsia="仿宋"/>
          <w:color w:val="auto"/>
          <w:sz w:val="32"/>
          <w:szCs w:val="32"/>
          <w:highlight w:val="none"/>
          <w:lang w:val="en-US" w:eastAsia="zh-CN"/>
        </w:rPr>
        <w:t>793.48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97.07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83.39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（图2：收入决算结构图）（饼状图）</w:t>
      </w:r>
    </w:p>
    <w:p>
      <w:pPr>
        <w:pStyle w:val="2"/>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412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stretch>
                      <a:fillRect/>
                    </a:stretch>
                  </pic:blipFill>
                  <pic:spPr>
                    <a:xfrm>
                      <a:off x="0" y="0"/>
                      <a:ext cx="5080000" cy="4127500"/>
                    </a:xfrm>
                    <a:prstGeom prst="rect">
                      <a:avLst/>
                    </a:prstGeom>
                    <a:extLst>
                      <wpswe:webExtensionRef xmlns:wpswe="http://www.wps.cn/officeDocument/2018/webExtension" r:id="rId11"/>
                    </a:extLst>
                  </pic:spPr>
                </pic:pic>
              </a:graphicData>
            </a:graphic>
          </wp:inline>
        </w:drawing>
      </w:r>
    </w:p>
    <w:p>
      <w:pPr>
        <w:pStyle w:val="2"/>
        <w:rPr>
          <w:rFonts w:hint="eastAsia" w:ascii="仿宋" w:hAnsi="仿宋" w:eastAsia="仿宋"/>
          <w:color w:val="auto"/>
          <w:sz w:val="32"/>
          <w:szCs w:val="32"/>
          <w:highlight w:val="none"/>
          <w:lang w:eastAsia="zh-CN"/>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7" w:name="_Toc15377207"/>
      <w:bookmarkStart w:id="18"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17"/>
      <w:bookmarkEnd w:id="18"/>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年本年支出合计1876.87万元，其中：基本支出</w:t>
      </w:r>
      <w:r>
        <w:rPr>
          <w:rFonts w:hint="eastAsia" w:ascii="仿宋" w:hAnsi="仿宋" w:eastAsia="仿宋"/>
          <w:color w:val="auto"/>
          <w:sz w:val="32"/>
          <w:szCs w:val="32"/>
          <w:highlight w:val="none"/>
          <w:lang w:val="en-US" w:eastAsia="zh-CN"/>
        </w:rPr>
        <w:t>1667.26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88.83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209.61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2"/>
        <w:rPr>
          <w:rFonts w:hint="eastAsia" w:eastAsia="仿宋"/>
          <w:lang w:eastAsia="zh-CN"/>
        </w:rPr>
      </w:pPr>
      <w:r>
        <w:rPr>
          <w:rFonts w:hint="eastAsia" w:eastAsiaTheme="minorEastAsia"/>
          <w:lang w:eastAsia="zh-CN"/>
        </w:rPr>
        <w:drawing>
          <wp:inline distT="0" distB="0" distL="114300" distR="114300">
            <wp:extent cx="5115560" cy="1724660"/>
            <wp:effectExtent l="5080" t="4445" r="10160" b="10795"/>
            <wp:docPr id="7" name="图表 7"/>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68242&quot;,&quot;origin&quot;:0,&quot;type&quot;:&quot;charts&quot;,&quot;user&quot;:&quot;271171727&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19" w:name="_Toc15377208"/>
      <w:bookmarkStart w:id="20"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19"/>
      <w:bookmarkEnd w:id="20"/>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总计1793.48万元。与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增加108.65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增加6.45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财政拨款资金收入变化幅度较大。</w:t>
      </w:r>
    </w:p>
    <w:p>
      <w:pPr>
        <w:spacing w:line="600" w:lineRule="exact"/>
        <w:ind w:firstLine="640"/>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总计1793.48万元。与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增加108.65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增加6.45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一是上年幼儿园设施设备修缮；二是按学校实际情况对师生生活补助救助资金变动；三是本年度差旅培训支出增加；四是项目资金支付增加。</w:t>
      </w:r>
    </w:p>
    <w:p>
      <w:pPr>
        <w:spacing w:line="600" w:lineRule="exact"/>
        <w:ind w:firstLine="640" w:firstLineChars="200"/>
        <w:rPr>
          <w:rFonts w:hint="eastAsia" w:ascii="仿宋" w:hAnsi="仿宋" w:eastAsia="仿宋"/>
          <w:b/>
          <w:color w:val="auto"/>
          <w:sz w:val="32"/>
          <w:szCs w:val="32"/>
          <w:highlight w:val="none"/>
          <w:lang w:eastAsia="zh-CN"/>
        </w:rPr>
      </w:pPr>
      <w:r>
        <w:rPr>
          <w:rFonts w:hint="eastAsia" w:ascii="仿宋" w:hAnsi="仿宋" w:eastAsia="仿宋"/>
          <w:color w:val="auto"/>
          <w:sz w:val="32"/>
          <w:szCs w:val="32"/>
          <w:highlight w:val="none"/>
        </w:rPr>
        <w:t>（图4：财政拨款收、支决算总计变动情况）（柱状图）</w:t>
      </w:r>
    </w:p>
    <w:p>
      <w:pPr>
        <w:pStyle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inline distT="0" distB="0" distL="114300" distR="114300">
            <wp:extent cx="5080000" cy="15684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5080000" cy="1568450"/>
                    </a:xfrm>
                    <a:prstGeom prst="rect">
                      <a:avLst/>
                    </a:prstGeom>
                    <a:extLst>
                      <wpswe:webExtensionRef xmlns:wpswe="http://www.wps.cn/officeDocument/2018/webExtension" r:id="rId14"/>
                    </a:extLst>
                  </pic:spPr>
                </pic:pic>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21" w:name="_Toc15377209"/>
      <w:bookmarkStart w:id="2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1"/>
      <w:bookmarkEnd w:id="22"/>
    </w:p>
    <w:p>
      <w:pPr>
        <w:spacing w:line="600" w:lineRule="exact"/>
        <w:ind w:firstLine="643" w:firstLineChars="200"/>
        <w:outlineLvl w:val="2"/>
        <w:rPr>
          <w:rFonts w:ascii="仿宋" w:hAnsi="仿宋" w:eastAsia="仿宋"/>
          <w:b/>
          <w:color w:val="auto"/>
          <w:sz w:val="32"/>
          <w:szCs w:val="32"/>
          <w:highlight w:val="none"/>
        </w:rPr>
      </w:pPr>
      <w:bookmarkStart w:id="23" w:name="_Toc15377210"/>
      <w:r>
        <w:rPr>
          <w:rFonts w:hint="eastAsia" w:ascii="仿宋" w:hAnsi="仿宋" w:eastAsia="仿宋"/>
          <w:b/>
          <w:color w:val="auto"/>
          <w:sz w:val="32"/>
          <w:szCs w:val="32"/>
          <w:highlight w:val="none"/>
        </w:rPr>
        <w:t>（一）一般公共预算财政拨款支出决算总体情况</w:t>
      </w:r>
      <w:bookmarkEnd w:id="23"/>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年一般公共预算财政拨款支出1793.48万元，占本年支出合计的</w:t>
      </w:r>
      <w:r>
        <w:rPr>
          <w:rFonts w:hint="eastAsia" w:ascii="仿宋" w:hAnsi="仿宋" w:eastAsia="仿宋"/>
          <w:color w:val="auto"/>
          <w:sz w:val="32"/>
          <w:szCs w:val="32"/>
          <w:highlight w:val="none"/>
          <w:lang w:val="en-US" w:eastAsia="zh-CN"/>
        </w:rPr>
        <w:t>97.07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增加108.65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增加6.45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一是上年幼儿园设施设备修缮；二是按学校实际情况对师生生活补助救助资金变动；三是本年度差旅培训支出降低；四是项目资金支付降低。</w:t>
      </w: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rPr>
          <w:rFonts w:ascii="仿宋" w:hAnsi="仿宋" w:eastAsia="仿宋"/>
          <w:color w:val="auto"/>
          <w:sz w:val="32"/>
          <w:szCs w:val="32"/>
          <w:highlight w:val="none"/>
        </w:rPr>
      </w:pPr>
      <w:r>
        <w:rPr>
          <w:rFonts w:hint="eastAsia" w:eastAsia="仿宋"/>
          <w:lang w:eastAsia="zh-CN"/>
        </w:rPr>
        <w:drawing>
          <wp:inline distT="0" distB="0" distL="114300" distR="114300">
            <wp:extent cx="5080000" cy="1727835"/>
            <wp:effectExtent l="4445" t="4445" r="8255" b="45720"/>
            <wp:docPr id="11" name="图表 11" descr="7b0a202020202263686172745265734964223a2022323034373633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4" w:name="_Toc15377211"/>
      <w:r>
        <w:rPr>
          <w:rFonts w:hint="eastAsia" w:ascii="仿宋" w:hAnsi="仿宋" w:eastAsia="仿宋"/>
          <w:b/>
          <w:color w:val="auto"/>
          <w:sz w:val="32"/>
          <w:szCs w:val="32"/>
          <w:highlight w:val="none"/>
        </w:rPr>
        <w:t>（二）一般公共预算财政拨款支出决算结构情况</w:t>
      </w:r>
      <w:bookmarkEnd w:id="24"/>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年一般公共预算财政拨款支出1793.48万元，主要用于以下方面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1764.2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0.89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卫</w:t>
      </w:r>
      <w:r>
        <w:rPr>
          <w:rFonts w:hint="eastAsia" w:ascii="仿宋" w:hAnsi="仿宋" w:eastAsia="仿宋"/>
          <w:b/>
          <w:bCs/>
          <w:color w:val="auto"/>
          <w:sz w:val="32"/>
          <w:szCs w:val="32"/>
          <w:highlight w:val="none"/>
          <w:lang w:val="en-US" w:eastAsia="zh-CN"/>
        </w:rPr>
        <w:t>生健康支出5.38万元，占</w:t>
      </w:r>
      <w:r>
        <w:rPr>
          <w:rFonts w:hint="eastAsia" w:ascii="仿宋" w:hAnsi="仿宋" w:eastAsia="仿宋"/>
          <w:color w:val="auto"/>
          <w:sz w:val="32"/>
          <w:szCs w:val="32"/>
          <w:highlight w:val="none"/>
          <w:lang w:val="en-US" w:eastAsia="zh-CN"/>
        </w:rPr>
        <w:t>0.3%</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7.99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2"/>
        <w:rPr>
          <w:rFonts w:ascii="仿宋" w:hAnsi="仿宋" w:eastAsia="仿宋"/>
          <w:color w:val="auto"/>
          <w:sz w:val="32"/>
          <w:szCs w:val="32"/>
          <w:highlight w:val="none"/>
        </w:rPr>
      </w:pPr>
      <w:r>
        <w:rPr>
          <w:rFonts w:hint="eastAsia" w:eastAsiaTheme="minorEastAsia"/>
          <w:lang w:eastAsia="zh-CN"/>
        </w:rPr>
        <w:drawing>
          <wp:inline distT="0" distB="0" distL="114300" distR="114300">
            <wp:extent cx="6158865" cy="2731135"/>
            <wp:effectExtent l="0" t="0" r="635" b="1206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8"/>
                    <a:stretch>
                      <a:fillRect/>
                    </a:stretch>
                  </pic:blipFill>
                  <pic:spPr>
                    <a:xfrm>
                      <a:off x="0" y="0"/>
                      <a:ext cx="6158865" cy="2731135"/>
                    </a:xfrm>
                    <a:prstGeom prst="rect">
                      <a:avLst/>
                    </a:prstGeom>
                    <a:extLst>
                      <wpswe:webExtensionRef xmlns:wpswe="http://www.wps.cn/officeDocument/2018/webExtension" r:id="rId17"/>
                    </a:extLst>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5" w:name="_Toc15377212"/>
      <w:r>
        <w:rPr>
          <w:rFonts w:hint="eastAsia" w:ascii="仿宋" w:hAnsi="仿宋" w:eastAsia="仿宋"/>
          <w:b/>
          <w:color w:val="auto"/>
          <w:sz w:val="32"/>
          <w:szCs w:val="32"/>
          <w:highlight w:val="none"/>
        </w:rPr>
        <w:t>（三）一般公共预算财政拨款支出决算具体情况</w:t>
      </w:r>
      <w:bookmarkEnd w:id="25"/>
    </w:p>
    <w:p>
      <w:pPr>
        <w:spacing w:line="600" w:lineRule="exact"/>
        <w:ind w:firstLine="643" w:firstLineChars="200"/>
        <w:outlineLvl w:val="2"/>
        <w:rPr>
          <w:rFonts w:ascii="仿宋" w:hAnsi="仿宋" w:eastAsia="仿宋"/>
          <w:color w:val="auto"/>
          <w:sz w:val="32"/>
          <w:szCs w:val="32"/>
          <w:highlight w:val="none"/>
        </w:rPr>
      </w:pPr>
      <w:bookmarkStart w:id="26" w:name="_Toc15378460"/>
      <w:bookmarkStart w:id="27" w:name="_Toc15377213"/>
      <w:bookmarkStart w:id="28" w:name="_Toc15377444"/>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1793.48万元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26"/>
      <w:bookmarkEnd w:id="27"/>
      <w:bookmarkEnd w:id="28"/>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学前教育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73.70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w:t>
      </w:r>
      <w:r>
        <w:rPr>
          <w:rStyle w:val="15"/>
          <w:rFonts w:hint="eastAsia" w:ascii="仿宋" w:hAnsi="仿宋" w:eastAsia="仿宋"/>
          <w:bCs/>
          <w:color w:val="auto"/>
          <w:sz w:val="32"/>
          <w:szCs w:val="32"/>
          <w:highlight w:val="none"/>
          <w:lang w:val="en-US"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小学教育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支出决算为1</w:t>
      </w:r>
      <w:r>
        <w:rPr>
          <w:rStyle w:val="15"/>
          <w:rFonts w:hint="eastAsia" w:ascii="仿宋" w:hAnsi="仿宋" w:eastAsia="仿宋"/>
          <w:b w:val="0"/>
          <w:bCs/>
          <w:color w:val="auto"/>
          <w:sz w:val="32"/>
          <w:szCs w:val="32"/>
          <w:highlight w:val="none"/>
          <w:lang w:val="en-US" w:eastAsia="zh-CN"/>
        </w:rPr>
        <w:t>690.52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社会保障和就业（类）行政事业单位养老（款）机关事业单位基本养老保险缴费（项）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15.90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w:t>
      </w:r>
      <w:r>
        <w:rPr>
          <w:rStyle w:val="15"/>
          <w:rFonts w:hint="eastAsia" w:ascii="仿宋" w:hAnsi="仿宋" w:eastAsia="仿宋"/>
          <w:bCs/>
          <w:color w:val="auto"/>
          <w:sz w:val="32"/>
          <w:szCs w:val="32"/>
          <w:highlight w:val="none"/>
        </w:rPr>
        <w:t>（类）住房改革（款）住房公积金（项）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7.99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pPr>
      <w:bookmarkStart w:id="62" w:name="_GoBack"/>
      <w:bookmarkEnd w:id="62"/>
    </w:p>
    <w:p>
      <w:pPr>
        <w:tabs>
          <w:tab w:val="right" w:pos="8306"/>
        </w:tabs>
        <w:spacing w:line="600" w:lineRule="exact"/>
        <w:ind w:firstLine="640"/>
        <w:outlineLvl w:val="1"/>
        <w:rPr>
          <w:rStyle w:val="26"/>
          <w:color w:val="auto"/>
          <w:highlight w:val="none"/>
        </w:rPr>
      </w:pPr>
      <w:bookmarkStart w:id="29" w:name="_Toc15377214"/>
      <w:bookmarkStart w:id="30"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29"/>
      <w:bookmarkEnd w:id="30"/>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1793.48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1587.08</w:t>
      </w:r>
      <w:r>
        <w:rPr>
          <w:rFonts w:hint="eastAsia" w:ascii="仿宋" w:hAnsi="仿宋" w:eastAsia="仿宋"/>
          <w:color w:val="auto"/>
          <w:sz w:val="32"/>
          <w:szCs w:val="32"/>
          <w:highlight w:val="none"/>
        </w:rPr>
        <w:t>万元，主要包括：基本工资、津贴补贴、绩效工资、机关事业单位基本养老保险缴费、职工基本医疗保险缴费、其他社会保障缴费、住房公积金、其他工资福利支出、对个人和家庭的补助、抚恤金、生活补助。</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206.40</w:t>
      </w:r>
      <w:r>
        <w:rPr>
          <w:rFonts w:hint="eastAsia" w:ascii="仿宋" w:hAnsi="仿宋" w:eastAsia="仿宋"/>
          <w:color w:val="auto"/>
          <w:sz w:val="32"/>
          <w:szCs w:val="32"/>
          <w:highlight w:val="none"/>
        </w:rPr>
        <w:t>万元，主要包括：办公费、印刷费、水费、电费、邮电费、差旅费、维修（护）费、租赁费、培训费、劳务费、工会经费、福利费。</w:t>
      </w:r>
    </w:p>
    <w:p>
      <w:pPr>
        <w:spacing w:line="600" w:lineRule="exact"/>
        <w:ind w:firstLine="640"/>
        <w:outlineLvl w:val="1"/>
        <w:rPr>
          <w:rStyle w:val="26"/>
          <w:rFonts w:ascii="黑体" w:hAnsi="黑体" w:eastAsia="黑体"/>
          <w:b w:val="0"/>
          <w:color w:val="auto"/>
          <w:highlight w:val="none"/>
        </w:rPr>
      </w:pPr>
      <w:bookmarkStart w:id="31" w:name="_Toc15396609"/>
      <w:bookmarkStart w:id="32"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1"/>
      <w:bookmarkEnd w:id="32"/>
    </w:p>
    <w:p>
      <w:pPr>
        <w:spacing w:line="600" w:lineRule="exact"/>
        <w:ind w:firstLine="640"/>
        <w:outlineLvl w:val="2"/>
        <w:rPr>
          <w:rFonts w:ascii="仿宋" w:hAnsi="仿宋" w:eastAsia="仿宋"/>
          <w:b/>
          <w:color w:val="auto"/>
          <w:sz w:val="32"/>
          <w:szCs w:val="32"/>
          <w:highlight w:val="none"/>
        </w:rPr>
      </w:pPr>
      <w:bookmarkStart w:id="33" w:name="_Toc15377216"/>
      <w:r>
        <w:rPr>
          <w:rFonts w:hint="eastAsia" w:ascii="仿宋" w:hAnsi="仿宋" w:eastAsia="仿宋"/>
          <w:b/>
          <w:color w:val="auto"/>
          <w:sz w:val="32"/>
          <w:szCs w:val="32"/>
          <w:highlight w:val="none"/>
        </w:rPr>
        <w:t>（一）“三公”经费财政拨款支出决算总体情况说明</w:t>
      </w:r>
      <w:bookmarkEnd w:id="33"/>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与2022年度持平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4" w:name="_Toc15377217"/>
      <w:r>
        <w:rPr>
          <w:rFonts w:hint="eastAsia" w:ascii="仿宋" w:hAnsi="仿宋" w:eastAsia="仿宋"/>
          <w:b/>
          <w:color w:val="auto"/>
          <w:sz w:val="32"/>
          <w:szCs w:val="32"/>
          <w:highlight w:val="none"/>
        </w:rPr>
        <w:t>（二）“三公”经费财政拨款支出决算具体情况说明</w:t>
      </w:r>
      <w:bookmarkEnd w:id="34"/>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 w:hAnsi="仿宋" w:eastAsia="仿宋"/>
          <w:color w:val="auto"/>
          <w:sz w:val="32"/>
          <w:szCs w:val="32"/>
          <w:highlight w:val="none"/>
          <w:lang w:val="en-US" w:eastAsia="zh-CN"/>
        </w:rPr>
        <w:t>与2022年度持平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与2022年度持平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 w:hAnsi="仿宋" w:eastAsia="仿宋"/>
          <w:color w:val="auto"/>
          <w:sz w:val="32"/>
          <w:szCs w:val="32"/>
          <w:highlight w:val="none"/>
          <w:lang w:val="en-US" w:eastAsia="zh-CN"/>
        </w:rPr>
        <w:t>与2022年度持平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35" w:name="_Toc15377218"/>
      <w:bookmarkStart w:id="36"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35"/>
      <w:bookmarkEnd w:id="36"/>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ascii="黑体" w:hAnsi="黑体" w:eastAsia="黑体"/>
          <w:b w:val="0"/>
          <w:color w:val="auto"/>
          <w:highlight w:val="none"/>
        </w:rPr>
      </w:pPr>
      <w:bookmarkStart w:id="37" w:name="_Toc15377219"/>
      <w:bookmarkStart w:id="38" w:name="_Toc15396611"/>
      <w:r>
        <w:rPr>
          <w:rStyle w:val="26"/>
          <w:rFonts w:hint="eastAsia" w:ascii="黑体" w:hAnsi="黑体" w:eastAsia="黑体"/>
          <w:b w:val="0"/>
          <w:color w:val="auto"/>
          <w:highlight w:val="none"/>
        </w:rPr>
        <w:t>国有资本经营预算支出决算情况说明</w:t>
      </w:r>
      <w:bookmarkEnd w:id="37"/>
      <w:bookmarkEnd w:id="38"/>
    </w:p>
    <w:p>
      <w:pPr>
        <w:spacing w:line="600" w:lineRule="exact"/>
        <w:ind w:firstLine="640"/>
        <w:rPr>
          <w:rFonts w:ascii="方正小标宋简体" w:hAnsi="方正小标宋简体" w:eastAsia="方正小标宋简体" w:cs="方正小标宋简体"/>
          <w:color w:val="auto"/>
          <w:sz w:val="44"/>
          <w:szCs w:val="44"/>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39" w:name="_Toc15377221"/>
      <w:bookmarkStart w:id="40" w:name="_Toc15396612"/>
      <w:r>
        <w:rPr>
          <w:rStyle w:val="26"/>
          <w:rFonts w:hint="eastAsia" w:ascii="黑体" w:hAnsi="黑体" w:eastAsia="黑体"/>
          <w:b w:val="0"/>
          <w:color w:val="auto"/>
          <w:highlight w:val="none"/>
        </w:rPr>
        <w:t>其他重要事项的情况说明</w:t>
      </w:r>
      <w:bookmarkEnd w:id="39"/>
      <w:bookmarkEnd w:id="40"/>
    </w:p>
    <w:p>
      <w:pPr>
        <w:spacing w:line="600" w:lineRule="exact"/>
        <w:ind w:firstLine="643" w:firstLineChars="200"/>
        <w:outlineLvl w:val="2"/>
        <w:rPr>
          <w:rFonts w:ascii="仿宋" w:hAnsi="仿宋" w:eastAsia="仿宋"/>
          <w:color w:val="auto"/>
          <w:sz w:val="32"/>
          <w:szCs w:val="32"/>
          <w:highlight w:val="none"/>
        </w:rPr>
      </w:pPr>
      <w:bookmarkStart w:id="41" w:name="_Toc15377222"/>
      <w:r>
        <w:rPr>
          <w:rFonts w:hint="eastAsia" w:ascii="仿宋" w:hAnsi="仿宋" w:eastAsia="仿宋"/>
          <w:b/>
          <w:color w:val="auto"/>
          <w:sz w:val="32"/>
          <w:szCs w:val="32"/>
          <w:highlight w:val="none"/>
        </w:rPr>
        <w:t>（一）机关运行经费支出情况</w:t>
      </w:r>
      <w:bookmarkEnd w:id="41"/>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3"/>
      <w:r>
        <w:rPr>
          <w:rFonts w:hint="eastAsia" w:ascii="仿宋" w:hAnsi="仿宋" w:eastAsia="仿宋"/>
          <w:b/>
          <w:color w:val="auto"/>
          <w:sz w:val="32"/>
          <w:szCs w:val="32"/>
          <w:highlight w:val="none"/>
        </w:rPr>
        <w:t>（二）政府采购支出情况</w:t>
      </w:r>
      <w:bookmarkEnd w:id="42"/>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3" w:name="_Toc15377224"/>
      <w:r>
        <w:rPr>
          <w:rFonts w:hint="eastAsia" w:ascii="仿宋" w:hAnsi="仿宋" w:eastAsia="仿宋"/>
          <w:b/>
          <w:color w:val="auto"/>
          <w:sz w:val="32"/>
          <w:szCs w:val="32"/>
          <w:highlight w:val="none"/>
        </w:rPr>
        <w:t>（三）国有资产占有使用情况</w:t>
      </w:r>
      <w:bookmarkEnd w:id="43"/>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营养餐改善计划、特岗教师、农村教师生活补助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4" w:name="_Toc15396613"/>
      <w:bookmarkStart w:id="45"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4"/>
      <w:bookmarkEnd w:id="45"/>
    </w:p>
    <w:p>
      <w:pPr>
        <w:spacing w:line="600" w:lineRule="exact"/>
        <w:jc w:val="left"/>
        <w:rPr>
          <w:rFonts w:ascii="宋体"/>
          <w:b/>
          <w:color w:val="auto"/>
          <w:sz w:val="44"/>
          <w:szCs w:val="44"/>
          <w:highlight w:val="none"/>
        </w:rPr>
      </w:pPr>
    </w:p>
    <w:p>
      <w:pPr>
        <w:pStyle w:val="23"/>
        <w:snapToGrid w:val="0"/>
        <w:spacing w:line="520" w:lineRule="exact"/>
        <w:ind w:firstLine="560" w:firstLineChars="200"/>
        <w:rPr>
          <w:rFonts w:ascii="仿宋_GB2312" w:eastAsia="仿宋_GB2312"/>
          <w:color w:val="auto"/>
          <w:sz w:val="28"/>
          <w:szCs w:val="28"/>
        </w:rPr>
      </w:pPr>
      <w:bookmarkStart w:id="46" w:name="_Toc15377226"/>
      <w:r>
        <w:rPr>
          <w:rFonts w:hint="eastAsia" w:ascii="仿宋_GB2312" w:eastAsia="仿宋_GB2312"/>
          <w:color w:val="auto"/>
          <w:sz w:val="28"/>
          <w:szCs w:val="28"/>
        </w:rPr>
        <w:t>1.财政拨款收入：指单位从同级财政部门取得的财政预算资金。</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pPr>
        <w:pStyle w:val="23"/>
        <w:snapToGrid w:val="0"/>
        <w:spacing w:line="520" w:lineRule="exact"/>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eastAsia="仿宋_GB2312" w:cs="仿宋"/>
          <w:color w:val="auto"/>
          <w:kern w:val="0"/>
          <w:sz w:val="28"/>
          <w:szCs w:val="28"/>
          <w:lang w:val="en-US" w:eastAsia="zh-CN" w:bidi="ar-SA"/>
        </w:rPr>
        <w:t>9.</w:t>
      </w:r>
      <w:r>
        <w:rPr>
          <w:rFonts w:hint="eastAsia" w:ascii="仿宋_GB2312" w:hAnsi="Calibri" w:eastAsia="仿宋_GB2312" w:cs="仿宋"/>
          <w:color w:val="auto"/>
          <w:kern w:val="0"/>
          <w:sz w:val="28"/>
          <w:szCs w:val="28"/>
          <w:lang w:val="en-US" w:eastAsia="zh-CN" w:bidi="ar-SA"/>
        </w:rPr>
        <w:t>教育（类）普通教育（款）学前教育（项）：</w:t>
      </w:r>
      <w:r>
        <w:rPr>
          <w:rFonts w:hint="eastAsia" w:ascii="仿宋_GB2312" w:eastAsia="仿宋_GB2312"/>
          <w:color w:val="auto"/>
          <w:sz w:val="28"/>
          <w:szCs w:val="28"/>
        </w:rPr>
        <w:t>反映各部门举办的学前教育支出。</w:t>
      </w:r>
    </w:p>
    <w:p>
      <w:pPr>
        <w:pStyle w:val="23"/>
        <w:snapToGrid w:val="0"/>
        <w:spacing w:line="520" w:lineRule="exact"/>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eastAsia="仿宋_GB2312" w:cs="仿宋"/>
          <w:color w:val="auto"/>
          <w:kern w:val="0"/>
          <w:sz w:val="28"/>
          <w:szCs w:val="28"/>
          <w:lang w:val="en-US" w:eastAsia="zh-CN" w:bidi="ar-SA"/>
        </w:rPr>
        <w:t>10.</w:t>
      </w:r>
      <w:r>
        <w:rPr>
          <w:rFonts w:hint="eastAsia" w:ascii="仿宋_GB2312" w:hAnsi="Calibri" w:eastAsia="仿宋_GB2312" w:cs="仿宋"/>
          <w:color w:val="auto"/>
          <w:kern w:val="0"/>
          <w:sz w:val="28"/>
          <w:szCs w:val="28"/>
          <w:lang w:val="en-US" w:eastAsia="zh-CN" w:bidi="ar-SA"/>
        </w:rPr>
        <w:t>教育（类）普通教育（款）小学教育（项）：</w:t>
      </w:r>
      <w:r>
        <w:rPr>
          <w:rFonts w:hint="eastAsia" w:ascii="仿宋_GB2312" w:eastAsia="仿宋_GB2312"/>
          <w:color w:val="auto"/>
          <w:sz w:val="28"/>
          <w:szCs w:val="28"/>
        </w:rPr>
        <w:t>反映各部门举办的小学教育支出。政府各部门对社会中介组织等举办的小学的资助，如各类捐赠、补贴等，也在本科目中反映。</w:t>
      </w:r>
    </w:p>
    <w:p>
      <w:pPr>
        <w:pStyle w:val="23"/>
        <w:snapToGrid w:val="0"/>
        <w:spacing w:line="520" w:lineRule="exact"/>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eastAsia="仿宋_GB2312" w:cs="仿宋"/>
          <w:color w:val="auto"/>
          <w:kern w:val="0"/>
          <w:sz w:val="28"/>
          <w:szCs w:val="28"/>
          <w:lang w:val="en-US" w:eastAsia="zh-CN" w:bidi="ar-SA"/>
        </w:rPr>
        <w:t>11.</w:t>
      </w:r>
      <w:r>
        <w:rPr>
          <w:rFonts w:hint="eastAsia" w:ascii="仿宋_GB2312" w:hAnsi="Calibri" w:eastAsia="仿宋_GB2312" w:cs="仿宋"/>
          <w:color w:val="auto"/>
          <w:kern w:val="0"/>
          <w:sz w:val="28"/>
          <w:szCs w:val="28"/>
          <w:lang w:val="en-US" w:eastAsia="zh-CN" w:bidi="ar-SA"/>
        </w:rPr>
        <w:t>教育（类）普通教育（款）其他普通教育（项）</w:t>
      </w:r>
      <w:r>
        <w:rPr>
          <w:rFonts w:hint="eastAsia" w:ascii="仿宋_GB2312" w:eastAsia="仿宋_GB2312" w:cs="仿宋"/>
          <w:color w:val="auto"/>
          <w:kern w:val="0"/>
          <w:sz w:val="28"/>
          <w:szCs w:val="28"/>
          <w:lang w:val="en-US" w:eastAsia="zh-CN" w:bidi="ar-SA"/>
        </w:rPr>
        <w:t>：</w:t>
      </w:r>
      <w:r>
        <w:rPr>
          <w:rFonts w:hint="eastAsia" w:ascii="仿宋_GB2312" w:eastAsia="仿宋_GB2312"/>
          <w:color w:val="auto"/>
          <w:sz w:val="28"/>
          <w:szCs w:val="28"/>
        </w:rPr>
        <w:t>指上述项目以外其他用于教育方面的支出。</w:t>
      </w:r>
    </w:p>
    <w:p>
      <w:pPr>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hAnsi="Calibri" w:eastAsia="仿宋_GB2312" w:cs="仿宋"/>
          <w:color w:val="auto"/>
          <w:kern w:val="0"/>
          <w:sz w:val="28"/>
          <w:szCs w:val="28"/>
          <w:lang w:val="en-US" w:eastAsia="zh-CN" w:bidi="ar-SA"/>
        </w:rPr>
        <w:t>12.社会保障和就业（类）行政事业单位养老（款）机关事业单位基本养老保险缴费（项）：</w:t>
      </w:r>
      <w:r>
        <w:rPr>
          <w:rFonts w:hint="eastAsia" w:ascii="仿宋_GB2312" w:eastAsia="仿宋_GB2312"/>
          <w:color w:val="auto"/>
          <w:sz w:val="28"/>
          <w:szCs w:val="28"/>
        </w:rPr>
        <w:t>指机关事业单位实施养老保险制度由单位缴纳的基本养老保险费支出。</w:t>
      </w:r>
    </w:p>
    <w:p>
      <w:pPr>
        <w:ind w:firstLine="560" w:firstLineChars="200"/>
        <w:rPr>
          <w:rFonts w:hint="eastAsia" w:ascii="仿宋_GB2312" w:hAnsi="Calibri" w:eastAsia="仿宋_GB2312" w:cs="仿宋"/>
          <w:color w:val="auto"/>
          <w:kern w:val="0"/>
          <w:sz w:val="28"/>
          <w:szCs w:val="28"/>
          <w:lang w:val="en-US" w:eastAsia="zh-CN" w:bidi="ar-SA"/>
        </w:rPr>
      </w:pPr>
      <w:r>
        <w:rPr>
          <w:rFonts w:hint="eastAsia" w:ascii="仿宋_GB2312" w:hAnsi="Calibri" w:eastAsia="仿宋_GB2312" w:cs="仿宋"/>
          <w:color w:val="auto"/>
          <w:kern w:val="0"/>
          <w:sz w:val="28"/>
          <w:szCs w:val="28"/>
          <w:lang w:val="en-US" w:eastAsia="zh-CN" w:bidi="ar-SA"/>
        </w:rPr>
        <w:t>13.住房保障（类）住房改革（款）住房公积金（项）：</w:t>
      </w:r>
      <w:r>
        <w:rPr>
          <w:rFonts w:hint="eastAsia" w:ascii="仿宋_GB2312" w:eastAsia="仿宋_GB2312"/>
          <w:color w:val="auto"/>
          <w:sz w:val="28"/>
          <w:szCs w:val="28"/>
        </w:rPr>
        <w:t>指行政事业单位按人力资源和社会保障部、财政部规定的基本工资和津贴补贴以及规定比例为职工缴纳的住房公积金。</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33.基本支出：指为保障机构正常运转、完成日常工作任务而发生的人员支出和公用支出。</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 xml:space="preserve">4.项目支出：指在基本支出之外为完成特定行政任务和事业发展目标所发生的支出。 </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5.经营支出：指事业单位在专业业务活动及其辅助活动之外开展非独立核算经营活动发生的支出。</w:t>
      </w:r>
    </w:p>
    <w:p>
      <w:pPr>
        <w:pStyle w:val="23"/>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napToGrid w:val="0"/>
        <w:spacing w:line="520" w:lineRule="exact"/>
        <w:ind w:firstLine="560" w:firstLineChars="200"/>
        <w:rPr>
          <w:rFonts w:ascii="仿宋_GB2312" w:eastAsia="仿宋_GB2312" w:cs="黑体"/>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hint="eastAsia" w:ascii="黑体" w:hAnsi="黑体" w:eastAsia="黑体"/>
          <w:b w:val="0"/>
          <w:color w:val="auto"/>
          <w:highlight w:val="none"/>
        </w:rPr>
      </w:pPr>
      <w:r>
        <w:rPr>
          <w:rFonts w:ascii="宋体"/>
          <w:b/>
          <w:color w:val="auto"/>
          <w:sz w:val="44"/>
          <w:szCs w:val="44"/>
          <w:highlight w:val="none"/>
        </w:rPr>
        <w:br w:type="page"/>
      </w:r>
      <w:bookmarkStart w:id="47"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47"/>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仿宋" w:hAnsi="仿宋" w:eastAsia="仿宋" w:cs="仿宋"/>
          <w:sz w:val="28"/>
          <w:szCs w:val="28"/>
        </w:rPr>
      </w:pPr>
      <w:bookmarkStart w:id="48" w:name="_Toc15396618"/>
      <w:r>
        <w:rPr>
          <w:rFonts w:hint="eastAsia" w:ascii="仿宋" w:hAnsi="仿宋" w:eastAsia="仿宋" w:cs="仿宋"/>
          <w:sz w:val="28"/>
          <w:szCs w:val="28"/>
        </w:rPr>
        <w:t>部门预算项目支出绩效自评表（</w:t>
      </w:r>
      <w:r>
        <w:rPr>
          <w:rFonts w:hint="eastAsia" w:ascii="仿宋" w:hAnsi="仿宋" w:eastAsia="仿宋" w:cs="仿宋"/>
          <w:sz w:val="28"/>
          <w:szCs w:val="28"/>
          <w:lang w:eastAsia="zh-CN"/>
        </w:rPr>
        <w:t>2023</w:t>
      </w:r>
      <w:r>
        <w:rPr>
          <w:rFonts w:hint="eastAsia" w:ascii="仿宋" w:hAnsi="仿宋" w:eastAsia="仿宋" w:cs="仿宋"/>
          <w:sz w:val="28"/>
          <w:szCs w:val="28"/>
        </w:rPr>
        <w:t>年度）</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46"/>
      <w:bookmarkEnd w:id="48"/>
      <w:bookmarkStart w:id="4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49"/>
    </w:p>
    <w:p>
      <w:pPr>
        <w:pStyle w:val="4"/>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0"/>
    </w:p>
    <w:p>
      <w:pPr>
        <w:pStyle w:val="4"/>
        <w:rPr>
          <w:rFonts w:ascii="仿宋" w:hAnsi="仿宋" w:eastAsia="仿宋"/>
          <w:color w:val="auto"/>
          <w:highlight w:val="none"/>
        </w:rPr>
      </w:pPr>
      <w:bookmarkStart w:id="51"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1"/>
    </w:p>
    <w:p>
      <w:pPr>
        <w:pStyle w:val="4"/>
        <w:rPr>
          <w:rFonts w:ascii="仿宋" w:hAnsi="仿宋" w:eastAsia="仿宋"/>
          <w:b w:val="0"/>
          <w:color w:val="auto"/>
          <w:highlight w:val="none"/>
        </w:rPr>
      </w:pPr>
      <w:bookmarkStart w:id="52"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2"/>
    </w:p>
    <w:p>
      <w:pPr>
        <w:pStyle w:val="4"/>
        <w:rPr>
          <w:rStyle w:val="26"/>
          <w:rFonts w:ascii="仿宋" w:hAnsi="仿宋" w:eastAsia="仿宋"/>
          <w:b w:val="0"/>
          <w:bCs w:val="0"/>
          <w:color w:val="auto"/>
          <w:highlight w:val="none"/>
        </w:rPr>
      </w:pPr>
      <w:bookmarkStart w:id="53"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3"/>
      <w:bookmarkStart w:id="54"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4"/>
    </w:p>
    <w:p>
      <w:pPr>
        <w:pStyle w:val="4"/>
        <w:rPr>
          <w:rFonts w:ascii="仿宋" w:hAnsi="仿宋" w:eastAsia="仿宋"/>
          <w:color w:val="auto"/>
          <w:highlight w:val="none"/>
        </w:rPr>
      </w:pPr>
      <w:bookmarkStart w:id="55"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55"/>
    </w:p>
    <w:p>
      <w:pPr>
        <w:pStyle w:val="4"/>
        <w:rPr>
          <w:rFonts w:ascii="仿宋" w:hAnsi="仿宋" w:eastAsia="仿宋"/>
          <w:color w:val="auto"/>
          <w:highlight w:val="none"/>
        </w:rPr>
      </w:pPr>
      <w:bookmarkStart w:id="56"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56"/>
    </w:p>
    <w:p>
      <w:pPr>
        <w:pStyle w:val="4"/>
        <w:rPr>
          <w:rFonts w:ascii="仿宋" w:hAnsi="仿宋" w:eastAsia="仿宋"/>
          <w:color w:val="auto"/>
          <w:highlight w:val="none"/>
        </w:rPr>
      </w:pPr>
      <w:bookmarkStart w:id="57"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57"/>
    </w:p>
    <w:p>
      <w:pPr>
        <w:pStyle w:val="4"/>
        <w:rPr>
          <w:rFonts w:ascii="仿宋" w:hAnsi="仿宋" w:eastAsia="仿宋"/>
          <w:color w:val="auto"/>
          <w:highlight w:val="none"/>
        </w:rPr>
      </w:pPr>
      <w:bookmarkStart w:id="58" w:name="_Toc15396628"/>
      <w:r>
        <w:rPr>
          <w:rStyle w:val="26"/>
          <w:rFonts w:hint="eastAsia" w:ascii="仿宋" w:hAnsi="仿宋" w:eastAsia="仿宋"/>
          <w:b w:val="0"/>
          <w:bCs w:val="0"/>
          <w:color w:val="auto"/>
          <w:highlight w:val="none"/>
        </w:rPr>
        <w:t>十、</w:t>
      </w:r>
      <w:bookmarkEnd w:id="58"/>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59" w:name="_Toc15396629"/>
      <w:r>
        <w:rPr>
          <w:rStyle w:val="26"/>
          <w:rFonts w:hint="eastAsia" w:ascii="仿宋" w:hAnsi="仿宋" w:eastAsia="仿宋"/>
          <w:b w:val="0"/>
          <w:bCs w:val="0"/>
          <w:color w:val="auto"/>
          <w:highlight w:val="none"/>
        </w:rPr>
        <w:t>十一、</w:t>
      </w:r>
      <w:bookmarkEnd w:id="59"/>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0" w:name="_Toc15396630"/>
      <w:r>
        <w:rPr>
          <w:rStyle w:val="26"/>
          <w:rFonts w:hint="eastAsia" w:ascii="仿宋" w:hAnsi="仿宋" w:eastAsia="仿宋"/>
          <w:b w:val="0"/>
          <w:bCs w:val="0"/>
          <w:color w:val="auto"/>
          <w:highlight w:val="none"/>
        </w:rPr>
        <w:t>十二、</w:t>
      </w:r>
      <w:bookmarkEnd w:id="60"/>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1" w:name="_Toc15396631"/>
      <w:r>
        <w:rPr>
          <w:rStyle w:val="26"/>
          <w:rFonts w:hint="eastAsia" w:ascii="仿宋" w:hAnsi="仿宋" w:eastAsia="仿宋"/>
          <w:b w:val="0"/>
          <w:bCs w:val="0"/>
          <w:color w:val="auto"/>
          <w:highlight w:val="none"/>
        </w:rPr>
        <w:t>十三、</w:t>
      </w:r>
      <w:bookmarkEnd w:id="61"/>
      <w:r>
        <w:rPr>
          <w:rStyle w:val="26"/>
          <w:rFonts w:hint="eastAsia" w:ascii="仿宋" w:hAnsi="仿宋" w:eastAsia="仿宋"/>
          <w:b w:val="0"/>
          <w:bCs w:val="0"/>
          <w:color w:val="auto"/>
          <w:highlight w:val="none"/>
          <w:lang w:eastAsia="zh-CN"/>
        </w:rPr>
        <w:t>财政拨款“三公”经费支出决算表</w:t>
      </w:r>
    </w:p>
    <w:sectPr>
      <w:footerReference r:id="rId7" w:type="firs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2A952F4"/>
    <w:multiLevelType w:val="singleLevel"/>
    <w:tmpl w:val="02A952F4"/>
    <w:lvl w:ilvl="0" w:tentative="0">
      <w:start w:val="1"/>
      <w:numFmt w:val="chineseCounting"/>
      <w:suff w:val="nothing"/>
      <w:lvlText w:val="%1、"/>
      <w:lvlJc w:val="left"/>
      <w:pPr>
        <w:ind w:left="0" w:firstLine="420"/>
      </w:pPr>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ODA2YWIyMTg1YjFiZDk4MDYzN2FkYWRiNzU0MzEifQ=="/>
    <w:docVar w:name="KSO_WPS_MARK_KEY" w:val="76d902af-4f60-432e-9b40-e86b768344b3"/>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B0797"/>
    <w:rsid w:val="028642E4"/>
    <w:rsid w:val="053A62B5"/>
    <w:rsid w:val="05D4264D"/>
    <w:rsid w:val="06CC440E"/>
    <w:rsid w:val="09835C73"/>
    <w:rsid w:val="0A2032A3"/>
    <w:rsid w:val="0AE0334D"/>
    <w:rsid w:val="0B8A37D8"/>
    <w:rsid w:val="0BC32105"/>
    <w:rsid w:val="0C027923"/>
    <w:rsid w:val="0C046E3A"/>
    <w:rsid w:val="0D554FDF"/>
    <w:rsid w:val="0EEB617C"/>
    <w:rsid w:val="109156AE"/>
    <w:rsid w:val="10B06406"/>
    <w:rsid w:val="10C055FF"/>
    <w:rsid w:val="113849FC"/>
    <w:rsid w:val="118107EC"/>
    <w:rsid w:val="11DD6519"/>
    <w:rsid w:val="15BC3411"/>
    <w:rsid w:val="16BB723D"/>
    <w:rsid w:val="16D26743"/>
    <w:rsid w:val="18015F3F"/>
    <w:rsid w:val="19EA45E5"/>
    <w:rsid w:val="1BD00F56"/>
    <w:rsid w:val="1BE8440E"/>
    <w:rsid w:val="1D155CEE"/>
    <w:rsid w:val="1D2A61BE"/>
    <w:rsid w:val="1E911BEF"/>
    <w:rsid w:val="1F7D585A"/>
    <w:rsid w:val="20F57F95"/>
    <w:rsid w:val="232C70E9"/>
    <w:rsid w:val="240371BF"/>
    <w:rsid w:val="243D353F"/>
    <w:rsid w:val="25711CC6"/>
    <w:rsid w:val="25C741E6"/>
    <w:rsid w:val="26622587"/>
    <w:rsid w:val="27842671"/>
    <w:rsid w:val="28EC412E"/>
    <w:rsid w:val="29FD04D3"/>
    <w:rsid w:val="2ABE7A3E"/>
    <w:rsid w:val="2BBA7F12"/>
    <w:rsid w:val="2BD1595B"/>
    <w:rsid w:val="2C422884"/>
    <w:rsid w:val="2CA234A8"/>
    <w:rsid w:val="2EFA178C"/>
    <w:rsid w:val="30B46D73"/>
    <w:rsid w:val="30CB749B"/>
    <w:rsid w:val="31126BC0"/>
    <w:rsid w:val="319F7F4E"/>
    <w:rsid w:val="33237E5A"/>
    <w:rsid w:val="3667721A"/>
    <w:rsid w:val="373D62EC"/>
    <w:rsid w:val="383D272C"/>
    <w:rsid w:val="39AE70AB"/>
    <w:rsid w:val="3A334D25"/>
    <w:rsid w:val="3C0C0783"/>
    <w:rsid w:val="3CF924CC"/>
    <w:rsid w:val="3E736E3C"/>
    <w:rsid w:val="3F9F3A96"/>
    <w:rsid w:val="3FA931F6"/>
    <w:rsid w:val="3FEE77B2"/>
    <w:rsid w:val="40F8005B"/>
    <w:rsid w:val="41A32140"/>
    <w:rsid w:val="446644FA"/>
    <w:rsid w:val="44F763A1"/>
    <w:rsid w:val="45A1630C"/>
    <w:rsid w:val="46D026EC"/>
    <w:rsid w:val="480F7B95"/>
    <w:rsid w:val="48BF60AB"/>
    <w:rsid w:val="493C27E9"/>
    <w:rsid w:val="496F39ED"/>
    <w:rsid w:val="49FF41D3"/>
    <w:rsid w:val="4A8312B6"/>
    <w:rsid w:val="4ACE2771"/>
    <w:rsid w:val="4B393965"/>
    <w:rsid w:val="4BE068DB"/>
    <w:rsid w:val="4BF6002B"/>
    <w:rsid w:val="4ECE2238"/>
    <w:rsid w:val="51711289"/>
    <w:rsid w:val="51DB4B86"/>
    <w:rsid w:val="51F86065"/>
    <w:rsid w:val="51FB7686"/>
    <w:rsid w:val="520E362C"/>
    <w:rsid w:val="54017AAB"/>
    <w:rsid w:val="54122C02"/>
    <w:rsid w:val="54414CFC"/>
    <w:rsid w:val="55333C3E"/>
    <w:rsid w:val="5A405C9C"/>
    <w:rsid w:val="5B672B36"/>
    <w:rsid w:val="5E390074"/>
    <w:rsid w:val="5EF5135B"/>
    <w:rsid w:val="63F95EFF"/>
    <w:rsid w:val="64CA39A1"/>
    <w:rsid w:val="65C55F4D"/>
    <w:rsid w:val="666941F8"/>
    <w:rsid w:val="673D5429"/>
    <w:rsid w:val="69630ADE"/>
    <w:rsid w:val="6A021643"/>
    <w:rsid w:val="6A63196C"/>
    <w:rsid w:val="6BA8064D"/>
    <w:rsid w:val="6C4A05C8"/>
    <w:rsid w:val="6CB25212"/>
    <w:rsid w:val="6D3B1A89"/>
    <w:rsid w:val="71BF4EC2"/>
    <w:rsid w:val="72734D90"/>
    <w:rsid w:val="728A632E"/>
    <w:rsid w:val="73706606"/>
    <w:rsid w:val="7412278C"/>
    <w:rsid w:val="74266FD9"/>
    <w:rsid w:val="74A71E5E"/>
    <w:rsid w:val="74F929A6"/>
    <w:rsid w:val="75FC7BA5"/>
    <w:rsid w:val="77232FAB"/>
    <w:rsid w:val="77306001"/>
    <w:rsid w:val="78FB2499"/>
    <w:rsid w:val="79E7B28D"/>
    <w:rsid w:val="79FB5607"/>
    <w:rsid w:val="7B1B79EC"/>
    <w:rsid w:val="7C637397"/>
    <w:rsid w:val="7CEB12B6"/>
    <w:rsid w:val="7E3F60E7"/>
    <w:rsid w:val="7EFB3DBC"/>
    <w:rsid w:val="7F0E4BB1"/>
    <w:rsid w:val="7F9F20EE"/>
    <w:rsid w:val="7FAA498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www.wps.cn/officeDocument/2018/webExtension" Target="webExtensions/webExtension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www.wps.cn/officeDocument/2018/webExtension" Target="webExtensions/webExtension4.xml"/><Relationship Id="rId16" Type="http://schemas.openxmlformats.org/officeDocument/2006/relationships/chart" Target="charts/chart2.xml"/><Relationship Id="rId15" Type="http://schemas.openxmlformats.org/officeDocument/2006/relationships/image" Target="media/image3.png"/><Relationship Id="rId14" Type="http://www.wps.cn/officeDocument/2018/webExtension" Target="webExtensions/webExtension3.xml"/><Relationship Id="rId13" Type="http://schemas.openxmlformats.org/officeDocument/2006/relationships/chart" Target="charts/chart1.xml"/><Relationship Id="rId12" Type="http://schemas.openxmlformats.org/officeDocument/2006/relationships/image" Target="media/image2.png"/><Relationship Id="rId11" Type="http://www.wps.cn/officeDocument/2018/webExtension" Target="webExtensions/webExtension2.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5.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86395233366435"/>
          <c:y val="0.0478645066273932"/>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289783119937288"/>
          <c:y val="0.180154355016538"/>
          <c:w val="0.444473477920042"/>
          <c:h val="0.750165380374862"/>
        </c:manualLayout>
      </c:layout>
      <c:pieChart>
        <c:varyColors val="1"/>
        <c:ser>
          <c:idx val="0"/>
          <c:order val="0"/>
          <c:tx>
            <c:strRef>
              <c:f>Sheet1!$B$1</c:f>
              <c:strCache>
                <c:ptCount val="1"/>
                <c:pt idx="0">
                  <c:v>支出决算情况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88.83</c:v>
                </c:pt>
                <c:pt idx="1">
                  <c:v>11.17</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75"/>
          <c:y val="0.156145096184169"/>
          <c:w val="0.9295"/>
          <c:h val="0.7109"/>
        </c:manualLayout>
      </c:layout>
      <c:barChart>
        <c:barDir val="col"/>
        <c:grouping val="clustered"/>
        <c:varyColors val="0"/>
        <c:ser>
          <c:idx val="0"/>
          <c:order val="0"/>
          <c:tx>
            <c:strRef>
              <c:f>Sheet1!$B$1</c:f>
              <c:strCache>
                <c:ptCount val="1"/>
                <c:pt idx="0">
                  <c:v>万元</c:v>
                </c:pt>
              </c:strCache>
            </c:strRef>
          </c:tx>
          <c:spPr>
            <a:blipFill rotWithShape="1">
              <a:blip xmlns:r="http://schemas.openxmlformats.org/officeDocument/2006/relationships" r:embed="rId3">
                <a:duotone>
                  <a:schemeClr val="accent1">
                    <a:shade val="45000"/>
                    <a:satMod val="135000"/>
                  </a:schemeClr>
                  <a:prstClr val="white"/>
                </a:duotone>
              </a:blip>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2022</c:v>
                </c:pt>
                <c:pt idx="1">
                  <c:v>2023</c:v>
                </c:pt>
              </c:numCache>
            </c:numRef>
          </c:cat>
          <c:val>
            <c:numRef>
              <c:f>Sheet1!$B$2:$B$5</c:f>
              <c:numCache>
                <c:formatCode>General</c:formatCode>
                <c:ptCount val="4"/>
                <c:pt idx="0">
                  <c:v>1684.83</c:v>
                </c:pt>
                <c:pt idx="1">
                  <c:v>1793.48</c:v>
                </c:pt>
              </c:numCache>
            </c:numRef>
          </c:val>
        </c:ser>
        <c:ser>
          <c:idx val="1"/>
          <c:order val="1"/>
          <c:tx>
            <c:strRef>
              <c:f>Sheet1!$C$1</c:f>
              <c:strCache>
                <c:ptCount val="1"/>
                <c:pt idx="0">
                  <c:v/>
                </c:pt>
              </c:strCache>
            </c:strRef>
          </c:tx>
          <c:spPr>
            <a:blipFill rotWithShape="1">
              <a:blip xmlns:r="http://schemas.openxmlformats.org/officeDocument/2006/relationships" r:embed="rId3">
                <a:duotone>
                  <a:schemeClr val="accent2">
                    <a:shade val="45000"/>
                    <a:satMod val="135000"/>
                  </a:schemeClr>
                  <a:prstClr val="white"/>
                </a:duotone>
              </a:blip>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2022</c:v>
                </c:pt>
                <c:pt idx="1">
                  <c:v>2023</c:v>
                </c:pt>
              </c:numCache>
            </c:numRef>
          </c:cat>
          <c:val>
            <c:numRef>
              <c:f>Sheet1!$C$2:$C$5</c:f>
              <c:numCache>
                <c:formatCode>General</c:formatCode>
                <c:ptCount val="4"/>
              </c:numCache>
            </c:numRef>
          </c:val>
        </c:ser>
        <c:ser>
          <c:idx val="2"/>
          <c:order val="2"/>
          <c:tx>
            <c:strRef>
              <c:f>Sheet1!$D$1</c:f>
              <c:strCache>
                <c:ptCount val="1"/>
                <c:pt idx="0">
                  <c:v/>
                </c:pt>
              </c:strCache>
            </c:strRef>
          </c:tx>
          <c:spPr>
            <a:blipFill rotWithShape="1">
              <a:blip xmlns:r="http://schemas.openxmlformats.org/officeDocument/2006/relationships" r:embed="rId3">
                <a:duotone>
                  <a:schemeClr val="accent3">
                    <a:shade val="45000"/>
                    <a:satMod val="135000"/>
                  </a:schemeClr>
                  <a:prstClr val="white"/>
                </a:duotone>
              </a:blip>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2022</c:v>
                </c:pt>
                <c:pt idx="1">
                  <c:v>2023</c:v>
                </c:pt>
              </c:numCache>
            </c:num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929183430"/>
        <c:axId val="361116312"/>
      </c:barChart>
      <c:catAx>
        <c:axId val="929183430"/>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361116312"/>
        <c:crosses val="autoZero"/>
        <c:auto val="1"/>
        <c:lblAlgn val="ctr"/>
        <c:lblOffset val="100"/>
        <c:noMultiLvlLbl val="0"/>
      </c:catAx>
      <c:valAx>
        <c:axId val="361116312"/>
        <c:scaling>
          <c:orientation val="minMax"/>
        </c:scaling>
        <c:delete val="1"/>
        <c:axPos val="l"/>
        <c:majorGridlines>
          <c:spPr>
            <a:ln w="6350" cap="flat" cmpd="sng" algn="ctr">
              <a:solidFill>
                <a:schemeClr val="bg1">
                  <a:lumMod val="75000"/>
                  <a:alpha val="1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9183430"/>
        <c:crosses val="autoZero"/>
        <c:crossBetween val="between"/>
      </c:valAx>
      <c:spPr>
        <a:noFill/>
        <a:ln>
          <a:noFill/>
        </a:ln>
        <a:effectLst/>
      </c:spPr>
    </c:plotArea>
    <c:legend>
      <c:legendPos val="t"/>
      <c:legendEntry>
        <c:idx val="1"/>
        <c:delete val="1"/>
      </c:legendEntry>
      <c:legendEntry>
        <c:idx val="2"/>
        <c:delete val="1"/>
      </c:legendEntry>
      <c:layout>
        <c:manualLayout>
          <c:xMode val="edge"/>
          <c:yMode val="edge"/>
          <c:x val="0.4444375"/>
          <c:y val="0.107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最高饱和度-彩色">
    <a:dk1>
      <a:srgbClr val="000000"/>
    </a:dk1>
    <a:lt1>
      <a:srgbClr val="FFFFFF"/>
    </a:lt1>
    <a:dk2>
      <a:srgbClr val="000000"/>
    </a:dk2>
    <a:lt2>
      <a:srgbClr val="FEFFFF"/>
    </a:lt2>
    <a:accent1>
      <a:srgbClr val="FFCF1F"/>
    </a:accent1>
    <a:accent2>
      <a:srgbClr val="FF6F2F"/>
    </a:accent2>
    <a:accent3>
      <a:srgbClr val="FF475D"/>
    </a:accent3>
    <a:accent4>
      <a:srgbClr val="53D2FF"/>
    </a:accent4>
    <a:accent5>
      <a:srgbClr val="4B87FF"/>
    </a:accent5>
    <a:accent6>
      <a:srgbClr val="6B5BFF"/>
    </a:accent6>
    <a:hlink>
      <a:srgbClr val="304FFE"/>
    </a:hlink>
    <a:folHlink>
      <a:srgbClr val="492067"/>
    </a:folHlink>
  </a:clrScheme>
  <a:fontScheme name="微软雅黑">
    <a:majorFont>
      <a:latin typeface="Arial"/>
      <a:ea typeface="微软雅黑"/>
      <a:cs typeface=""/>
    </a:majorFont>
    <a:minorFont>
      <a:latin typeface="Arial"/>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4.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3.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5.xlsx"/></Relationships>
</file>

<file path=word/webExtensions/_rels/webExtension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6.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3&quot;,&quot;1876.87&quot;,&quot;1876.87&quot;],[&quot;2022&quot;,&quot;1705.76&quot;,&quot;1705.76&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38,&quot;ratio&quot;:&quot;&quot;,&quot;rotate&quot;:0,&quot;width&quot;:378},&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1003&quot;,&quot;page&quot;:&quot;editor&quot;}"/>
    <wpswe:property key="isUseCommonErrorPage" value="false"/>
    <wpswe:property key="loadingImage" value="res:/icons/DsWebShapeDefaultPage.svg"/>
  </wpswe:properties>
  <wpswe:watchingCache>
    <wpswe:linkPath>C:/Users/lenovo/AppData/Local/Temp/wps.nHmMiq/Workbook3.xlsx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26556290&quot;,&quot;chart_type&quot;:&quot;饼图&quot;,&quot;classifty_type&quot;:[&quot;占比类&quot;],&quot;dataSrc&quot;:{&quot;data&quot;:[[[&quot;项目&quot;,&quot;占比（%）&quot;],[&quot;一般公共预算财政拨款收入&quot;,&quot;97.07&quot;],[&quot;&quot;,&quot;&quot;],[&quot;&quot;,&quot;&quot;],[&quot;&quot;,&quot;&quot;],[&quot;&quot;,&quot;&quot;],[&quot;&quot;,&quot;&quot;],[&quot;&quot;,&quot;&quot;],[&quot;其他收入&quot;,&quot;2.93&quot;]]],&quot;dataType&quot;:&quot;object-table&quot;,&quot;download&quot;:false,&quot;srcType&quot;:&quot;local&quot;,&quot;url&quot;:&quot;&quot;},&quot;function_type&quot;:[&quot;饼图&quot;],&quot;gif&quot;:&quot;//web.docer.wpscdn.cn/docer/ds-page/images/5544734748594536493.gif?imageView2/2/w/500/quality/90&quot;,&quot;isFree&quot;:&quot;1&quot;,&quot;label&quot;:&quot;&lt;d-corner-pie-chart&gt;&quot;,&quot;projectId&quot;:&quot;5544734748594536493&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quot;,&quot;colors&quot;:{&quot;colorControlers&quot;:[&quot;multiple&quot;,&quot;linear&quot;],&quot;list&quot;:[0,1,2,3,4,5,6,7],&quot;type&quot;:&quot;multiple&quot;},&quot;display&quot;:{&quot;borderColor&quot;:&quot;#FFFFFF&quot;,&quot;borderWidth&quot;:&quot;1&quot;,&quot;cornerRadius&quot;:&quot;10&quot;,&quot;fillOpacity&quot;:&quot;1&quot;,&quot;gapPercentage&quot;:&quot;0&quot;,&quot;innerRadiusRatio&quot;:&quot;0&quot;},&quot;label&quot;:{&quot;contentChoice&quot;:[&quot;名称&quot;],&quot;contentOption&quot;:[&quot;名称&quot;,&quot;百分比&quot;,&quot;数值&quot;],&quot;display&quot;:true,&quot;positionChoice&quot;:&quot;内部周向&quot;,&quot;positionOptions&quot;:[&quot;内部周向&quot;,&quot;内部水平&quot;,&quot;外部&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quot;470&quot;,&quot;ratio&quot;:&quot;&quot;,&quot;rotate&quot;:0,&quot;width&quot;:&quot;600&quot;},&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5544734748594536493&quot;,&quot;templateSwitch&quot;:&quot;key-value&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TX1uSMvdp16D12h5XrG9jv.CE6FB975.jpg?imageView2/2/w/500/quality/90&quot;,&quot;title&quot;:&quot;基础饼图（圆角）&quot;,&quot;type&quot;:&quot;chart&quot;},&quot;dschart_id&quot;:&quot;5544734748594536493&quot;,&quot;flag&quot;:&quot;1003&quot;,&quot;page&quot;:&quot;editor&quot;}"/>
    <wpswe:property key="isUseCommonErrorPage" value="false"/>
    <wpswe:property key="loadingImage" value="res:/icons/DsWebShapeDefaultPage.svg"/>
  </wpswe:properties>
  <wpswe:watchingCache>
    <wpswe:linkPath>C:/Users/lenovo/AppData/Local/Temp/wps.YRGovU/Workbook4.xlsx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https://clientweb.docer.wps.cn/ds/1.0.0/webShapeView?id=&amp;dschart_id=5544734748594536493&amp;from=taskbar_default&amp;productEntry=toolbar&amp;sceneEntry=tosobc_pie&amp;flag=1003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财政首&quot;,&quot;2022年&quot;,&quot;2023年&quot;],[&quot;财政拨款收入&quot;,&quot;1793.48&quot;,&quot;1684.83&quot;],[&quot;财政笔款支出&quot;,&quot;1793.48&quot;,&quot;1684.83&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5&quot;,&quot;barborderColor&quot;:&quot;&quot;,&quot;bar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165,&quot;ratio&quot;:&quot;&quot;,&quot;rotate&quot;:0,&quot;width&quot;:534},&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S9mQy7TtDPRefubPR9f5hY.CBEB17BE.jpg?imageView2/2/w/500/quality/90&quot;,&quot;title&quot;:&quot;基础柱状图&quot;,&quot;type&quot;:&quot;chart&quot;},&quot;dschart_id&quot;:&quot;444734748594536323&quot;,&quot;flag&quot;:&quot;1001&quot;,&quot;page&quot;:&quot;editor&quot;}"/>
    <wpswe:property key="isUseCommonErrorPage" value="false"/>
    <wpswe:property key="loadingImage" value="res:/icons/DsWebShapeDefaultPage.svg"/>
  </wpswe:properties>
  <wpswe:watchingCache>
    <wpswe:linkPath>C:/Users/lenovo/AppData/Local/Temp/wps.Nnoujt/Workbook5.xlsx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https://clientweb.docer.wps.cn/ds/1.0.0/webShapeView?id=&amp;dschart_id=444734748594536323&amp;from=taskbar_default&amp;productEntry=toolbar&amp;sceneEntry=rec</wpswe:url>
  <wpswe:constantSnapshot>false</wpswe:constantSnapshot>
</wpswe:webExtension>
</file>

<file path=word/webExtensions/webExtension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699681860417958&quot;,&quot;chart_type&quot;:&quot;饼图&quot;,&quot;classifty_type&quot;:[&quot;占比类&quot;],&quot;dataSrc&quot;:{&quot;data&quot;:[[[&quot;项目&quot;,&quot;占比（%）&quot;],[&quot;教育支出&quot;,&quot;98.37&quot;],[&quot;社会保障和就业支出&quot;,&quot;0.89&quot;],[&quot;住房保障支出&quot;,&quot;0.45&quot;],[&quot;卫生健康支出&quot;,&quot;0.3&quot;]]],&quot;dataType&quot;:&quot;obejct-table&quot;,&quot;download&quot;:false,&quot;srcType&quot;:&quot;local&quot;,&quot;url&quot;:&quot;&quot;},&quot;function_type&quot;:[&quot;饼图&quot;],&quot;gif&quot;:&quot;https://image.dycharts.com/444746070325460997.gif?imageView2/2/w/500/quality/90&quot;,&quot;isFree&quot;:&quot;0&quot;,&quot;label&quot;:&quot;&lt;e-piebasic-chart&gt;&quot;,&quot;position&quot;:{&quot;left&quot;:0,&quot;top&quot;:0},&quot;price&quot;:0,&quot;projectId&quot;:&quot;164758893425733001&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quot;,&quot;colors&quot;:{&quot;colorControlers&quot;:[&quot;multiple&quot;,&quot;linear&quot;],&quot;list&quot;:[&quot;#4FC7BAff&quot;,&quot;#A1B3F8ff&quot;,&quot;#9AE5F7ff&quot;,0],&quot;type&quot;:&quot;multiple&quot;},&quot;display&quot;:{&quot;borderColor&quot;:&quot;#222222ff&quot;,&quot;borderWidth&quot;:1.5,&quot;cornerRadius&quot;:0,&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OPPOSans-M&quot;,&quot;fontSize&quot;:&quot;15&quot;}},&quot;legend&quot;:{&quot;color&quot;:[&quot;#545454&quot;],&quot;fontFamily&quot;:&quot;OPPOSans-M&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84.2857142857143,&quot;ratio&quot;:&quot;&quot;,&quot;rotate&quot;:0,&quot;width&quot;:644.2857142857143},&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OPPOSans-M&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false,&quot;text&quot;:&quot; &quot;,&quot;xPosition&quot;:&quot;left&quot;,&quot;yPosition&quot;:&quot;top&quot;},&quot;watermarkDisplay&quot;:{&quot;imgHeight&quot;:&quot;80&quot;,&quot;imgUrl&quot;:&quot;https://ss1.dycharts.com/newchartWatermark.png&quot;,&quot;imgWidth&quot;:&quot;80&quot;,&quot;show&quot;:false}},&quot;templateId&quot;:&quot;444746070325460997-3&quot;,&quot;templateSwitch&quot;:&quot;key-value&quot;,&quot;theme&quot;:{&quot;_id&quot;:18,&quot;axis&quot;:{&quot;color&quot;:&quot;#a1a1a1 &quot;},&quot;backgroundColor&quot;:&quot;#FFFFFF&quot;,&quot;colors&quot;:[&quot;#4FC7BAff&quot;,&quot;#A1B3F8ff&quot;,&quot;#9AE5F7ff&quot;,&quot;#fee10cff&quot;,&quot;#4FC7BAff&quot;,&quot;#A1B3F8ff&quot;,&quot;#9AE5F7ff&quot;,&quot;#fee10cff&quot;,&quot;#4FC7BAff&quot;,&quot;#A1B3F8ff&quot;,&quot;#9AE5F7ff&quot;,&quot;#fee10cff&quot;,&quot;#4FC7BAff&quot;,&quot;#A1B3F8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444746070325460997-3.png&quot;,&quot;title&quot;:&quot;基础饼图&quot;,&quot;type&quot;:&quot;chart&quot;},&quot;dschart_id&quot;:&quot;444746070325460997-3&quot;,&quot;flag&quot;:&quot;1003&quot;,&quot;page&quot;:&quot;editor&quot;}"/>
    <wpswe:property key="isUseCommonErrorPage" value="false"/>
    <wpswe:property key="loadingImage" value="res:/icons/DsWebShapeDefaultPage.svg"/>
  </wpswe:properties>
  <wpswe:watchingCache>
    <wpswe:linkPath>C:/Users/lenovo/AppData/Local/Temp/wps.SMcgjA/Workbook6.xlsx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https://clientweb.docer.wps.cn/ds/1.0.0/webShapeView?id=&amp;dschart_id=444746070325460997-3&amp;from=taskbar_default&amp;productEntry=toolbar&amp;sceneEntry=tosobc_pie&amp;flag=1003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4333</Words>
  <Characters>4696</Characters>
  <Lines>61</Lines>
  <Paragraphs>17</Paragraphs>
  <TotalTime>4</TotalTime>
  <ScaleCrop>false</ScaleCrop>
  <LinksUpToDate>false</LinksUpToDate>
  <CharactersWithSpaces>4715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微笑</cp:lastModifiedBy>
  <cp:lastPrinted>2023-10-09T01:24:00Z</cp:lastPrinted>
  <dcterms:modified xsi:type="dcterms:W3CDTF">2024-10-10T13:14:07Z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E1BDAAE93EDB40179A106D00249C91B5_13</vt:lpwstr>
  </property>
</Properties>
</file>