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7193"/>
      <w:bookmarkStart w:id="3" w:name="_Toc15396475"/>
      <w:bookmarkStart w:id="4" w:name="_Toc15396597"/>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96476"/>
      <w:bookmarkStart w:id="8" w:name="_Toc15378442"/>
      <w:bookmarkStart w:id="9" w:name="_Toc15396598"/>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w:t>
      </w:r>
      <w:r>
        <w:rPr>
          <w:rFonts w:hint="eastAsia" w:ascii="方正小标宋简体" w:hAnsi="宋体" w:eastAsia="方正小标宋简体"/>
          <w:sz w:val="72"/>
          <w:szCs w:val="72"/>
        </w:rPr>
        <w:t>利州区</w:t>
      </w:r>
      <w:r>
        <w:rPr>
          <w:rFonts w:hint="eastAsia" w:ascii="方正小标宋简体" w:hAnsi="宋体" w:eastAsia="方正小标宋简体"/>
          <w:sz w:val="72"/>
          <w:szCs w:val="72"/>
          <w:lang w:val="en-US" w:eastAsia="zh-CN"/>
        </w:rPr>
        <w:t>广明</w:t>
      </w:r>
      <w:r>
        <w:rPr>
          <w:rFonts w:hint="eastAsia" w:ascii="方正小标宋简体" w:hAnsi="宋体" w:eastAsia="方正小标宋简体"/>
          <w:sz w:val="72"/>
          <w:szCs w:val="72"/>
        </w:rPr>
        <w:t>小学</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lang w:val="en-US" w:eastAsia="zh-CN"/>
        </w:rPr>
        <w:t>10</w:t>
      </w:r>
      <w:r>
        <w:rPr>
          <w:rFonts w:hint="eastAsia"/>
        </w:rPr>
        <w:t>月</w:t>
      </w:r>
      <w:r>
        <w:rPr>
          <w:rFonts w:hint="eastAsia"/>
          <w:lang w:val="en-US" w:eastAsia="zh-CN"/>
        </w:rPr>
        <w:t>15</w:t>
      </w:r>
      <w:r>
        <w:rPr>
          <w:rFonts w:hint="eastAsia"/>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认真贯彻执行党和国家关于教育改革和发展的各项方针、政策，拟订我校教育事业发展规划和有关教育的规范性文件并组织实施。结合小学生的特点制定好各类教育工作计划，并认真实施，有计划有步骤地开展班级教学工作。树立正确的教育观，热爱学生、尊重学生，对学生做到关心、细心、耐心，不偏爱，坚持正面教育，严禁体罚和变相体罚。认真及时制订教育教学活动计划引导学生主动学习，因材施教，科学、合理地安排学生的学习生活。认真执行学校各项教育常规及安全、卫生保健制度。定期进行总结，不断提高工作质量。</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pStyle w:val="11"/>
        <w:adjustRightInd w:val="0"/>
        <w:snapToGrid w:val="0"/>
        <w:spacing w:line="56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sz w:val="28"/>
          <w:szCs w:val="28"/>
        </w:rPr>
        <w:t>本单位为广元市利州区教育局所属二级预算单位，单位性质为财政补助事业单位，内设部门7个（办公室、工会、教务处、总务处、技装室、安办、教科室）。正式在职教职工年初</w:t>
      </w:r>
      <w:r>
        <w:rPr>
          <w:rFonts w:hint="eastAsia" w:ascii="仿宋" w:hAnsi="仿宋" w:eastAsia="仿宋" w:cs="仿宋"/>
          <w:sz w:val="28"/>
          <w:szCs w:val="28"/>
          <w:lang w:val="en-US" w:eastAsia="zh-CN"/>
        </w:rPr>
        <w:t>8</w:t>
      </w:r>
      <w:r>
        <w:rPr>
          <w:rFonts w:hint="eastAsia" w:ascii="仿宋" w:hAnsi="仿宋" w:eastAsia="仿宋" w:cs="仿宋"/>
          <w:sz w:val="28"/>
          <w:szCs w:val="28"/>
        </w:rPr>
        <w:t>人，年末</w:t>
      </w:r>
      <w:r>
        <w:rPr>
          <w:rFonts w:hint="eastAsia" w:ascii="仿宋" w:hAnsi="仿宋" w:eastAsia="仿宋" w:cs="仿宋"/>
          <w:sz w:val="28"/>
          <w:szCs w:val="28"/>
          <w:lang w:val="en-US" w:eastAsia="zh-CN"/>
        </w:rPr>
        <w:t>7</w:t>
      </w:r>
      <w:r>
        <w:rPr>
          <w:rFonts w:hint="eastAsia" w:ascii="仿宋" w:hAnsi="仿宋" w:eastAsia="仿宋" w:cs="仿宋"/>
          <w:sz w:val="28"/>
          <w:szCs w:val="28"/>
        </w:rPr>
        <w:t>人。（其中教师岗</w:t>
      </w:r>
      <w:r>
        <w:rPr>
          <w:rFonts w:hint="eastAsia" w:ascii="仿宋" w:hAnsi="仿宋" w:eastAsia="仿宋" w:cs="仿宋"/>
          <w:sz w:val="28"/>
          <w:szCs w:val="28"/>
          <w:lang w:val="en-US" w:eastAsia="zh-CN"/>
        </w:rPr>
        <w:t>6</w:t>
      </w:r>
      <w:r>
        <w:rPr>
          <w:rFonts w:hint="eastAsia" w:ascii="仿宋" w:hAnsi="仿宋" w:eastAsia="仿宋" w:cs="仿宋"/>
          <w:sz w:val="28"/>
          <w:szCs w:val="28"/>
        </w:rPr>
        <w:t>人，管理岗1人）。退休教师44人。教学班6个（每班各1个），在校学生5</w:t>
      </w:r>
      <w:r>
        <w:rPr>
          <w:rFonts w:hint="eastAsia" w:ascii="仿宋" w:hAnsi="仿宋" w:eastAsia="仿宋" w:cs="仿宋"/>
          <w:sz w:val="28"/>
          <w:szCs w:val="28"/>
          <w:lang w:val="en-US" w:eastAsia="zh-CN"/>
        </w:rPr>
        <w:t>6</w:t>
      </w:r>
      <w:r>
        <w:rPr>
          <w:rFonts w:hint="eastAsia" w:ascii="仿宋" w:hAnsi="仿宋" w:eastAsia="仿宋" w:cs="仿宋"/>
          <w:sz w:val="28"/>
          <w:szCs w:val="28"/>
        </w:rPr>
        <w:t>人。</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252.22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61.85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19.69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减少了</w:t>
      </w:r>
      <w:r>
        <w:rPr>
          <w:rFonts w:hint="eastAsia" w:ascii="仿宋" w:hAnsi="仿宋" w:eastAsia="仿宋"/>
          <w:sz w:val="32"/>
          <w:szCs w:val="32"/>
        </w:rPr>
        <w:t>工程项目实施</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252.22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24.13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人员增资调整</w:t>
      </w:r>
      <w:r>
        <w:rPr>
          <w:rFonts w:hint="eastAsia" w:ascii="仿宋" w:hAnsi="仿宋" w:eastAsia="仿宋"/>
          <w:color w:val="auto"/>
          <w:sz w:val="32"/>
          <w:szCs w:val="32"/>
          <w:highlight w:val="none"/>
          <w:lang w:eastAsia="zh-CN"/>
        </w:rPr>
        <w:t>。</w:t>
      </w:r>
    </w:p>
    <w:p>
      <w:pPr>
        <w:spacing w:line="600" w:lineRule="exact"/>
        <w:ind w:firstLine="1600" w:firstLineChars="5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59264" behindDoc="1" locked="0" layoutInCell="1" allowOverlap="1">
            <wp:simplePos x="0" y="0"/>
            <wp:positionH relativeFrom="column">
              <wp:posOffset>-3175</wp:posOffset>
            </wp:positionH>
            <wp:positionV relativeFrom="paragraph">
              <wp:posOffset>200025</wp:posOffset>
            </wp:positionV>
            <wp:extent cx="5219700" cy="3233420"/>
            <wp:effectExtent l="4445" t="4445" r="18415" b="8255"/>
            <wp:wrapTight wrapText="bothSides">
              <wp:wrapPolygon>
                <wp:start x="-18" y="-30"/>
                <wp:lineTo x="-18" y="21553"/>
                <wp:lineTo x="21550" y="21553"/>
                <wp:lineTo x="21550" y="-30"/>
                <wp:lineTo x="-18" y="-3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年本年收入合计249.24万元，其中：一般公共预算财政拨款收入249.24万元，占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2520" w:firstLineChars="900"/>
        <w:rPr>
          <w:rFonts w:ascii="仿宋" w:hAnsi="仿宋" w:eastAsia="仿宋"/>
          <w:color w:val="auto"/>
          <w:sz w:val="32"/>
          <w:szCs w:val="32"/>
          <w:highlight w:val="none"/>
        </w:rPr>
      </w:pPr>
      <w:r>
        <w:rPr>
          <w:sz w:val="28"/>
          <w:szCs w:val="28"/>
        </w:rPr>
        <w:drawing>
          <wp:anchor distT="0" distB="0" distL="114300" distR="114300" simplePos="0" relativeHeight="251660288" behindDoc="0" locked="0" layoutInCell="1" allowOverlap="1">
            <wp:simplePos x="0" y="0"/>
            <wp:positionH relativeFrom="column">
              <wp:posOffset>7620</wp:posOffset>
            </wp:positionH>
            <wp:positionV relativeFrom="paragraph">
              <wp:posOffset>153670</wp:posOffset>
            </wp:positionV>
            <wp:extent cx="5139055" cy="2239645"/>
            <wp:effectExtent l="4445" t="4445" r="7620"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年本年支出合计252.22万元，其中：基本支出252.05万元，占</w:t>
      </w:r>
      <w:r>
        <w:rPr>
          <w:rFonts w:hint="eastAsia" w:ascii="仿宋" w:hAnsi="仿宋" w:eastAsia="仿宋"/>
          <w:color w:val="auto"/>
          <w:sz w:val="32"/>
          <w:szCs w:val="32"/>
          <w:highlight w:val="none"/>
          <w:lang w:val="en-US" w:eastAsia="zh-CN"/>
        </w:rPr>
        <w:t>99.93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；项目支出0.17万元，占</w:t>
      </w:r>
      <w:r>
        <w:rPr>
          <w:rFonts w:hint="eastAsia" w:ascii="仿宋" w:hAnsi="仿宋" w:eastAsia="仿宋"/>
          <w:color w:val="auto"/>
          <w:sz w:val="32"/>
          <w:szCs w:val="32"/>
          <w:highlight w:val="none"/>
          <w:lang w:val="en-US" w:eastAsia="zh-CN"/>
        </w:rPr>
        <w:t>0.07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图3：支出决算结构图）</w:t>
      </w:r>
    </w:p>
    <w:p>
      <w:pPr>
        <w:spacing w:line="600" w:lineRule="exact"/>
        <w:ind w:firstLine="640" w:firstLineChars="200"/>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454025</wp:posOffset>
            </wp:positionH>
            <wp:positionV relativeFrom="paragraph">
              <wp:posOffset>57150</wp:posOffset>
            </wp:positionV>
            <wp:extent cx="4351655" cy="1904365"/>
            <wp:effectExtent l="4445" t="5080" r="17780" b="107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sz w:val="32"/>
          <w:szCs w:val="32"/>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总计252.22万元。与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auto"/>
          <w:sz w:val="32"/>
          <w:szCs w:val="32"/>
          <w:highlight w:val="none"/>
          <w:lang w:val="en-US" w:eastAsia="zh-CN"/>
        </w:rPr>
        <w:t>入</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61.85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19.69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项目</w:t>
      </w:r>
      <w:r>
        <w:rPr>
          <w:rFonts w:hint="eastAsia" w:ascii="仿宋" w:hAnsi="仿宋" w:eastAsia="仿宋"/>
          <w:sz w:val="32"/>
          <w:szCs w:val="32"/>
          <w:lang w:val="en-US" w:eastAsia="zh-CN"/>
        </w:rPr>
        <w:t>资金安排减少。</w:t>
      </w:r>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总计252.22万元。与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年相比，财政拨款支</w:t>
      </w:r>
      <w:r>
        <w:rPr>
          <w:rFonts w:hint="eastAsia" w:ascii="仿宋" w:hAnsi="仿宋" w:eastAsia="仿宋"/>
          <w:color w:val="auto"/>
          <w:sz w:val="32"/>
          <w:szCs w:val="32"/>
          <w:highlight w:val="none"/>
          <w:lang w:val="en-US" w:eastAsia="zh-CN"/>
        </w:rPr>
        <w:t>出</w:t>
      </w:r>
      <w:r>
        <w:rPr>
          <w:rFonts w:hint="eastAsia" w:ascii="仿宋" w:hAnsi="仿宋" w:eastAsia="仿宋"/>
          <w:color w:val="auto"/>
          <w:sz w:val="32"/>
          <w:szCs w:val="32"/>
          <w:highlight w:val="none"/>
        </w:rPr>
        <w:t>总计增加</w:t>
      </w:r>
      <w:r>
        <w:rPr>
          <w:rFonts w:hint="eastAsia" w:ascii="仿宋" w:hAnsi="仿宋" w:eastAsia="仿宋"/>
          <w:color w:val="auto"/>
          <w:sz w:val="32"/>
          <w:szCs w:val="32"/>
          <w:highlight w:val="none"/>
          <w:lang w:val="en-US" w:eastAsia="zh-CN"/>
        </w:rPr>
        <w:t>24.13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人员增资调整</w:t>
      </w:r>
      <w:r>
        <w:rPr>
          <w:rFonts w:hint="eastAsia" w:ascii="仿宋" w:hAnsi="仿宋" w:eastAsia="仿宋"/>
          <w:color w:val="auto"/>
          <w:sz w:val="32"/>
          <w:szCs w:val="32"/>
          <w:highlight w:val="none"/>
          <w:lang w:eastAsia="zh-CN"/>
        </w:rPr>
        <w:t>。</w:t>
      </w:r>
    </w:p>
    <w:p>
      <w:pPr>
        <w:spacing w:line="600" w:lineRule="exact"/>
        <w:ind w:firstLine="1280" w:firstLineChars="400"/>
        <w:rPr>
          <w:rFonts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2336" behindDoc="1" locked="0" layoutInCell="1" allowOverlap="1">
            <wp:simplePos x="0" y="0"/>
            <wp:positionH relativeFrom="column">
              <wp:posOffset>257175</wp:posOffset>
            </wp:positionH>
            <wp:positionV relativeFrom="paragraph">
              <wp:posOffset>82550</wp:posOffset>
            </wp:positionV>
            <wp:extent cx="4991735" cy="2852420"/>
            <wp:effectExtent l="4445" t="4445" r="48260" b="53975"/>
            <wp:wrapTight wrapText="bothSides">
              <wp:wrapPolygon>
                <wp:start x="-19" y="-34"/>
                <wp:lineTo x="-19" y="21547"/>
                <wp:lineTo x="21545" y="21547"/>
                <wp:lineTo x="21545" y="-34"/>
                <wp:lineTo x="-19" y="-34"/>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（图4：财政拨款收、支决算总计变动情况）</w:t>
      </w:r>
    </w:p>
    <w:p>
      <w:pPr>
        <w:spacing w:line="600" w:lineRule="exact"/>
        <w:ind w:firstLine="640"/>
        <w:outlineLvl w:val="2"/>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rPr>
      </w:pPr>
      <w:r>
        <w:rPr>
          <w:rStyle w:val="30"/>
          <w:rFonts w:hint="eastAsia" w:ascii="黑体" w:hAnsi="黑体" w:eastAsia="黑体"/>
          <w:b w:val="0"/>
        </w:rPr>
        <w:drawing>
          <wp:anchor distT="0" distB="0" distL="114300" distR="114300" simplePos="0" relativeHeight="251663360" behindDoc="1" locked="0" layoutInCell="1" allowOverlap="1">
            <wp:simplePos x="0" y="0"/>
            <wp:positionH relativeFrom="column">
              <wp:posOffset>161290</wp:posOffset>
            </wp:positionH>
            <wp:positionV relativeFrom="paragraph">
              <wp:posOffset>1615440</wp:posOffset>
            </wp:positionV>
            <wp:extent cx="5067935" cy="2929255"/>
            <wp:effectExtent l="4445" t="4445" r="48260" b="53340"/>
            <wp:wrapTight wrapText="bothSides">
              <wp:wrapPolygon>
                <wp:start x="-19" y="-33"/>
                <wp:lineTo x="-19" y="21544"/>
                <wp:lineTo x="21546" y="21544"/>
                <wp:lineTo x="21546" y="-33"/>
                <wp:lineTo x="-19" y="-33"/>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年一般公共预算财政拨款支出252.22万元，占本年支出合计的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24.13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sz w:val="32"/>
          <w:szCs w:val="32"/>
        </w:rPr>
        <w:t>人员增资调整</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年一般公共预算财政拨款支出252.22万元，主要用于以下方面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225.63万元，占</w:t>
      </w:r>
      <w:r>
        <w:rPr>
          <w:rFonts w:hint="eastAsia" w:ascii="仿宋" w:hAnsi="仿宋" w:eastAsia="仿宋"/>
          <w:color w:val="auto"/>
          <w:sz w:val="32"/>
          <w:szCs w:val="32"/>
          <w:highlight w:val="none"/>
          <w:lang w:val="en-US" w:eastAsia="zh-CN"/>
        </w:rPr>
        <w:t>89.46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10.86万元，占</w:t>
      </w:r>
      <w:r>
        <w:rPr>
          <w:rFonts w:hint="eastAsia" w:ascii="仿宋" w:hAnsi="仿宋" w:eastAsia="仿宋"/>
          <w:color w:val="auto"/>
          <w:sz w:val="32"/>
          <w:szCs w:val="32"/>
          <w:highlight w:val="none"/>
          <w:lang w:val="en-US" w:eastAsia="zh-CN"/>
        </w:rPr>
        <w:t>4.31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15.72万元，占</w:t>
      </w:r>
      <w:r>
        <w:rPr>
          <w:rFonts w:hint="eastAsia" w:ascii="仿宋" w:hAnsi="仿宋" w:eastAsia="仿宋"/>
          <w:color w:val="auto"/>
          <w:sz w:val="32"/>
          <w:szCs w:val="32"/>
          <w:highlight w:val="none"/>
          <w:lang w:val="en-US" w:eastAsia="zh-CN"/>
        </w:rPr>
        <w:t>6.23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70485</wp:posOffset>
            </wp:positionH>
            <wp:positionV relativeFrom="paragraph">
              <wp:posOffset>89535</wp:posOffset>
            </wp:positionV>
            <wp:extent cx="5298440" cy="2101215"/>
            <wp:effectExtent l="4445" t="4445" r="15875" b="1270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252.22</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yellow"/>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教育（类）普通教育（款）小学教育（项）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rPr>
        <w:t>225.63</w:t>
      </w:r>
      <w:r>
        <w:rPr>
          <w:rStyle w:val="14"/>
          <w:rFonts w:hint="eastAsia" w:ascii="仿宋" w:hAnsi="仿宋" w:eastAsia="仿宋"/>
          <w:b w:val="0"/>
          <w:bCs/>
          <w:color w:val="auto"/>
          <w:sz w:val="32"/>
          <w:szCs w:val="32"/>
          <w:highlight w:val="none"/>
        </w:rPr>
        <w:t>万元，完成预算</w:t>
      </w:r>
      <w:r>
        <w:rPr>
          <w:rFonts w:hint="eastAsia" w:ascii="仿宋" w:hAnsi="仿宋" w:eastAsia="仿宋"/>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支出决算为10.37万元，完成预算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sz w:val="32"/>
          <w:szCs w:val="32"/>
        </w:rPr>
        <w:t>社会保障和就业（类）其他社会保障和就业支出（款）  其他社会保障和就业支出（项）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0.49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支出决算为15.72万元，完成预算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年一般公共预算财政拨款基本支出252.05万元，其中：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227.83</w:t>
      </w:r>
      <w:r>
        <w:rPr>
          <w:rFonts w:hint="eastAsia" w:ascii="仿宋" w:hAnsi="仿宋" w:eastAsia="仿宋"/>
          <w:color w:val="auto"/>
          <w:sz w:val="32"/>
          <w:szCs w:val="32"/>
          <w:highlight w:val="none"/>
        </w:rPr>
        <w:t>万元，主要包括：基本工资、津贴补贴、奖金、绩效工资、机关事业单位基本养老保险缴费、其他社会保障缴费、其他工资福利支出、生活补助、奖励金、住房公积金。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24.22</w:t>
      </w:r>
      <w:r>
        <w:rPr>
          <w:rFonts w:hint="eastAsia" w:ascii="仿宋" w:hAnsi="仿宋" w:eastAsia="仿宋"/>
          <w:color w:val="auto"/>
          <w:sz w:val="32"/>
          <w:szCs w:val="32"/>
          <w:highlight w:val="none"/>
        </w:rPr>
        <w:t>万元，主要包括：办公费、印刷费、水费、电费、邮电费、物业管理费、维修（护）费、劳务费、工会经费、福利费。</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决算数与预算数持平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w:t>
      </w:r>
      <w:r>
        <w:rPr>
          <w:rFonts w:hint="eastAsia" w:ascii="仿宋_GB2312" w:eastAsia="仿宋_GB2312"/>
          <w:sz w:val="32"/>
          <w:szCs w:val="32"/>
        </w:rPr>
        <w:t>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20年增加0.00万元，增长</w:t>
      </w:r>
      <w:r>
        <w:rPr>
          <w:rFonts w:ascii="仿宋_GB2312" w:eastAsia="仿宋_GB2312"/>
          <w:sz w:val="32"/>
          <w:szCs w:val="32"/>
        </w:rPr>
        <w:t>/</w:t>
      </w:r>
      <w:r>
        <w:rPr>
          <w:rFonts w:hint="eastAsia" w:ascii="仿宋_GB2312" w:eastAsia="仿宋_GB2312"/>
          <w:sz w:val="32"/>
          <w:szCs w:val="32"/>
        </w:rPr>
        <w:t>下降0.00</w:t>
      </w:r>
      <w:r>
        <w:rPr>
          <w:rFonts w:ascii="仿宋_GB2312" w:eastAsia="仿宋_GB2312"/>
          <w:sz w:val="32"/>
          <w:szCs w:val="32"/>
        </w:rPr>
        <w:t>%</w:t>
      </w:r>
      <w:r>
        <w:rPr>
          <w:rFonts w:hint="eastAsia" w:ascii="仿宋_GB2312" w:eastAsia="仿宋_GB2312"/>
          <w:sz w:val="32"/>
          <w:szCs w:val="32"/>
        </w:rPr>
        <w:t>。主要原因是当年未安排因公出国（境）支出预算，无因公出国（境）支出。</w:t>
      </w:r>
    </w:p>
    <w:p>
      <w:pPr>
        <w:spacing w:line="560" w:lineRule="exact"/>
        <w:ind w:firstLine="640"/>
        <w:outlineLvl w:val="2"/>
        <w:rPr>
          <w:rFonts w:ascii="仿宋_GB2312" w:eastAsia="仿宋_GB2312"/>
          <w:b/>
          <w:bCs/>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20年增加0.00万元，增长0.00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0"/>
        <w:outlineLvl w:val="1"/>
        <w:rPr>
          <w:rStyle w:val="25"/>
          <w:rFonts w:ascii="黑体" w:hAnsi="黑体" w:eastAsia="黑体"/>
          <w:color w:val="auto"/>
          <w:highlight w:val="none"/>
        </w:rPr>
      </w:pPr>
      <w:bookmarkStart w:id="40" w:name="_Toc15377218"/>
      <w:bookmarkStart w:id="41" w:name="_Toc1539661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广元市利州区广明小学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广明小学</w:t>
      </w:r>
      <w:r>
        <w:rPr>
          <w:rFonts w:hint="eastAsia" w:ascii="仿宋_GB2312" w:eastAsia="仿宋_GB2312"/>
          <w:color w:val="auto"/>
          <w:sz w:val="32"/>
          <w:szCs w:val="32"/>
          <w:highlight w:val="none"/>
        </w:rPr>
        <w:t>机关运行经费支出</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广元市利州区广明小学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广元市利州区广明小学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个项目开展了预算事前绩效评估，对义务教育发展专项项目等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个项目编制了绩效目标，预算执行过程中，选取义务教育发展专项项目等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个项目开展绩效监控，组织对义务教育发展专项项目等</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个项目开展绩效自评</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绩效自评表详见附件</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教育支出（类）普通教育（款）</w:t>
      </w:r>
      <w:r>
        <w:rPr>
          <w:rFonts w:hint="eastAsia" w:ascii="仿宋" w:hAnsi="仿宋" w:eastAsia="仿宋" w:cs="仿宋"/>
          <w:sz w:val="32"/>
          <w:szCs w:val="32"/>
          <w:lang w:val="en-US" w:eastAsia="zh-CN"/>
        </w:rPr>
        <w:t>小学</w:t>
      </w:r>
      <w:r>
        <w:rPr>
          <w:rFonts w:hint="eastAsia" w:ascii="仿宋" w:hAnsi="仿宋" w:eastAsia="仿宋" w:cs="仿宋"/>
          <w:sz w:val="32"/>
          <w:szCs w:val="32"/>
        </w:rPr>
        <w:t>教育（项）: 反映各部门举办的初中教育支出。政府各部门对社会中介组织等举办的初中教育的资助，如捐赠、补贴等，也在本科目中反映。</w:t>
      </w:r>
    </w:p>
    <w:p>
      <w:pPr>
        <w:pStyle w:val="22"/>
        <w:snapToGrid w:val="0"/>
        <w:spacing w:line="560" w:lineRule="exact"/>
        <w:ind w:firstLine="640" w:firstLineChars="200"/>
        <w:outlineLvl w:val="2"/>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社会保障和就业支出（类）行政事业单位离退休（款）机关事业单位基本养老保险缴费支出（项）: 指机关事业单位实施养老保险制度由单位缴纳的基本养老保险费支出。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住房保障支出（类）住房改革支出（款）住房公积金（项）: 指行政事业单位按人力资源和社会保障部、财政部规定的基本工资和津贴补贴以及规定比例为职工缴纳的住房公积金。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.基本支出：指为保障机构正常运转、完成日常工作任务而发生的人员支出和公用支出。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.项目支出：指在基本支出之外为完成特定行政任务和事业发展目标所发生的支出。 </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bookmarkStart w:id="67" w:name="_GoBack"/>
      <w:bookmarkEnd w:id="67"/>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仿宋_GB2312" w:hAnsi="Calibri" w:eastAsia="仿宋_GB2312" w:cs="仿宋"/>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D0F79CA"/>
    <w:rsid w:val="10C055FF"/>
    <w:rsid w:val="118107EC"/>
    <w:rsid w:val="11DD6519"/>
    <w:rsid w:val="16BB723D"/>
    <w:rsid w:val="18015F3F"/>
    <w:rsid w:val="1A3B30DF"/>
    <w:rsid w:val="1BE8440E"/>
    <w:rsid w:val="1CE6474B"/>
    <w:rsid w:val="1D155CEE"/>
    <w:rsid w:val="20F57F95"/>
    <w:rsid w:val="239423B5"/>
    <w:rsid w:val="240371BF"/>
    <w:rsid w:val="25711CC6"/>
    <w:rsid w:val="25C741E6"/>
    <w:rsid w:val="27842671"/>
    <w:rsid w:val="29FD04D3"/>
    <w:rsid w:val="2ABE7A3E"/>
    <w:rsid w:val="2CA234A8"/>
    <w:rsid w:val="2E720CC6"/>
    <w:rsid w:val="2EFA178C"/>
    <w:rsid w:val="30B46D73"/>
    <w:rsid w:val="319F7F4E"/>
    <w:rsid w:val="383D272C"/>
    <w:rsid w:val="39AE70AB"/>
    <w:rsid w:val="3C0C0783"/>
    <w:rsid w:val="3D9451B4"/>
    <w:rsid w:val="3EC6755E"/>
    <w:rsid w:val="3F9F3A96"/>
    <w:rsid w:val="46272B4C"/>
    <w:rsid w:val="48BF60AB"/>
    <w:rsid w:val="493C27E9"/>
    <w:rsid w:val="496F39ED"/>
    <w:rsid w:val="49FF41D3"/>
    <w:rsid w:val="4BE068DB"/>
    <w:rsid w:val="4BF6002B"/>
    <w:rsid w:val="4ECE2238"/>
    <w:rsid w:val="51DB4B86"/>
    <w:rsid w:val="55333C3E"/>
    <w:rsid w:val="5D886BF2"/>
    <w:rsid w:val="61ED0028"/>
    <w:rsid w:val="64CA39A1"/>
    <w:rsid w:val="69630ADE"/>
    <w:rsid w:val="6C4A05C8"/>
    <w:rsid w:val="6D3B1A89"/>
    <w:rsid w:val="71BF4EC2"/>
    <w:rsid w:val="72734D90"/>
    <w:rsid w:val="73456B6E"/>
    <w:rsid w:val="7412278C"/>
    <w:rsid w:val="79E7B28D"/>
    <w:rsid w:val="7BAE49D2"/>
    <w:rsid w:val="7BEB376F"/>
    <w:rsid w:val="7F2D5E0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标题 2 字符"/>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#,##0.00</c:formatCode>
                <c:ptCount val="2"/>
                <c:pt idx="0">
                  <c:v>314.07</c:v>
                </c:pt>
                <c:pt idx="1">
                  <c:v>252.22</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228.09</c:v>
                </c:pt>
                <c:pt idx="1">
                  <c:v>252.22</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24189742354924"/>
          <c:y val="0.182460268317853"/>
          <c:w val="0.399104261979292"/>
          <c:h val="0.684202270381837"/>
        </c:manualLayout>
      </c:layout>
      <c:pieChart>
        <c:varyColors val="1"/>
        <c:ser>
          <c:idx val="0"/>
          <c:order val="0"/>
          <c:tx>
            <c:strRef>
              <c:f>Sheet1!$B$1</c:f>
              <c:strCache>
                <c:ptCount val="1"/>
                <c:pt idx="0">
                  <c:v>收入额（万元）</c:v>
                </c:pt>
              </c:strCache>
            </c:strRef>
          </c:tx>
          <c:explosion val="0"/>
          <c:dPt>
            <c:idx val="0"/>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#,##0.00</c:formatCode>
                <c:ptCount val="1"/>
                <c:pt idx="0">
                  <c:v>249.24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7115338309656"/>
          <c:y val="0.097007223942208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252.05</c:v>
                </c:pt>
                <c:pt idx="1">
                  <c:v>0.17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0"/>
          <c:order val="0"/>
          <c:tx>
            <c:strRef>
              <c:f>Sheet1!$B$1</c:f>
              <c:strCache>
                <c:ptCount val="1"/>
                <c:pt idx="0">
                  <c:v>财政拨款总收入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314.07</c:v>
                </c:pt>
                <c:pt idx="1">
                  <c:v>252.22</c:v>
                </c:pt>
              </c:numCache>
            </c:numRef>
          </c:val>
        </c:ser>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228.09</c:v>
                </c:pt>
                <c:pt idx="1">
                  <c:v>252.22</c:v>
                </c:pt>
              </c:numCache>
            </c:numRef>
          </c:val>
        </c:ser>
        <c:dLbls>
          <c:showLegendKey val="0"/>
          <c:showVal val="0"/>
          <c:showCatName val="0"/>
          <c:showSerName val="0"/>
          <c:showPercent val="0"/>
          <c:showBubbleSize val="0"/>
        </c:dLbls>
        <c:gapWidth val="150"/>
        <c:axId val="112116096"/>
        <c:axId val="112119168"/>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824817518248"/>
          <c:y val="0.043401413982718"/>
          <c:w val="0.701338199513382"/>
          <c:h val="0.833660644147683"/>
        </c:manualLayout>
      </c:layout>
      <c:barChart>
        <c:barDir val="col"/>
        <c:grouping val="clustered"/>
        <c:varyColors val="0"/>
        <c:ser>
          <c:idx val="1"/>
          <c:order val="1"/>
          <c:tx>
            <c:strRef>
              <c:f>Sheet1!$C$1</c:f>
              <c:strCache>
                <c:ptCount val="1"/>
                <c:pt idx="0">
                  <c:v>财政拨款总支出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#,##0.00</c:formatCode>
                <c:ptCount val="2"/>
                <c:pt idx="0">
                  <c:v>228.09</c:v>
                </c:pt>
                <c:pt idx="1" c:formatCode="General">
                  <c:v>252.22</c:v>
                </c:pt>
              </c:numCache>
            </c:numRef>
          </c:val>
        </c:ser>
        <c:dLbls>
          <c:showLegendKey val="0"/>
          <c:showVal val="0"/>
          <c:showCatName val="0"/>
          <c:showSerName val="0"/>
          <c:showPercent val="0"/>
          <c:showBubbleSize val="0"/>
        </c:dLbls>
        <c:gapWidth val="150"/>
        <c:axId val="112116096"/>
        <c:axId val="112119168"/>
        <c:extLst>
          <c:ext xmlns:c15="http://schemas.microsoft.com/office/drawing/2012/chart" uri="{02D57815-91ED-43cb-92C2-25804820EDAC}">
            <c15:filteredBarSeries>
              <c15:ser>
                <c:idx val="0"/>
                <c:order val="0"/>
                <c:tx>
                  <c:strRef>
                    <c:extLst>
                      <c:ext uri="{02D57815-91ED-43cb-92C2-25804820EDAC}">
                        <c15:formulaRef>
                          <c15:sqref>Sheet1!$B$1</c15:sqref>
                        </c15:formulaRef>
                      </c:ext>
                    </c:extLst>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Sheet1!$B$2:$B$3</c15:sqref>
                        </c15:formulaRef>
                      </c:ext>
                    </c:extLst>
                    <c:numCache>
                      <c:formatCode>General</c:formatCode>
                      <c:ptCount val="2"/>
                    </c:numCache>
                  </c:numRef>
                </c:val>
              </c15:ser>
            </c15:filteredBarSeries>
          </c:ext>
        </c:extLst>
      </c:barChart>
      <c:catAx>
        <c:axId val="11211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9168"/>
        <c:crosses val="autoZero"/>
        <c:auto val="1"/>
        <c:lblAlgn val="ctr"/>
        <c:lblOffset val="100"/>
        <c:noMultiLvlLbl val="0"/>
      </c:catAx>
      <c:valAx>
        <c:axId val="1121191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1160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225.63</c:v>
                </c:pt>
                <c:pt idx="1">
                  <c:v>10.86</c:v>
                </c:pt>
                <c:pt idx="2">
                  <c:v>15.72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28</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whg</cp:lastModifiedBy>
  <cp:lastPrinted>2023-07-31T02:35:00Z</cp:lastPrinted>
  <dcterms:modified xsi:type="dcterms:W3CDTF">2023-10-14T04:22:31Z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2C12F8D79E6A485DB8790AEE72055C9E_12</vt:lpwstr>
  </property>
</Properties>
</file>