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方正小标宋简体" w:hAnsi="宋体" w:eastAsia="方正小标宋简体"/>
          <w:color w:val="auto"/>
          <w:sz w:val="72"/>
          <w:szCs w:val="72"/>
          <w:highlight w:val="none"/>
        </w:rPr>
      </w:pPr>
      <w:bookmarkStart w:id="0" w:name="_Toc15377196"/>
      <w:bookmarkStart w:id="1" w:name="_Toc15396599"/>
    </w:p>
    <w:p>
      <w:pPr>
        <w:pStyle w:val="5"/>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52"/>
          <w:szCs w:val="52"/>
          <w:highlight w:val="none"/>
        </w:rPr>
      </w:pPr>
      <w:bookmarkStart w:id="2" w:name="_Toc15396475"/>
      <w:bookmarkStart w:id="3" w:name="_Toc15378441"/>
      <w:bookmarkStart w:id="4" w:name="_Toc15377193"/>
      <w:bookmarkStart w:id="5" w:name="_Toc15396597"/>
      <w:bookmarkStart w:id="6" w:name="_Toc15377425"/>
      <w:r>
        <w:rPr>
          <w:rFonts w:hint="eastAsia" w:ascii="方正小标宋简体" w:hAnsi="方正小标宋简体" w:eastAsia="方正小标宋简体" w:cs="方正小标宋简体"/>
          <w:color w:val="auto"/>
          <w:sz w:val="52"/>
          <w:szCs w:val="52"/>
          <w:highlight w:val="none"/>
        </w:rPr>
        <w:t>20</w:t>
      </w:r>
      <w:r>
        <w:rPr>
          <w:rFonts w:hint="eastAsia" w:ascii="方正小标宋简体" w:hAnsi="方正小标宋简体" w:eastAsia="方正小标宋简体" w:cs="方正小标宋简体"/>
          <w:color w:val="auto"/>
          <w:sz w:val="52"/>
          <w:szCs w:val="52"/>
          <w:highlight w:val="none"/>
          <w:lang w:val="en-US" w:eastAsia="zh-CN"/>
        </w:rPr>
        <w:t>22</w:t>
      </w:r>
      <w:r>
        <w:rPr>
          <w:rFonts w:hint="eastAsia" w:ascii="方正小标宋简体" w:hAnsi="方正小标宋简体" w:eastAsia="方正小标宋简体" w:cs="方正小标宋简体"/>
          <w:color w:val="auto"/>
          <w:sz w:val="52"/>
          <w:szCs w:val="52"/>
          <w:highlight w:val="none"/>
        </w:rPr>
        <w:t>年度</w:t>
      </w:r>
      <w:bookmarkEnd w:id="2"/>
      <w:bookmarkEnd w:id="3"/>
      <w:bookmarkEnd w:id="4"/>
      <w:bookmarkEnd w:id="5"/>
      <w:bookmarkEnd w:id="6"/>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56"/>
          <w:szCs w:val="56"/>
          <w:highlight w:val="none"/>
          <w:lang w:val="en-US" w:eastAsia="zh-CN"/>
        </w:rPr>
      </w:pPr>
      <w:bookmarkStart w:id="7" w:name="_Toc15377194"/>
      <w:bookmarkStart w:id="8" w:name="_Toc15396476"/>
      <w:bookmarkStart w:id="9" w:name="_Toc15377426"/>
      <w:bookmarkStart w:id="10" w:name="_Toc15378442"/>
      <w:bookmarkStart w:id="11" w:name="_Toc15396598"/>
      <w:r>
        <w:rPr>
          <w:rFonts w:hint="eastAsia" w:ascii="方正小标宋简体" w:hAnsi="方正小标宋简体" w:eastAsia="方正小标宋简体" w:cs="方正小标宋简体"/>
          <w:color w:val="auto"/>
          <w:sz w:val="56"/>
          <w:szCs w:val="56"/>
          <w:highlight w:val="none"/>
        </w:rPr>
        <w:t>四川省</w:t>
      </w:r>
      <w:bookmarkStart w:id="12" w:name="_Toc15306268"/>
      <w:r>
        <w:rPr>
          <w:rFonts w:hint="eastAsia" w:ascii="方正小标宋简体" w:hAnsi="方正小标宋简体" w:eastAsia="方正小标宋简体" w:cs="方正小标宋简体"/>
          <w:color w:val="auto"/>
          <w:sz w:val="56"/>
          <w:szCs w:val="56"/>
          <w:highlight w:val="none"/>
          <w:lang w:val="en-US" w:eastAsia="zh-CN"/>
        </w:rPr>
        <w:t>广元市利州区宝轮第四小学</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7"/>
      <w:bookmarkEnd w:id="8"/>
      <w:bookmarkEnd w:id="9"/>
      <w:bookmarkEnd w:id="10"/>
      <w:bookmarkEnd w:id="11"/>
      <w:bookmarkEnd w:id="12"/>
    </w:p>
    <w:p>
      <w:pPr>
        <w:ind w:firstLine="723" w:firstLineChars="300"/>
        <w:rPr>
          <w:rFonts w:hint="eastAsia" w:ascii="仿宋" w:hAnsi="仿宋" w:eastAsia="仿宋"/>
          <w:b/>
          <w:color w:val="auto"/>
          <w:sz w:val="24"/>
          <w:highlight w:val="none"/>
          <w:lang w:val="en-US" w:eastAsia="zh-CN"/>
        </w:rPr>
      </w:pPr>
    </w:p>
    <w:p>
      <w:pPr>
        <w:ind w:firstLine="723" w:firstLineChars="300"/>
        <w:rPr>
          <w:rFonts w:hint="eastAsia" w:ascii="仿宋" w:hAnsi="仿宋" w:eastAsia="仿宋"/>
          <w:b/>
          <w:color w:val="auto"/>
          <w:sz w:val="24"/>
          <w:highlight w:val="none"/>
          <w:lang w:val="en-US" w:eastAsia="zh-CN"/>
        </w:rPr>
      </w:pPr>
    </w:p>
    <w:p>
      <w:pPr>
        <w:widowControl/>
        <w:jc w:val="center"/>
        <w:rPr>
          <w:rFonts w:hint="eastAsia" w:ascii="黑体" w:hAnsi="黑体" w:eastAsia="黑体"/>
          <w:color w:val="auto"/>
          <w:sz w:val="48"/>
          <w:szCs w:val="48"/>
          <w:highlight w:val="none"/>
        </w:rPr>
      </w:pPr>
    </w:p>
    <w:p>
      <w:pPr>
        <w:widowControl/>
        <w:jc w:val="center"/>
        <w:rPr>
          <w:rFonts w:hint="eastAsia" w:ascii="黑体" w:hAnsi="黑体" w:eastAsia="黑体"/>
          <w:color w:val="auto"/>
          <w:sz w:val="48"/>
          <w:szCs w:val="48"/>
          <w:highlight w:val="none"/>
        </w:rPr>
      </w:pPr>
    </w:p>
    <w:p>
      <w:pPr>
        <w:widowControl/>
        <w:jc w:val="center"/>
        <w:rPr>
          <w:rFonts w:hint="eastAsia" w:ascii="黑体" w:hAnsi="黑体" w:eastAsia="黑体"/>
          <w:color w:val="auto"/>
          <w:sz w:val="48"/>
          <w:szCs w:val="48"/>
          <w:highlight w:val="none"/>
        </w:rPr>
      </w:pPr>
    </w:p>
    <w:p>
      <w:pPr>
        <w:widowControl/>
        <w:jc w:val="center"/>
        <w:rPr>
          <w:rFonts w:hint="eastAsia" w:ascii="黑体" w:hAnsi="黑体" w:eastAsia="黑体"/>
          <w:color w:val="auto"/>
          <w:sz w:val="48"/>
          <w:szCs w:val="48"/>
          <w:highlight w:val="none"/>
        </w:rPr>
      </w:pPr>
    </w:p>
    <w:p>
      <w:pPr>
        <w:widowControl/>
        <w:jc w:val="center"/>
        <w:rPr>
          <w:rFonts w:hint="eastAsia" w:ascii="黑体" w:hAnsi="黑体" w:eastAsia="黑体"/>
          <w:color w:val="auto"/>
          <w:sz w:val="48"/>
          <w:szCs w:val="48"/>
          <w:highlight w:val="none"/>
        </w:rPr>
      </w:pPr>
    </w:p>
    <w:p>
      <w:pPr>
        <w:widowControl/>
        <w:jc w:val="center"/>
        <w:rPr>
          <w:rFonts w:hint="eastAsia" w:ascii="黑体" w:hAnsi="黑体" w:eastAsia="黑体"/>
          <w:color w:val="auto"/>
          <w:sz w:val="48"/>
          <w:szCs w:val="48"/>
          <w:highlight w:val="none"/>
        </w:rPr>
      </w:pPr>
    </w:p>
    <w:p>
      <w:pPr>
        <w:widowControl/>
        <w:jc w:val="center"/>
        <w:rPr>
          <w:rFonts w:hint="eastAsia" w:ascii="黑体" w:hAnsi="黑体" w:eastAsia="黑体"/>
          <w:color w:val="auto"/>
          <w:sz w:val="48"/>
          <w:szCs w:val="48"/>
          <w:highlight w:val="none"/>
        </w:rPr>
      </w:pPr>
    </w:p>
    <w:p>
      <w:pPr>
        <w:widowControl/>
        <w:jc w:val="center"/>
        <w:rPr>
          <w:rFonts w:hint="eastAsia" w:ascii="黑体" w:hAnsi="黑体" w:eastAsia="黑体"/>
          <w:color w:val="auto"/>
          <w:sz w:val="48"/>
          <w:szCs w:val="48"/>
          <w:highlight w:val="none"/>
        </w:rPr>
      </w:pPr>
    </w:p>
    <w:p>
      <w:pPr>
        <w:widowControl/>
        <w:jc w:val="center"/>
        <w:rPr>
          <w:rFonts w:hint="eastAsia" w:ascii="黑体" w:hAnsi="黑体" w:eastAsia="黑体"/>
          <w:color w:val="auto"/>
          <w:sz w:val="48"/>
          <w:szCs w:val="48"/>
          <w:highlight w:val="none"/>
        </w:rPr>
      </w:pPr>
    </w:p>
    <w:p>
      <w:pPr>
        <w:widowControl/>
        <w:jc w:val="both"/>
        <w:rPr>
          <w:rFonts w:hint="eastAsia" w:ascii="黑体" w:hAnsi="黑体" w:eastAsia="黑体"/>
          <w:color w:val="auto"/>
          <w:sz w:val="48"/>
          <w:szCs w:val="48"/>
          <w:highlight w:val="none"/>
        </w:rPr>
      </w:pPr>
    </w:p>
    <w:p>
      <w:pPr>
        <w:widowControl/>
        <w:ind w:firstLine="3360" w:firstLineChars="700"/>
        <w:jc w:val="both"/>
        <w:rPr>
          <w:rFonts w:ascii="黑体" w:hAnsi="黑体" w:eastAsia="黑体"/>
          <w:color w:val="auto"/>
          <w:sz w:val="48"/>
          <w:szCs w:val="48"/>
          <w:highlight w:val="none"/>
        </w:rPr>
      </w:pPr>
      <w:r>
        <w:rPr>
          <w:rFonts w:hint="eastAsia" w:ascii="黑体" w:hAnsi="黑体" w:eastAsia="黑体"/>
          <w:color w:val="auto"/>
          <w:sz w:val="48"/>
          <w:szCs w:val="48"/>
          <w:highlight w:val="none"/>
        </w:rPr>
        <w:t>目</w:t>
      </w:r>
      <w:r>
        <w:rPr>
          <w:rFonts w:hint="eastAsia" w:ascii="黑体" w:hAnsi="黑体" w:eastAsia="黑体"/>
          <w:color w:val="auto"/>
          <w:sz w:val="48"/>
          <w:szCs w:val="48"/>
          <w:highlight w:val="none"/>
          <w:lang w:val="en-US" w:eastAsia="zh-CN"/>
        </w:rPr>
        <w:t xml:space="preserve">  </w:t>
      </w:r>
      <w:r>
        <w:rPr>
          <w:rFonts w:hint="eastAsia" w:ascii="黑体" w:hAnsi="黑体" w:eastAsia="黑体"/>
          <w:color w:val="auto"/>
          <w:sz w:val="48"/>
          <w:szCs w:val="48"/>
          <w:highlight w:val="none"/>
        </w:rPr>
        <w:t>录</w:t>
      </w:r>
    </w:p>
    <w:p>
      <w:pPr>
        <w:pStyle w:val="10"/>
        <w:tabs>
          <w:tab w:val="left" w:pos="2533"/>
          <w:tab w:val="center" w:pos="4482"/>
        </w:tabs>
        <w:ind w:firstLine="1680" w:firstLineChars="600"/>
        <w:jc w:val="left"/>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15</w:t>
      </w:r>
      <w:r>
        <w:rPr>
          <w:rFonts w:hint="eastAsia"/>
          <w:color w:val="auto"/>
          <w:highlight w:val="none"/>
        </w:rPr>
        <w:t>日</w:t>
      </w:r>
    </w:p>
    <w:p>
      <w:pPr>
        <w:rPr>
          <w:color w:val="auto"/>
          <w:highlight w:val="none"/>
        </w:rPr>
      </w:pP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p>
    <w:p>
      <w:pPr>
        <w:pStyle w:val="11"/>
        <w:adjustRightInd w:val="0"/>
        <w:snapToGrid w:val="0"/>
        <w:spacing w:line="440" w:lineRule="exact"/>
        <w:jc w:val="left"/>
        <w:rPr>
          <w:rFonts w:hint="eastAsia" w:eastAsia="宋体"/>
          <w:color w:val="auto"/>
          <w:sz w:val="24"/>
          <w:highlight w:val="none"/>
          <w:lang w:eastAsia="zh-CN"/>
        </w:rPr>
      </w:pPr>
      <w:r>
        <w:rPr>
          <w:rFonts w:hint="eastAsia"/>
          <w:color w:val="auto"/>
          <w:sz w:val="24"/>
          <w:highlight w:val="none"/>
        </w:rPr>
        <w:t>一、</w:t>
      </w:r>
      <w:r>
        <w:rPr>
          <w:rFonts w:hint="eastAsia"/>
          <w:color w:val="auto"/>
          <w:sz w:val="24"/>
          <w:highlight w:val="none"/>
          <w:lang w:eastAsia="zh-CN"/>
        </w:rPr>
        <w:t>主要职责</w:t>
      </w:r>
    </w:p>
    <w:p>
      <w:pPr>
        <w:pStyle w:val="11"/>
        <w:adjustRightInd w:val="0"/>
        <w:snapToGrid w:val="0"/>
        <w:spacing w:line="440" w:lineRule="exact"/>
        <w:jc w:val="left"/>
        <w:rPr>
          <w:rFonts w:hint="eastAsia" w:eastAsia="宋体"/>
          <w:color w:val="auto"/>
          <w:lang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p>
    <w:p>
      <w:pPr>
        <w:pStyle w:val="10"/>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lang w:eastAsia="zh-CN"/>
        </w:rPr>
        <w:t>单位</w:t>
      </w:r>
      <w:r>
        <w:rPr>
          <w:rFonts w:hint="eastAsia"/>
          <w:color w:val="auto"/>
          <w:sz w:val="24"/>
          <w:highlight w:val="none"/>
        </w:rPr>
        <w:t>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一、收入支出决算总体情况说明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二、收入决算情况说明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三、支出决算情况说明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四、财政拨款收入支出决算总体情况说明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五、一般公共预算财政拨款支出决算情况说明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六、一般公共预算财政拨款基本支出决算情况说明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八、政府性基金预算支出决算情况说明</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九、国有资本经营预算支出决算情况说明</w:t>
      </w:r>
    </w:p>
    <w:p>
      <w:pPr>
        <w:pStyle w:val="11"/>
        <w:adjustRightInd w:val="0"/>
        <w:snapToGrid w:val="0"/>
        <w:spacing w:line="440" w:lineRule="exact"/>
        <w:jc w:val="left"/>
        <w:rPr>
          <w:rFonts w:hint="eastAsia"/>
          <w:color w:val="auto"/>
          <w:sz w:val="24"/>
          <w:highlight w:val="none"/>
          <w:lang w:eastAsia="zh-CN"/>
        </w:rPr>
      </w:pPr>
      <w:r>
        <w:rPr>
          <w:rFonts w:hint="eastAsia"/>
          <w:color w:val="auto"/>
          <w:sz w:val="24"/>
          <w:highlight w:val="none"/>
        </w:rPr>
        <w:t>十、其他重要事项的情况说明</w:t>
      </w: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pPr>
        <w:pStyle w:val="10"/>
        <w:adjustRightInd w:val="0"/>
        <w:snapToGrid w:val="0"/>
        <w:spacing w:before="0" w:line="440" w:lineRule="exact"/>
        <w:jc w:val="left"/>
        <w:rPr>
          <w:rFonts w:hint="eastAsia"/>
          <w:color w:val="auto"/>
          <w:sz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pPr>
        <w:pStyle w:val="11"/>
        <w:adjustRightInd w:val="0"/>
        <w:snapToGrid w:val="0"/>
        <w:spacing w:line="440" w:lineRule="exact"/>
        <w:jc w:val="left"/>
      </w:pPr>
      <w:r>
        <w:rPr>
          <w:rFonts w:hint="eastAsia"/>
          <w:color w:val="auto"/>
          <w:sz w:val="24"/>
          <w:highlight w:val="none"/>
          <w:lang w:val="en-US" w:eastAsia="zh-CN"/>
        </w:rPr>
        <w:t>部门预算项目支出绩效自评表（2022年度）</w:t>
      </w:r>
      <w:bookmarkStart w:id="97" w:name="_GoBack"/>
      <w:bookmarkEnd w:id="97"/>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十三、财政拨款“三公”经费支出决算表</w:t>
      </w:r>
    </w:p>
    <w:p>
      <w:pPr>
        <w:widowControl/>
        <w:adjustRightInd w:val="0"/>
        <w:snapToGrid w:val="0"/>
        <w:spacing w:line="440" w:lineRule="exact"/>
        <w:ind w:firstLine="1320" w:firstLineChars="550"/>
        <w:jc w:val="left"/>
        <w:rPr>
          <w:rFonts w:ascii="仿宋" w:hAnsi="仿宋" w:eastAsia="仿宋"/>
          <w:color w:val="auto"/>
          <w:sz w:val="24"/>
          <w:highlight w:val="none"/>
        </w:rPr>
      </w:pPr>
      <w:r>
        <w:rPr>
          <w:rFonts w:ascii="仿宋" w:hAnsi="仿宋" w:eastAsia="仿宋"/>
          <w:color w:val="auto"/>
          <w:sz w:val="24"/>
          <w:highlight w:val="none"/>
        </w:rPr>
        <w:t>(注：</w:t>
      </w:r>
      <w:r>
        <w:rPr>
          <w:rFonts w:hint="eastAsia" w:ascii="仿宋" w:hAnsi="仿宋" w:eastAsia="仿宋"/>
          <w:color w:val="auto"/>
          <w:sz w:val="24"/>
          <w:highlight w:val="none"/>
        </w:rPr>
        <w:t>请</w:t>
      </w:r>
      <w:r>
        <w:rPr>
          <w:rFonts w:hint="eastAsia" w:ascii="仿宋" w:hAnsi="仿宋" w:eastAsia="仿宋"/>
          <w:color w:val="auto"/>
          <w:sz w:val="24"/>
          <w:highlight w:val="none"/>
          <w:lang w:eastAsia="zh-CN"/>
        </w:rPr>
        <w:t>单位</w:t>
      </w:r>
      <w:r>
        <w:rPr>
          <w:rFonts w:hint="eastAsia" w:ascii="仿宋" w:hAnsi="仿宋" w:eastAsia="仿宋"/>
          <w:color w:val="auto"/>
          <w:sz w:val="24"/>
          <w:highlight w:val="none"/>
        </w:rPr>
        <w:t>根据实际注明页码</w:t>
      </w:r>
      <w:r>
        <w:rPr>
          <w:rFonts w:ascii="仿宋" w:hAnsi="仿宋" w:eastAsia="仿宋"/>
          <w:color w:val="auto"/>
          <w:sz w:val="24"/>
          <w:highlight w:val="none"/>
        </w:rPr>
        <w:t>)</w:t>
      </w:r>
    </w:p>
    <w:p>
      <w:pPr>
        <w:rPr>
          <w:rFonts w:ascii="仿宋" w:hAnsi="仿宋" w:eastAsia="仿宋"/>
          <w:b/>
          <w:color w:val="auto"/>
          <w:sz w:val="24"/>
          <w:highlight w:val="none"/>
        </w:rPr>
      </w:pPr>
      <w:r>
        <w:rPr>
          <w:rFonts w:ascii="仿宋" w:hAnsi="仿宋" w:eastAsia="仿宋"/>
          <w:b/>
          <w:color w:val="auto"/>
          <w:sz w:val="24"/>
          <w:highlight w:val="none"/>
        </w:rPr>
        <w:br w:type="page"/>
      </w:r>
    </w:p>
    <w:p>
      <w:pPr>
        <w:pStyle w:val="5"/>
        <w:outlineLvl w:val="9"/>
        <w:sectPr>
          <w:headerReference r:id="rId3" w:type="default"/>
          <w:footerReference r:id="rId4" w:type="default"/>
          <w:pgSz w:w="11906" w:h="16838"/>
          <w:pgMar w:top="1701" w:right="1474" w:bottom="1701" w:left="1587" w:header="851" w:footer="1304" w:gutter="0"/>
          <w:pgNumType w:start="1"/>
          <w:cols w:space="0" w:num="1"/>
          <w:rtlGutter w:val="0"/>
          <w:docGrid w:type="lines" w:linePitch="312" w:charSpace="0"/>
        </w:sectPr>
      </w:pPr>
    </w:p>
    <w:bookmarkEnd w:id="0"/>
    <w:bookmarkEnd w:id="1"/>
    <w:p>
      <w:pPr>
        <w:pStyle w:val="2"/>
        <w:jc w:val="center"/>
        <w:rPr>
          <w:rFonts w:ascii="黑体" w:eastAsia="黑体"/>
          <w:color w:val="auto"/>
          <w:sz w:val="32"/>
          <w:szCs w:val="32"/>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6"/>
          <w:rFonts w:hint="eastAsia" w:ascii="黑体" w:hAnsi="黑体" w:eastAsia="黑体"/>
          <w:b w:val="0"/>
          <w:bCs w:val="0"/>
          <w:color w:val="auto"/>
          <w:highlight w:val="none"/>
        </w:rPr>
        <w:t>概况</w:t>
      </w:r>
    </w:p>
    <w:p>
      <w:pPr>
        <w:pStyle w:val="3"/>
        <w:numPr>
          <w:ilvl w:val="0"/>
          <w:numId w:val="1"/>
        </w:numPr>
        <w:rPr>
          <w:rStyle w:val="27"/>
          <w:rFonts w:hint="eastAsia" w:ascii="黑体" w:hAnsi="黑体" w:eastAsia="黑体"/>
          <w:b w:val="0"/>
          <w:bCs w:val="0"/>
          <w:color w:val="auto"/>
          <w:highlight w:val="none"/>
          <w:lang w:eastAsia="zh-CN"/>
        </w:rPr>
      </w:pPr>
      <w:bookmarkStart w:id="13" w:name="_Toc15377197"/>
      <w:bookmarkStart w:id="14" w:name="_Toc15396600"/>
      <w:r>
        <w:rPr>
          <w:rStyle w:val="27"/>
          <w:rFonts w:hint="eastAsia" w:ascii="黑体" w:hAnsi="黑体" w:eastAsia="黑体"/>
          <w:b w:val="0"/>
          <w:bCs w:val="0"/>
          <w:color w:val="auto"/>
          <w:highlight w:val="none"/>
          <w:lang w:eastAsia="zh-CN"/>
        </w:rPr>
        <w:t>主要职责</w:t>
      </w:r>
    </w:p>
    <w:p>
      <w:pPr>
        <w:snapToGrid w:val="0"/>
        <w:spacing w:line="560" w:lineRule="exact"/>
        <w:ind w:firstLine="440" w:firstLineChars="200"/>
        <w:outlineLvl w:val="2"/>
        <w:rPr>
          <w:rFonts w:ascii="仿宋" w:hAnsi="仿宋" w:eastAsia="仿宋" w:cs="仿宋"/>
          <w:sz w:val="24"/>
          <w:szCs w:val="24"/>
        </w:rPr>
      </w:pPr>
      <w:r>
        <w:rPr>
          <w:rFonts w:hint="eastAsia" w:ascii="仿宋" w:hAnsi="仿宋" w:eastAsia="仿宋" w:cs="仿宋"/>
          <w:sz w:val="22"/>
          <w:szCs w:val="22"/>
        </w:rPr>
        <w:t>（一）</w:t>
      </w:r>
      <w:r>
        <w:rPr>
          <w:rFonts w:hint="eastAsia" w:ascii="仿宋" w:hAnsi="仿宋" w:eastAsia="仿宋" w:cs="仿宋"/>
          <w:sz w:val="24"/>
          <w:szCs w:val="24"/>
        </w:rPr>
        <w:t>全面贯彻教育方针和教育法规，依法治校；全面落实学校办学理念，保证学校办学目标的实现。</w:t>
      </w:r>
    </w:p>
    <w:p>
      <w:pPr>
        <w:snapToGrid w:val="0"/>
        <w:spacing w:line="560" w:lineRule="exact"/>
        <w:ind w:firstLine="480" w:firstLineChars="200"/>
        <w:outlineLvl w:val="2"/>
        <w:rPr>
          <w:rFonts w:ascii="仿宋" w:hAnsi="仿宋" w:eastAsia="仿宋" w:cs="仿宋"/>
          <w:sz w:val="24"/>
          <w:szCs w:val="24"/>
        </w:rPr>
      </w:pPr>
      <w:r>
        <w:rPr>
          <w:rFonts w:hint="eastAsia" w:ascii="仿宋" w:hAnsi="仿宋" w:eastAsia="仿宋" w:cs="仿宋"/>
          <w:sz w:val="24"/>
          <w:szCs w:val="24"/>
        </w:rPr>
        <w:t>（二）全面管理学校教育教学、科研、教师、培训、安全、卫生、后勤等各项工作；建立健全各项规章制度和管理措施。</w:t>
      </w:r>
    </w:p>
    <w:p>
      <w:pPr>
        <w:snapToGrid w:val="0"/>
        <w:spacing w:line="560" w:lineRule="exact"/>
        <w:ind w:firstLine="480" w:firstLineChars="200"/>
        <w:outlineLvl w:val="2"/>
        <w:rPr>
          <w:rFonts w:ascii="仿宋" w:hAnsi="仿宋" w:eastAsia="仿宋" w:cs="仿宋"/>
          <w:sz w:val="24"/>
          <w:szCs w:val="24"/>
        </w:rPr>
      </w:pPr>
      <w:r>
        <w:rPr>
          <w:rFonts w:hint="eastAsia" w:ascii="仿宋" w:hAnsi="仿宋" w:eastAsia="仿宋" w:cs="仿宋"/>
          <w:sz w:val="24"/>
          <w:szCs w:val="24"/>
        </w:rPr>
        <w:t>（三）全面规划、统筹安排学校工作，制度学校学年、学期工作计划，组织、推动计划的落实，做出计划执行结果的总结。</w:t>
      </w:r>
    </w:p>
    <w:p>
      <w:pPr>
        <w:snapToGrid w:val="0"/>
        <w:spacing w:line="560" w:lineRule="exact"/>
        <w:ind w:firstLine="480" w:firstLineChars="200"/>
        <w:outlineLvl w:val="2"/>
        <w:rPr>
          <w:rFonts w:hint="eastAsia" w:ascii="仿宋" w:hAnsi="仿宋" w:eastAsia="仿宋" w:cs="仿宋"/>
          <w:sz w:val="24"/>
          <w:szCs w:val="24"/>
        </w:rPr>
      </w:pPr>
      <w:r>
        <w:rPr>
          <w:rFonts w:hint="eastAsia" w:ascii="仿宋" w:hAnsi="仿宋" w:eastAsia="仿宋" w:cs="仿宋"/>
          <w:sz w:val="24"/>
          <w:szCs w:val="24"/>
        </w:rPr>
        <w:t xml:space="preserve">（四）负责对基础教育发展水平、质量的监测工作；抓好教职工队伍建设，负责学校人事工作；加强对教职工的职业道德和法制教育；制定、落实教师的培训、进修计划；注重培养青年教师，加强对教职工的考核评估工作。 </w:t>
      </w:r>
    </w:p>
    <w:p>
      <w:pPr>
        <w:snapToGrid w:val="0"/>
        <w:spacing w:line="560" w:lineRule="exact"/>
        <w:ind w:firstLine="480" w:firstLineChars="200"/>
        <w:outlineLvl w:val="2"/>
        <w:rPr>
          <w:rFonts w:hint="eastAsia" w:ascii="仿宋" w:hAnsi="仿宋" w:eastAsia="仿宋" w:cs="仿宋"/>
          <w:sz w:val="24"/>
          <w:szCs w:val="24"/>
        </w:rPr>
      </w:pPr>
      <w:r>
        <w:rPr>
          <w:rFonts w:hint="eastAsia" w:ascii="仿宋" w:hAnsi="仿宋" w:eastAsia="仿宋" w:cs="仿宋"/>
          <w:sz w:val="24"/>
          <w:szCs w:val="24"/>
        </w:rPr>
        <w:t>（五）抓好校风、学风的建设；坚持民主管理、民主办学的原则。</w:t>
      </w:r>
    </w:p>
    <w:p>
      <w:pPr>
        <w:snapToGrid w:val="0"/>
        <w:spacing w:line="560" w:lineRule="exact"/>
        <w:ind w:firstLine="480" w:firstLineChars="200"/>
        <w:outlineLvl w:val="2"/>
        <w:rPr>
          <w:rFonts w:hint="eastAsia" w:ascii="仿宋" w:hAnsi="仿宋" w:eastAsia="仿宋" w:cs="仿宋"/>
          <w:sz w:val="24"/>
          <w:szCs w:val="24"/>
        </w:rPr>
      </w:pPr>
      <w:r>
        <w:rPr>
          <w:rFonts w:hint="eastAsia" w:ascii="仿宋" w:hAnsi="仿宋" w:eastAsia="仿宋" w:cs="仿宋"/>
          <w:sz w:val="24"/>
          <w:szCs w:val="24"/>
        </w:rPr>
        <w:t>（六）努力争取社会各方面对学校工作的支持和帮助，代表学校协调、处理公共</w:t>
      </w:r>
      <w:r>
        <w:rPr>
          <w:rFonts w:hint="eastAsia" w:ascii="仿宋" w:hAnsi="仿宋" w:eastAsia="仿宋" w:cs="仿宋"/>
          <w:sz w:val="24"/>
          <w:szCs w:val="24"/>
          <w:lang w:val="en-US" w:eastAsia="zh-CN"/>
        </w:rPr>
        <w:t>关</w:t>
      </w:r>
      <w:r>
        <w:rPr>
          <w:rFonts w:hint="eastAsia" w:ascii="仿宋" w:hAnsi="仿宋" w:eastAsia="仿宋" w:cs="仿宋"/>
          <w:sz w:val="24"/>
          <w:szCs w:val="24"/>
        </w:rPr>
        <w:t>系。</w:t>
      </w:r>
    </w:p>
    <w:p>
      <w:pPr>
        <w:snapToGrid w:val="0"/>
        <w:spacing w:line="560" w:lineRule="exact"/>
        <w:ind w:firstLine="480" w:firstLineChars="200"/>
        <w:outlineLvl w:val="2"/>
        <w:rPr>
          <w:rFonts w:hint="eastAsia" w:ascii="仿宋" w:hAnsi="仿宋" w:eastAsia="仿宋" w:cs="仿宋"/>
          <w:sz w:val="24"/>
          <w:szCs w:val="24"/>
          <w:lang w:eastAsia="zh-CN"/>
        </w:rPr>
      </w:pPr>
      <w:r>
        <w:rPr>
          <w:rFonts w:hint="eastAsia" w:ascii="仿宋" w:hAnsi="仿宋" w:eastAsia="仿宋" w:cs="仿宋"/>
          <w:sz w:val="24"/>
          <w:szCs w:val="24"/>
        </w:rPr>
        <w:t>（七）完成</w:t>
      </w:r>
      <w:r>
        <w:rPr>
          <w:rFonts w:hint="eastAsia" w:ascii="仿宋" w:hAnsi="仿宋" w:eastAsia="仿宋" w:cs="仿宋"/>
          <w:sz w:val="24"/>
          <w:szCs w:val="24"/>
          <w:lang w:val="en-US" w:eastAsia="zh-CN"/>
        </w:rPr>
        <w:t>区</w:t>
      </w:r>
      <w:r>
        <w:rPr>
          <w:rFonts w:hint="eastAsia" w:ascii="仿宋" w:hAnsi="仿宋" w:eastAsia="仿宋" w:cs="仿宋"/>
          <w:sz w:val="24"/>
          <w:szCs w:val="24"/>
        </w:rPr>
        <w:t>教育局等上级行政部门交给的其它工作任务。</w:t>
      </w:r>
    </w:p>
    <w:p>
      <w:pPr>
        <w:pStyle w:val="3"/>
        <w:numPr>
          <w:ilvl w:val="0"/>
          <w:numId w:val="1"/>
        </w:numPr>
        <w:ind w:left="0" w:leftChars="0" w:firstLine="0" w:firstLineChars="0"/>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机构设置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right="0" w:firstLine="480" w:firstLineChars="200"/>
        <w:jc w:val="both"/>
        <w:rPr>
          <w:rFonts w:hint="eastAsia" w:ascii="华文仿宋" w:hAnsi="华文仿宋" w:eastAsia="华文仿宋" w:cs="华文仿宋"/>
          <w:sz w:val="24"/>
          <w:szCs w:val="24"/>
          <w:lang w:val="en-US" w:eastAsia="zh-CN"/>
        </w:rPr>
      </w:pPr>
      <w:r>
        <w:rPr>
          <w:rFonts w:hint="eastAsia" w:ascii="仿宋" w:hAnsi="仿宋" w:eastAsia="仿宋" w:cs="Times New Roman"/>
          <w:b w:val="0"/>
          <w:bCs w:val="0"/>
          <w:color w:val="auto"/>
          <w:kern w:val="2"/>
          <w:sz w:val="24"/>
          <w:szCs w:val="24"/>
          <w:highlight w:val="none"/>
          <w:lang w:val="en-US" w:eastAsia="zh-CN" w:bidi="ar-SA"/>
        </w:rPr>
        <w:t>广元市利州区宝轮第四小学</w:t>
      </w:r>
      <w:r>
        <w:rPr>
          <w:rFonts w:hint="eastAsia" w:ascii="华文仿宋" w:hAnsi="华文仿宋" w:eastAsia="华文仿宋" w:cs="华文仿宋"/>
          <w:sz w:val="24"/>
          <w:szCs w:val="24"/>
        </w:rPr>
        <w:t>隶属广元市利州区教育局下属二级预算单位，</w:t>
      </w:r>
      <w:r>
        <w:rPr>
          <w:rFonts w:hint="eastAsia" w:ascii="华文仿宋" w:hAnsi="华文仿宋" w:eastAsia="华文仿宋" w:cs="华文仿宋"/>
          <w:sz w:val="24"/>
          <w:szCs w:val="24"/>
          <w:lang w:val="en-US" w:eastAsia="zh-CN"/>
        </w:rPr>
        <w:t>独立编制机构1个，其中行政单位0个，参照公务员法管理的事业单位0个，事业单位1个。</w:t>
      </w:r>
      <w:r>
        <w:rPr>
          <w:rFonts w:hint="eastAsia" w:ascii="华文仿宋" w:hAnsi="华文仿宋" w:eastAsia="华文仿宋" w:cs="华文仿宋"/>
          <w:sz w:val="24"/>
          <w:szCs w:val="24"/>
        </w:rPr>
        <w:t>编制</w:t>
      </w:r>
      <w:r>
        <w:rPr>
          <w:rFonts w:hint="eastAsia" w:ascii="华文仿宋" w:hAnsi="华文仿宋" w:eastAsia="华文仿宋" w:cs="华文仿宋"/>
          <w:sz w:val="24"/>
          <w:szCs w:val="24"/>
          <w:lang w:val="en-US" w:eastAsia="zh-CN"/>
        </w:rPr>
        <w:t>12</w:t>
      </w:r>
      <w:r>
        <w:rPr>
          <w:rFonts w:hint="eastAsia" w:ascii="华文仿宋" w:hAnsi="华文仿宋" w:eastAsia="华文仿宋" w:cs="华文仿宋"/>
          <w:sz w:val="24"/>
          <w:szCs w:val="24"/>
        </w:rPr>
        <w:t>名，其中事业编制</w:t>
      </w:r>
      <w:r>
        <w:rPr>
          <w:rFonts w:hint="eastAsia" w:ascii="华文仿宋" w:hAnsi="华文仿宋" w:eastAsia="华文仿宋" w:cs="华文仿宋"/>
          <w:sz w:val="24"/>
          <w:szCs w:val="24"/>
          <w:lang w:val="en-US" w:eastAsia="zh-CN"/>
        </w:rPr>
        <w:t>12</w:t>
      </w:r>
      <w:r>
        <w:rPr>
          <w:rFonts w:hint="eastAsia" w:ascii="华文仿宋" w:hAnsi="华文仿宋" w:eastAsia="华文仿宋" w:cs="华文仿宋"/>
          <w:sz w:val="24"/>
          <w:szCs w:val="24"/>
        </w:rPr>
        <w:t>名。在职人员</w:t>
      </w:r>
      <w:r>
        <w:rPr>
          <w:rFonts w:hint="eastAsia" w:ascii="华文仿宋" w:hAnsi="华文仿宋" w:eastAsia="华文仿宋" w:cs="华文仿宋"/>
          <w:sz w:val="24"/>
          <w:szCs w:val="24"/>
          <w:lang w:val="en-US" w:eastAsia="zh-CN"/>
        </w:rPr>
        <w:t>21</w:t>
      </w:r>
      <w:r>
        <w:rPr>
          <w:rFonts w:hint="eastAsia" w:ascii="华文仿宋" w:hAnsi="华文仿宋" w:eastAsia="华文仿宋" w:cs="华文仿宋"/>
          <w:sz w:val="24"/>
          <w:szCs w:val="24"/>
        </w:rPr>
        <w:t>人，其中事业人员</w:t>
      </w:r>
      <w:r>
        <w:rPr>
          <w:rFonts w:hint="eastAsia" w:ascii="华文仿宋" w:hAnsi="华文仿宋" w:eastAsia="华文仿宋" w:cs="华文仿宋"/>
          <w:sz w:val="24"/>
          <w:szCs w:val="24"/>
          <w:lang w:val="en-US" w:eastAsia="zh-CN"/>
        </w:rPr>
        <w:t>21</w:t>
      </w:r>
      <w:r>
        <w:rPr>
          <w:rFonts w:hint="eastAsia" w:ascii="华文仿宋" w:hAnsi="华文仿宋" w:eastAsia="华文仿宋" w:cs="华文仿宋"/>
          <w:sz w:val="24"/>
          <w:szCs w:val="24"/>
        </w:rPr>
        <w:t>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right="0" w:firstLine="480" w:firstLineChars="200"/>
        <w:jc w:val="both"/>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4"/>
          <w:szCs w:val="24"/>
          <w:lang w:val="en-US" w:eastAsia="zh-CN"/>
        </w:rPr>
        <w:t>单位内设机构有：办公室、德育处、教导处、总务处、工会五个部门。</w:t>
      </w:r>
      <w:bookmarkEnd w:id="13"/>
      <w:bookmarkEnd w:id="14"/>
      <w:bookmarkStart w:id="15" w:name="_Toc15377204"/>
      <w:bookmarkStart w:id="16" w:name="_Toc15396602"/>
      <w:bookmarkStart w:id="17" w:name="_Toc9138"/>
    </w:p>
    <w:p>
      <w:pPr>
        <w:pStyle w:val="2"/>
        <w:numPr>
          <w:ilvl w:val="0"/>
          <w:numId w:val="2"/>
        </w:numPr>
        <w:ind w:left="1397" w:leftChars="0" w:right="440" w:firstLine="0" w:firstLineChars="0"/>
        <w:jc w:val="center"/>
        <w:outlineLvl w:val="0"/>
        <w:rPr>
          <w:rStyle w:val="26"/>
          <w:rFonts w:hint="eastAsia" w:ascii="黑体" w:hAnsi="黑体" w:eastAsia="黑体"/>
          <w:b w:val="0"/>
          <w:bCs/>
          <w:color w:val="auto"/>
          <w:highlight w:val="none"/>
        </w:rPr>
      </w:pPr>
      <w:r>
        <w:rPr>
          <w:rFonts w:hint="eastAsia" w:ascii="黑体" w:hAnsi="黑体" w:eastAsia="黑体"/>
          <w:b w:val="0"/>
          <w:bCs/>
          <w:color w:val="auto"/>
          <w:highlight w:val="none"/>
          <w:lang w:val="en-US" w:eastAsia="zh-CN"/>
        </w:rPr>
        <w:t>2022年度</w:t>
      </w:r>
      <w:r>
        <w:rPr>
          <w:rStyle w:val="26"/>
          <w:rFonts w:hint="eastAsia" w:ascii="黑体" w:hAnsi="黑体" w:eastAsia="黑体"/>
          <w:b w:val="0"/>
          <w:bCs/>
          <w:color w:val="auto"/>
          <w:highlight w:val="none"/>
          <w:lang w:eastAsia="zh-CN"/>
        </w:rPr>
        <w:t>单位</w:t>
      </w:r>
      <w:r>
        <w:rPr>
          <w:rStyle w:val="26"/>
          <w:rFonts w:hint="eastAsia" w:ascii="黑体" w:hAnsi="黑体" w:eastAsia="黑体"/>
          <w:b w:val="0"/>
          <w:bCs/>
          <w:color w:val="auto"/>
          <w:highlight w:val="none"/>
        </w:rPr>
        <w:t>决算情况</w:t>
      </w:r>
      <w:bookmarkEnd w:id="15"/>
      <w:bookmarkEnd w:id="16"/>
      <w:bookmarkEnd w:id="17"/>
      <w:bookmarkStart w:id="18" w:name="_Toc15377205"/>
      <w:bookmarkStart w:id="19" w:name="_Toc15396603"/>
      <w:bookmarkStart w:id="20" w:name="_Toc13314"/>
    </w:p>
    <w:p>
      <w:pPr>
        <w:pStyle w:val="2"/>
        <w:keepNext/>
        <w:keepLines/>
        <w:pageBreakBefore w:val="0"/>
        <w:widowControl w:val="0"/>
        <w:numPr>
          <w:ilvl w:val="0"/>
          <w:numId w:val="0"/>
        </w:numPr>
        <w:kinsoku/>
        <w:wordWrap/>
        <w:overflowPunct/>
        <w:topLinePunct w:val="0"/>
        <w:autoSpaceDE/>
        <w:autoSpaceDN/>
        <w:bidi w:val="0"/>
        <w:adjustRightInd/>
        <w:snapToGrid/>
        <w:spacing w:line="600" w:lineRule="exact"/>
        <w:ind w:right="442" w:rightChars="0"/>
        <w:jc w:val="both"/>
        <w:textAlignment w:val="auto"/>
        <w:outlineLvl w:val="0"/>
        <w:rPr>
          <w:rFonts w:ascii="仿宋" w:hAnsi="仿宋" w:eastAsia="仿宋"/>
          <w:color w:val="000000" w:themeColor="text1"/>
          <w:sz w:val="32"/>
          <w:szCs w:val="32"/>
          <w14:textFill>
            <w14:solidFill>
              <w14:schemeClr w14:val="tx1"/>
            </w14:solidFill>
          </w14:textFill>
        </w:rPr>
      </w:pPr>
      <w:r>
        <w:rPr>
          <w:rFonts w:hint="eastAsia" w:ascii="黑体" w:hAnsi="黑体" w:eastAsia="黑体"/>
          <w:color w:val="auto"/>
          <w:sz w:val="32"/>
          <w:szCs w:val="32"/>
          <w:highlight w:val="none"/>
          <w:lang w:val="en-US" w:eastAsia="zh-CN"/>
        </w:rPr>
        <w:t>一、</w:t>
      </w:r>
      <w:r>
        <w:rPr>
          <w:rFonts w:hint="eastAsia" w:ascii="黑体" w:hAnsi="黑体" w:eastAsia="黑体"/>
          <w:color w:val="auto"/>
          <w:sz w:val="32"/>
          <w:szCs w:val="32"/>
          <w:highlight w:val="none"/>
        </w:rPr>
        <w:t>收</w:t>
      </w:r>
      <w:r>
        <w:rPr>
          <w:rStyle w:val="27"/>
          <w:rFonts w:hint="eastAsia" w:ascii="黑体" w:hAnsi="黑体" w:eastAsia="黑体"/>
          <w:b w:val="0"/>
          <w:bCs/>
          <w:color w:val="auto"/>
          <w:highlight w:val="none"/>
        </w:rPr>
        <w:t>入支出决算总体情况说明</w:t>
      </w:r>
      <w:bookmarkEnd w:id="18"/>
      <w:bookmarkEnd w:id="19"/>
      <w:bookmarkEnd w:id="20"/>
    </w:p>
    <w:p>
      <w:pPr>
        <w:spacing w:line="600" w:lineRule="exact"/>
        <w:ind w:firstLine="480" w:firstLineChars="200"/>
        <w:outlineLvl w:val="2"/>
        <w:rPr>
          <w:rStyle w:val="16"/>
          <w:rFonts w:hint="eastAsia" w:ascii="仿宋" w:hAnsi="仿宋" w:eastAsia="仿宋" w:cstheme="minorBidi"/>
          <w:b w:val="0"/>
          <w:bCs/>
          <w:color w:val="auto"/>
          <w:sz w:val="24"/>
          <w:szCs w:val="24"/>
          <w:highlight w:val="none"/>
          <w:lang w:val="en-US" w:eastAsia="zh-CN"/>
        </w:rPr>
      </w:pPr>
      <w:r>
        <w:rPr>
          <w:rFonts w:hint="eastAsia" w:ascii="仿宋" w:hAnsi="仿宋" w:eastAsia="仿宋"/>
          <w:color w:val="auto"/>
          <w:sz w:val="24"/>
          <w:szCs w:val="24"/>
          <w:highlight w:val="none"/>
        </w:rPr>
        <w:t>20</w:t>
      </w:r>
      <w:r>
        <w:rPr>
          <w:rFonts w:hint="eastAsia" w:ascii="仿宋" w:hAnsi="仿宋" w:eastAsia="仿宋"/>
          <w:color w:val="auto"/>
          <w:sz w:val="24"/>
          <w:szCs w:val="24"/>
          <w:highlight w:val="none"/>
          <w:lang w:val="en-US" w:eastAsia="zh-CN"/>
        </w:rPr>
        <w:t>22</w:t>
      </w:r>
      <w:r>
        <w:rPr>
          <w:rFonts w:hint="eastAsia" w:ascii="仿宋" w:hAnsi="仿宋" w:eastAsia="仿宋"/>
          <w:color w:val="auto"/>
          <w:sz w:val="24"/>
          <w:szCs w:val="24"/>
          <w:highlight w:val="none"/>
        </w:rPr>
        <w:t>年度收、支总计</w:t>
      </w:r>
      <w:r>
        <w:rPr>
          <w:rFonts w:hint="eastAsia" w:ascii="仿宋" w:hAnsi="仿宋" w:eastAsia="仿宋"/>
          <w:color w:val="auto"/>
          <w:sz w:val="24"/>
          <w:szCs w:val="24"/>
          <w:highlight w:val="none"/>
          <w:lang w:val="en-US" w:eastAsia="zh-CN"/>
        </w:rPr>
        <w:t xml:space="preserve"> 511.77  </w:t>
      </w:r>
      <w:r>
        <w:rPr>
          <w:rFonts w:hint="eastAsia" w:ascii="仿宋" w:hAnsi="仿宋" w:eastAsia="仿宋"/>
          <w:color w:val="auto"/>
          <w:sz w:val="24"/>
          <w:szCs w:val="24"/>
          <w:highlight w:val="none"/>
        </w:rPr>
        <w:t>万元。与20</w:t>
      </w:r>
      <w:r>
        <w:rPr>
          <w:rFonts w:hint="eastAsia" w:ascii="仿宋" w:hAnsi="仿宋" w:eastAsia="仿宋"/>
          <w:color w:val="auto"/>
          <w:sz w:val="24"/>
          <w:szCs w:val="24"/>
          <w:highlight w:val="none"/>
          <w:lang w:val="en-US" w:eastAsia="zh-CN"/>
        </w:rPr>
        <w:t>21</w:t>
      </w:r>
      <w:r>
        <w:rPr>
          <w:rFonts w:hint="eastAsia" w:ascii="仿宋" w:hAnsi="仿宋" w:eastAsia="仿宋"/>
          <w:color w:val="auto"/>
          <w:sz w:val="24"/>
          <w:szCs w:val="24"/>
          <w:highlight w:val="none"/>
        </w:rPr>
        <w:t>年相比，收、支总计</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516.55元</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减少了4.78</w:t>
      </w:r>
      <w:r>
        <w:rPr>
          <w:rFonts w:hint="eastAsia" w:ascii="仿宋" w:hAnsi="仿宋" w:eastAsia="仿宋"/>
          <w:color w:val="auto"/>
          <w:sz w:val="24"/>
          <w:szCs w:val="24"/>
          <w:highlight w:val="none"/>
        </w:rPr>
        <w:t>万元，下降</w:t>
      </w:r>
      <w:r>
        <w:rPr>
          <w:rFonts w:hint="eastAsia" w:ascii="仿宋" w:hAnsi="仿宋" w:eastAsia="仿宋"/>
          <w:color w:val="auto"/>
          <w:sz w:val="24"/>
          <w:szCs w:val="24"/>
          <w:highlight w:val="none"/>
          <w:lang w:val="en-US" w:eastAsia="zh-CN"/>
        </w:rPr>
        <w:t>0.93</w:t>
      </w:r>
      <w:r>
        <w:rPr>
          <w:rFonts w:ascii="仿宋" w:hAnsi="仿宋" w:eastAsia="仿宋"/>
          <w:color w:val="auto"/>
          <w:sz w:val="24"/>
          <w:szCs w:val="24"/>
          <w:highlight w:val="none"/>
        </w:rPr>
        <w:t>%</w:t>
      </w:r>
      <w:r>
        <w:rPr>
          <w:rFonts w:hint="eastAsia" w:ascii="仿宋" w:hAnsi="仿宋" w:eastAsia="仿宋"/>
          <w:color w:val="auto"/>
          <w:sz w:val="24"/>
          <w:szCs w:val="24"/>
          <w:highlight w:val="none"/>
        </w:rPr>
        <w:t>。主要变动原因</w:t>
      </w:r>
      <w:r>
        <w:rPr>
          <w:rStyle w:val="16"/>
          <w:rFonts w:hint="eastAsia" w:ascii="仿宋" w:hAnsi="仿宋" w:eastAsia="仿宋" w:cstheme="minorBidi"/>
          <w:b w:val="0"/>
          <w:bCs/>
          <w:color w:val="auto"/>
          <w:sz w:val="24"/>
          <w:szCs w:val="24"/>
          <w:highlight w:val="none"/>
          <w:lang w:val="en-US" w:eastAsia="zh-CN"/>
        </w:rPr>
        <w:t>是幼儿园人数减少，其他收入较上年减少，结转资金较上年减少。</w:t>
      </w:r>
    </w:p>
    <w:p>
      <w:pPr>
        <w:spacing w:line="600" w:lineRule="exact"/>
        <w:outlineLvl w:val="2"/>
        <w:rPr>
          <w:rStyle w:val="16"/>
          <w:rFonts w:hint="eastAsia" w:ascii="仿宋" w:hAnsi="仿宋" w:eastAsia="仿宋" w:cstheme="minorBidi"/>
          <w:b w:val="0"/>
          <w:bCs/>
          <w:color w:val="000000" w:themeColor="text1"/>
          <w:sz w:val="32"/>
          <w:szCs w:val="32"/>
          <w:highlight w:val="none"/>
          <w:lang w:val="en-US" w:eastAsia="zh-CN"/>
          <w14:textFill>
            <w14:gradFill>
              <w14:gsLst>
                <w14:gs w14:pos="0">
                  <w14:srgbClr w14:val="E30000"/>
                </w14:gs>
                <w14:gs w14:pos="100000">
                  <w14:srgbClr w14:val="760303"/>
                </w14:gs>
              </w14:gsLst>
              <w14:lin w14:scaled="0"/>
            </w14:gradFill>
          </w14:textFill>
        </w:rPr>
      </w:pPr>
      <w:r>
        <w:rPr>
          <w:rFonts w:ascii="仿宋_GB2312" w:eastAsia="仿宋_GB2312"/>
          <w:sz w:val="28"/>
          <w:szCs w:val="28"/>
        </w:rPr>
        <w:drawing>
          <wp:anchor distT="0" distB="0" distL="114300" distR="114300" simplePos="0" relativeHeight="251665408" behindDoc="1" locked="0" layoutInCell="1" allowOverlap="1">
            <wp:simplePos x="0" y="0"/>
            <wp:positionH relativeFrom="column">
              <wp:posOffset>83820</wp:posOffset>
            </wp:positionH>
            <wp:positionV relativeFrom="paragraph">
              <wp:posOffset>83185</wp:posOffset>
            </wp:positionV>
            <wp:extent cx="5201285" cy="2157730"/>
            <wp:effectExtent l="4445" t="4445" r="13970" b="9525"/>
            <wp:wrapTight wrapText="bothSides">
              <wp:wrapPolygon>
                <wp:start x="-18" y="-44"/>
                <wp:lineTo x="-18" y="21505"/>
                <wp:lineTo x="21579" y="21505"/>
                <wp:lineTo x="21579" y="-44"/>
                <wp:lineTo x="-18" y="-44"/>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outlineLvl w:val="2"/>
        <w:rPr>
          <w:rStyle w:val="16"/>
          <w:rFonts w:hint="eastAsia" w:ascii="仿宋" w:hAnsi="仿宋" w:eastAsia="仿宋" w:cstheme="minorBidi"/>
          <w:b w:val="0"/>
          <w:bCs/>
          <w:color w:val="000000" w:themeColor="text1"/>
          <w:sz w:val="32"/>
          <w:szCs w:val="32"/>
          <w:highlight w:val="none"/>
          <w:lang w:val="en-US" w:eastAsia="zh-CN"/>
          <w14:textFill>
            <w14:gradFill>
              <w14:gsLst>
                <w14:gs w14:pos="0">
                  <w14:srgbClr w14:val="E30000"/>
                </w14:gs>
                <w14:gs w14:pos="100000">
                  <w14:srgbClr w14:val="760303"/>
                </w14:gs>
              </w14:gsLst>
              <w14:lin w14:scaled="0"/>
            </w14:gradFill>
          </w14:textFill>
        </w:rPr>
      </w:pPr>
    </w:p>
    <w:p>
      <w:pPr>
        <w:spacing w:line="600" w:lineRule="exact"/>
        <w:ind w:firstLine="640" w:firstLineChars="200"/>
        <w:outlineLvl w:val="2"/>
        <w:rPr>
          <w:rStyle w:val="16"/>
          <w:rFonts w:hint="default" w:ascii="仿宋" w:hAnsi="仿宋" w:eastAsia="仿宋" w:cstheme="minorBidi"/>
          <w:b w:val="0"/>
          <w:bCs/>
          <w:color w:val="000000" w:themeColor="text1"/>
          <w:sz w:val="32"/>
          <w:szCs w:val="32"/>
          <w:highlight w:val="none"/>
          <w:lang w:val="en-US" w:eastAsia="zh-CN"/>
          <w14:textFill>
            <w14:gradFill>
              <w14:gsLst>
                <w14:gs w14:pos="0">
                  <w14:srgbClr w14:val="E30000"/>
                </w14:gs>
                <w14:gs w14:pos="100000">
                  <w14:srgbClr w14:val="760303"/>
                </w14:gs>
              </w14:gsLst>
              <w14:lin w14:scaled="0"/>
            </w14:gradFill>
          </w14:textFill>
        </w:rPr>
      </w:pPr>
    </w:p>
    <w:p>
      <w:pPr>
        <w:spacing w:line="600" w:lineRule="exact"/>
        <w:jc w:val="left"/>
        <w:outlineLvl w:val="1"/>
        <w:rPr>
          <w:rFonts w:hint="eastAsia" w:ascii="黑体" w:hAnsi="黑体" w:eastAsia="黑体"/>
          <w:color w:val="auto"/>
          <w:sz w:val="32"/>
          <w:szCs w:val="32"/>
          <w:highlight w:val="none"/>
          <w:lang w:val="en-US" w:eastAsia="zh-CN"/>
        </w:rPr>
      </w:pPr>
      <w:bookmarkStart w:id="21" w:name="_Toc15396604"/>
      <w:bookmarkStart w:id="22" w:name="_Toc15377206"/>
      <w:bookmarkStart w:id="23" w:name="_Toc12072"/>
    </w:p>
    <w:p>
      <w:pPr>
        <w:spacing w:line="600" w:lineRule="exact"/>
        <w:jc w:val="left"/>
        <w:outlineLvl w:val="1"/>
        <w:rPr>
          <w:rFonts w:hint="eastAsia" w:ascii="黑体" w:hAnsi="黑体" w:eastAsia="黑体"/>
          <w:color w:val="auto"/>
          <w:sz w:val="32"/>
          <w:szCs w:val="32"/>
          <w:highlight w:val="none"/>
          <w:lang w:val="en-US" w:eastAsia="zh-CN"/>
        </w:rPr>
      </w:pPr>
    </w:p>
    <w:p>
      <w:pPr>
        <w:spacing w:line="600" w:lineRule="exact"/>
        <w:jc w:val="left"/>
        <w:outlineLvl w:val="1"/>
        <w:rPr>
          <w:rFonts w:hint="eastAsia" w:ascii="黑体" w:hAnsi="黑体" w:eastAsia="黑体"/>
          <w:color w:val="auto"/>
          <w:sz w:val="32"/>
          <w:szCs w:val="32"/>
          <w:highlight w:val="none"/>
          <w:lang w:val="en-US" w:eastAsia="zh-CN"/>
        </w:rPr>
      </w:pPr>
    </w:p>
    <w:p>
      <w:pPr>
        <w:spacing w:line="600" w:lineRule="exact"/>
        <w:ind w:firstLine="1440" w:firstLineChars="600"/>
        <w:rPr>
          <w:rFonts w:ascii="仿宋" w:hAnsi="仿宋" w:eastAsia="仿宋"/>
          <w:color w:val="auto"/>
          <w:sz w:val="24"/>
          <w:szCs w:val="24"/>
          <w:highlight w:val="none"/>
        </w:rPr>
      </w:pPr>
      <w:r>
        <w:rPr>
          <w:rFonts w:hint="eastAsia" w:ascii="仿宋" w:hAnsi="仿宋" w:eastAsia="仿宋"/>
          <w:color w:val="auto"/>
          <w:sz w:val="24"/>
          <w:szCs w:val="24"/>
          <w:highlight w:val="none"/>
        </w:rPr>
        <w:t>（图</w:t>
      </w:r>
      <w:r>
        <w:rPr>
          <w:rFonts w:ascii="仿宋" w:hAnsi="仿宋" w:eastAsia="仿宋"/>
          <w:color w:val="auto"/>
          <w:sz w:val="24"/>
          <w:szCs w:val="24"/>
          <w:highlight w:val="none"/>
        </w:rPr>
        <w:t>1</w:t>
      </w:r>
      <w:r>
        <w:rPr>
          <w:rFonts w:hint="eastAsia" w:ascii="仿宋" w:hAnsi="仿宋" w:eastAsia="仿宋"/>
          <w:color w:val="auto"/>
          <w:sz w:val="24"/>
          <w:szCs w:val="24"/>
          <w:highlight w:val="none"/>
        </w:rPr>
        <w:t>：收、支决算总计变动情况图）（柱状图）</w:t>
      </w:r>
    </w:p>
    <w:p>
      <w:pPr>
        <w:spacing w:line="600" w:lineRule="exact"/>
        <w:jc w:val="left"/>
        <w:outlineLvl w:val="1"/>
        <w:rPr>
          <w:rFonts w:hint="eastAsia" w:ascii="黑体" w:hAnsi="黑体" w:eastAsia="黑体"/>
          <w:color w:val="auto"/>
          <w:sz w:val="32"/>
          <w:szCs w:val="32"/>
          <w:highlight w:val="none"/>
          <w:lang w:val="en-US" w:eastAsia="zh-CN"/>
        </w:rPr>
      </w:pPr>
    </w:p>
    <w:p>
      <w:pPr>
        <w:spacing w:line="600" w:lineRule="exact"/>
        <w:jc w:val="left"/>
        <w:outlineLvl w:val="1"/>
        <w:rPr>
          <w:rStyle w:val="27"/>
          <w:rFonts w:ascii="黑体" w:hAnsi="黑体" w:eastAsia="黑体"/>
          <w:b w:val="0"/>
          <w:color w:val="auto"/>
          <w:highlight w:val="none"/>
        </w:rPr>
      </w:pPr>
      <w:r>
        <w:rPr>
          <w:rFonts w:hint="eastAsia" w:ascii="黑体" w:hAnsi="黑体" w:eastAsia="黑体"/>
          <w:color w:val="auto"/>
          <w:sz w:val="32"/>
          <w:szCs w:val="32"/>
          <w:highlight w:val="none"/>
          <w:lang w:val="en-US" w:eastAsia="zh-CN"/>
        </w:rPr>
        <w:t>二、</w:t>
      </w:r>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入决算情况说明</w:t>
      </w:r>
      <w:bookmarkEnd w:id="21"/>
      <w:bookmarkEnd w:id="22"/>
      <w:bookmarkEnd w:id="23"/>
    </w:p>
    <w:p>
      <w:pPr>
        <w:spacing w:line="600" w:lineRule="exact"/>
        <w:ind w:firstLine="480" w:firstLineChars="200"/>
        <w:outlineLvl w:val="1"/>
        <w:rPr>
          <w:rFonts w:ascii="仿宋" w:hAnsi="仿宋" w:eastAsia="仿宋"/>
          <w:color w:val="auto"/>
          <w:sz w:val="24"/>
          <w:szCs w:val="24"/>
          <w:highlight w:val="none"/>
        </w:rPr>
      </w:pPr>
      <w:r>
        <w:rPr>
          <w:rFonts w:ascii="仿宋" w:hAnsi="仿宋" w:eastAsia="仿宋"/>
          <w:color w:val="auto"/>
          <w:sz w:val="24"/>
          <w:szCs w:val="24"/>
          <w:highlight w:val="none"/>
        </w:rPr>
        <w:t>20</w:t>
      </w:r>
      <w:r>
        <w:rPr>
          <w:rFonts w:hint="eastAsia" w:ascii="仿宋" w:hAnsi="仿宋" w:eastAsia="仿宋"/>
          <w:color w:val="auto"/>
          <w:sz w:val="24"/>
          <w:szCs w:val="24"/>
          <w:highlight w:val="none"/>
          <w:lang w:val="en-US" w:eastAsia="zh-CN"/>
        </w:rPr>
        <w:t>22</w:t>
      </w:r>
      <w:r>
        <w:rPr>
          <w:rFonts w:hint="eastAsia" w:ascii="仿宋" w:hAnsi="仿宋" w:eastAsia="仿宋"/>
          <w:color w:val="auto"/>
          <w:sz w:val="24"/>
          <w:szCs w:val="24"/>
          <w:highlight w:val="none"/>
        </w:rPr>
        <w:t>年本年收入合计</w:t>
      </w:r>
      <w:r>
        <w:rPr>
          <w:rFonts w:hint="eastAsia" w:ascii="仿宋" w:hAnsi="仿宋" w:eastAsia="仿宋"/>
          <w:color w:val="auto"/>
          <w:sz w:val="24"/>
          <w:szCs w:val="24"/>
          <w:highlight w:val="none"/>
          <w:lang w:val="en-US" w:eastAsia="zh-CN"/>
        </w:rPr>
        <w:t>461.67</w:t>
      </w:r>
      <w:r>
        <w:rPr>
          <w:rFonts w:hint="eastAsia" w:ascii="仿宋" w:hAnsi="仿宋" w:eastAsia="仿宋"/>
          <w:color w:val="auto"/>
          <w:sz w:val="24"/>
          <w:szCs w:val="24"/>
          <w:highlight w:val="none"/>
        </w:rPr>
        <w:t>万元</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不含上年结转</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，其中：一般公共预算财政拨款收入</w:t>
      </w:r>
      <w:r>
        <w:rPr>
          <w:rFonts w:hint="eastAsia" w:ascii="仿宋" w:hAnsi="仿宋" w:eastAsia="仿宋"/>
          <w:color w:val="auto"/>
          <w:sz w:val="24"/>
          <w:szCs w:val="24"/>
          <w:highlight w:val="none"/>
          <w:lang w:val="en-US" w:eastAsia="zh-CN"/>
        </w:rPr>
        <w:t>460.02</w:t>
      </w:r>
      <w:r>
        <w:rPr>
          <w:rFonts w:hint="eastAsia" w:ascii="仿宋" w:hAnsi="仿宋" w:eastAsia="仿宋"/>
          <w:color w:val="auto"/>
          <w:sz w:val="24"/>
          <w:szCs w:val="24"/>
          <w:highlight w:val="none"/>
        </w:rPr>
        <w:t>万元，占</w:t>
      </w:r>
      <w:r>
        <w:rPr>
          <w:rFonts w:hint="eastAsia" w:ascii="仿宋" w:hAnsi="仿宋" w:eastAsia="仿宋"/>
          <w:color w:val="auto"/>
          <w:sz w:val="24"/>
          <w:szCs w:val="24"/>
          <w:highlight w:val="none"/>
          <w:lang w:val="en-US" w:eastAsia="zh-CN"/>
        </w:rPr>
        <w:t>99.64</w:t>
      </w:r>
      <w:r>
        <w:rPr>
          <w:rFonts w:ascii="仿宋" w:hAnsi="仿宋" w:eastAsia="仿宋"/>
          <w:color w:val="auto"/>
          <w:sz w:val="24"/>
          <w:szCs w:val="24"/>
          <w:highlight w:val="none"/>
        </w:rPr>
        <w:t>%</w:t>
      </w:r>
      <w:r>
        <w:rPr>
          <w:rFonts w:hint="eastAsia" w:ascii="仿宋" w:hAnsi="仿宋" w:eastAsia="仿宋"/>
          <w:color w:val="auto"/>
          <w:sz w:val="24"/>
          <w:szCs w:val="24"/>
          <w:highlight w:val="none"/>
        </w:rPr>
        <w:t>；政府性基金预算财政拨款收入</w:t>
      </w:r>
      <w:r>
        <w:rPr>
          <w:rFonts w:hint="eastAsia" w:ascii="仿宋" w:hAnsi="仿宋" w:eastAsia="仿宋"/>
          <w:color w:val="auto"/>
          <w:sz w:val="24"/>
          <w:szCs w:val="24"/>
          <w:highlight w:val="none"/>
          <w:lang w:val="en-US" w:eastAsia="zh-CN"/>
        </w:rPr>
        <w:t>0</w:t>
      </w:r>
      <w:r>
        <w:rPr>
          <w:rFonts w:hint="eastAsia" w:ascii="仿宋" w:hAnsi="仿宋" w:eastAsia="仿宋"/>
          <w:color w:val="auto"/>
          <w:sz w:val="24"/>
          <w:szCs w:val="24"/>
          <w:highlight w:val="none"/>
        </w:rPr>
        <w:t>万元，占</w:t>
      </w:r>
      <w:r>
        <w:rPr>
          <w:rFonts w:hint="eastAsia" w:ascii="仿宋" w:hAnsi="仿宋" w:eastAsia="仿宋"/>
          <w:color w:val="auto"/>
          <w:sz w:val="24"/>
          <w:szCs w:val="24"/>
          <w:highlight w:val="none"/>
          <w:lang w:val="en-US" w:eastAsia="zh-CN"/>
        </w:rPr>
        <w:t>0</w:t>
      </w:r>
      <w:r>
        <w:rPr>
          <w:rFonts w:ascii="仿宋" w:hAnsi="仿宋" w:eastAsia="仿宋"/>
          <w:color w:val="auto"/>
          <w:sz w:val="24"/>
          <w:szCs w:val="24"/>
          <w:highlight w:val="none"/>
        </w:rPr>
        <w:t>%</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eastAsia="zh-CN"/>
        </w:rPr>
        <w:t>国有资本经营预算财政拨款收入</w:t>
      </w:r>
      <w:r>
        <w:rPr>
          <w:rFonts w:hint="eastAsia" w:ascii="仿宋" w:hAnsi="仿宋" w:eastAsia="仿宋"/>
          <w:color w:val="auto"/>
          <w:sz w:val="24"/>
          <w:szCs w:val="24"/>
          <w:highlight w:val="none"/>
          <w:lang w:val="en-US" w:eastAsia="zh-CN"/>
        </w:rPr>
        <w:t>0.00</w:t>
      </w:r>
      <w:r>
        <w:rPr>
          <w:rFonts w:hint="eastAsia" w:ascii="仿宋" w:hAnsi="仿宋" w:eastAsia="仿宋"/>
          <w:color w:val="auto"/>
          <w:sz w:val="24"/>
          <w:szCs w:val="24"/>
          <w:highlight w:val="none"/>
        </w:rPr>
        <w:t>万元，占</w:t>
      </w:r>
      <w:r>
        <w:rPr>
          <w:rFonts w:hint="eastAsia" w:ascii="仿宋" w:hAnsi="仿宋" w:eastAsia="仿宋"/>
          <w:color w:val="auto"/>
          <w:sz w:val="24"/>
          <w:szCs w:val="24"/>
          <w:highlight w:val="none"/>
          <w:lang w:val="en-US" w:eastAsia="zh-CN"/>
        </w:rPr>
        <w:t>0.00</w:t>
      </w:r>
      <w:r>
        <w:rPr>
          <w:rFonts w:ascii="仿宋" w:hAnsi="仿宋" w:eastAsia="仿宋"/>
          <w:color w:val="auto"/>
          <w:sz w:val="24"/>
          <w:szCs w:val="24"/>
          <w:highlight w:val="none"/>
        </w:rPr>
        <w:t>%</w:t>
      </w:r>
      <w:r>
        <w:rPr>
          <w:rFonts w:hint="eastAsia" w:ascii="仿宋" w:hAnsi="仿宋" w:eastAsia="仿宋"/>
          <w:color w:val="auto"/>
          <w:sz w:val="24"/>
          <w:szCs w:val="24"/>
          <w:highlight w:val="none"/>
        </w:rPr>
        <w:t>；上级补助收入</w:t>
      </w:r>
      <w:r>
        <w:rPr>
          <w:rFonts w:hint="eastAsia" w:ascii="仿宋" w:hAnsi="仿宋" w:eastAsia="仿宋"/>
          <w:color w:val="auto"/>
          <w:sz w:val="24"/>
          <w:szCs w:val="24"/>
          <w:highlight w:val="none"/>
          <w:lang w:val="en-US" w:eastAsia="zh-CN"/>
        </w:rPr>
        <w:t>0.00</w:t>
      </w:r>
      <w:r>
        <w:rPr>
          <w:rFonts w:hint="eastAsia" w:ascii="仿宋" w:hAnsi="仿宋" w:eastAsia="仿宋"/>
          <w:color w:val="auto"/>
          <w:sz w:val="24"/>
          <w:szCs w:val="24"/>
          <w:highlight w:val="none"/>
        </w:rPr>
        <w:t>万元，占</w:t>
      </w:r>
      <w:r>
        <w:rPr>
          <w:rFonts w:hint="eastAsia" w:ascii="仿宋" w:hAnsi="仿宋" w:eastAsia="仿宋"/>
          <w:color w:val="auto"/>
          <w:sz w:val="24"/>
          <w:szCs w:val="24"/>
          <w:highlight w:val="none"/>
          <w:lang w:val="en-US" w:eastAsia="zh-CN"/>
        </w:rPr>
        <w:t>0.00</w:t>
      </w:r>
      <w:r>
        <w:rPr>
          <w:rFonts w:ascii="仿宋" w:hAnsi="仿宋" w:eastAsia="仿宋"/>
          <w:color w:val="auto"/>
          <w:sz w:val="24"/>
          <w:szCs w:val="24"/>
          <w:highlight w:val="none"/>
        </w:rPr>
        <w:t>%</w:t>
      </w:r>
      <w:r>
        <w:rPr>
          <w:rFonts w:hint="eastAsia" w:ascii="仿宋" w:hAnsi="仿宋" w:eastAsia="仿宋"/>
          <w:color w:val="auto"/>
          <w:sz w:val="24"/>
          <w:szCs w:val="24"/>
          <w:highlight w:val="none"/>
        </w:rPr>
        <w:t>；事业收入</w:t>
      </w:r>
      <w:r>
        <w:rPr>
          <w:rFonts w:hint="eastAsia" w:ascii="仿宋" w:hAnsi="仿宋" w:eastAsia="仿宋"/>
          <w:color w:val="auto"/>
          <w:sz w:val="24"/>
          <w:szCs w:val="24"/>
          <w:highlight w:val="none"/>
          <w:lang w:val="en-US" w:eastAsia="zh-CN"/>
        </w:rPr>
        <w:t>1.62</w:t>
      </w:r>
      <w:r>
        <w:rPr>
          <w:rFonts w:hint="eastAsia" w:ascii="仿宋" w:hAnsi="仿宋" w:eastAsia="仿宋"/>
          <w:color w:val="auto"/>
          <w:sz w:val="24"/>
          <w:szCs w:val="24"/>
          <w:highlight w:val="none"/>
        </w:rPr>
        <w:t>万元，占</w:t>
      </w:r>
      <w:r>
        <w:rPr>
          <w:rFonts w:hint="eastAsia" w:ascii="仿宋" w:hAnsi="仿宋" w:eastAsia="仿宋"/>
          <w:color w:val="auto"/>
          <w:sz w:val="24"/>
          <w:szCs w:val="24"/>
          <w:highlight w:val="none"/>
          <w:lang w:val="en-US" w:eastAsia="zh-CN"/>
        </w:rPr>
        <w:t>0.004</w:t>
      </w:r>
      <w:r>
        <w:rPr>
          <w:rFonts w:ascii="仿宋" w:hAnsi="仿宋" w:eastAsia="仿宋"/>
          <w:color w:val="auto"/>
          <w:sz w:val="24"/>
          <w:szCs w:val="24"/>
          <w:highlight w:val="none"/>
        </w:rPr>
        <w:t>%</w:t>
      </w:r>
      <w:r>
        <w:rPr>
          <w:rFonts w:hint="eastAsia" w:ascii="仿宋" w:hAnsi="仿宋" w:eastAsia="仿宋"/>
          <w:color w:val="auto"/>
          <w:sz w:val="24"/>
          <w:szCs w:val="24"/>
          <w:highlight w:val="none"/>
        </w:rPr>
        <w:t>；经营收入</w:t>
      </w:r>
      <w:r>
        <w:rPr>
          <w:rFonts w:hint="eastAsia" w:ascii="仿宋" w:hAnsi="仿宋" w:eastAsia="仿宋"/>
          <w:color w:val="auto"/>
          <w:sz w:val="24"/>
          <w:szCs w:val="24"/>
          <w:highlight w:val="none"/>
          <w:lang w:val="en-US" w:eastAsia="zh-CN"/>
        </w:rPr>
        <w:t>0.00</w:t>
      </w:r>
      <w:r>
        <w:rPr>
          <w:rFonts w:hint="eastAsia" w:ascii="仿宋" w:hAnsi="仿宋" w:eastAsia="仿宋"/>
          <w:color w:val="auto"/>
          <w:sz w:val="24"/>
          <w:szCs w:val="24"/>
          <w:highlight w:val="none"/>
        </w:rPr>
        <w:t>万元，占</w:t>
      </w:r>
      <w:r>
        <w:rPr>
          <w:rFonts w:hint="eastAsia" w:ascii="仿宋" w:hAnsi="仿宋" w:eastAsia="仿宋"/>
          <w:color w:val="auto"/>
          <w:sz w:val="24"/>
          <w:szCs w:val="24"/>
          <w:highlight w:val="none"/>
          <w:lang w:val="en-US" w:eastAsia="zh-CN"/>
        </w:rPr>
        <w:t>0.00</w:t>
      </w:r>
      <w:r>
        <w:rPr>
          <w:rFonts w:ascii="仿宋" w:hAnsi="仿宋" w:eastAsia="仿宋"/>
          <w:color w:val="auto"/>
          <w:sz w:val="24"/>
          <w:szCs w:val="24"/>
          <w:highlight w:val="none"/>
        </w:rPr>
        <w:t>%</w:t>
      </w:r>
      <w:r>
        <w:rPr>
          <w:rFonts w:hint="eastAsia" w:ascii="仿宋" w:hAnsi="仿宋" w:eastAsia="仿宋"/>
          <w:color w:val="auto"/>
          <w:sz w:val="24"/>
          <w:szCs w:val="24"/>
          <w:highlight w:val="none"/>
        </w:rPr>
        <w:t>；附属单位上缴收入</w:t>
      </w:r>
      <w:r>
        <w:rPr>
          <w:rFonts w:hint="eastAsia" w:ascii="仿宋" w:hAnsi="仿宋" w:eastAsia="仿宋"/>
          <w:color w:val="auto"/>
          <w:sz w:val="24"/>
          <w:szCs w:val="24"/>
          <w:highlight w:val="none"/>
          <w:lang w:val="en-US" w:eastAsia="zh-CN"/>
        </w:rPr>
        <w:t>0.00</w:t>
      </w:r>
      <w:r>
        <w:rPr>
          <w:rFonts w:hint="eastAsia" w:ascii="仿宋" w:hAnsi="仿宋" w:eastAsia="仿宋"/>
          <w:color w:val="auto"/>
          <w:sz w:val="24"/>
          <w:szCs w:val="24"/>
          <w:highlight w:val="none"/>
        </w:rPr>
        <w:t>万元，占</w:t>
      </w:r>
      <w:r>
        <w:rPr>
          <w:rFonts w:hint="eastAsia" w:ascii="仿宋" w:hAnsi="仿宋" w:eastAsia="仿宋"/>
          <w:color w:val="auto"/>
          <w:sz w:val="24"/>
          <w:szCs w:val="24"/>
          <w:highlight w:val="none"/>
          <w:lang w:val="en-US" w:eastAsia="zh-CN"/>
        </w:rPr>
        <w:t>0.00</w:t>
      </w:r>
      <w:r>
        <w:rPr>
          <w:rFonts w:ascii="仿宋" w:hAnsi="仿宋" w:eastAsia="仿宋"/>
          <w:color w:val="auto"/>
          <w:sz w:val="24"/>
          <w:szCs w:val="24"/>
          <w:highlight w:val="none"/>
        </w:rPr>
        <w:t>%</w:t>
      </w:r>
      <w:r>
        <w:rPr>
          <w:rFonts w:hint="eastAsia" w:ascii="仿宋" w:hAnsi="仿宋" w:eastAsia="仿宋"/>
          <w:color w:val="auto"/>
          <w:sz w:val="24"/>
          <w:szCs w:val="24"/>
          <w:highlight w:val="none"/>
        </w:rPr>
        <w:t>；其他收入</w:t>
      </w:r>
      <w:r>
        <w:rPr>
          <w:rFonts w:hint="eastAsia" w:ascii="仿宋" w:hAnsi="仿宋" w:eastAsia="仿宋"/>
          <w:color w:val="auto"/>
          <w:sz w:val="24"/>
          <w:szCs w:val="24"/>
          <w:highlight w:val="none"/>
          <w:lang w:val="en-US" w:eastAsia="zh-CN"/>
        </w:rPr>
        <w:t>0.03</w:t>
      </w:r>
      <w:r>
        <w:rPr>
          <w:rFonts w:hint="eastAsia" w:ascii="仿宋" w:hAnsi="仿宋" w:eastAsia="仿宋"/>
          <w:color w:val="auto"/>
          <w:sz w:val="24"/>
          <w:szCs w:val="24"/>
          <w:highlight w:val="none"/>
        </w:rPr>
        <w:t>万元，占</w:t>
      </w:r>
      <w:r>
        <w:rPr>
          <w:rFonts w:hint="eastAsia" w:ascii="仿宋" w:hAnsi="仿宋" w:eastAsia="仿宋"/>
          <w:color w:val="auto"/>
          <w:sz w:val="24"/>
          <w:szCs w:val="24"/>
          <w:highlight w:val="none"/>
          <w:lang w:val="en-US" w:eastAsia="zh-CN"/>
        </w:rPr>
        <w:t>0.006</w:t>
      </w:r>
      <w:r>
        <w:rPr>
          <w:rFonts w:ascii="仿宋" w:hAnsi="仿宋" w:eastAsia="仿宋"/>
          <w:color w:val="auto"/>
          <w:sz w:val="24"/>
          <w:szCs w:val="24"/>
          <w:highlight w:val="none"/>
        </w:rPr>
        <w:t>%</w:t>
      </w:r>
      <w:r>
        <w:rPr>
          <w:rFonts w:hint="eastAsia" w:ascii="仿宋" w:hAnsi="仿宋" w:eastAsia="仿宋"/>
          <w:color w:val="auto"/>
          <w:sz w:val="24"/>
          <w:szCs w:val="24"/>
          <w:highlight w:val="none"/>
        </w:rPr>
        <w:t>。</w:t>
      </w:r>
    </w:p>
    <w:p>
      <w:pPr>
        <w:spacing w:line="600" w:lineRule="exact"/>
        <w:ind w:left="0" w:leftChars="0" w:firstLine="0" w:firstLineChars="0"/>
        <w:jc w:val="center"/>
        <w:outlineLvl w:val="2"/>
        <w:rPr>
          <w:rFonts w:ascii="仿宋" w:hAnsi="仿宋" w:eastAsia="仿宋"/>
          <w:color w:val="auto"/>
          <w:sz w:val="24"/>
          <w:szCs w:val="24"/>
          <w:highlight w:val="none"/>
        </w:rPr>
      </w:pPr>
      <w:r>
        <w:rPr>
          <w:rFonts w:ascii="仿宋_GB2312" w:eastAsia="仿宋_GB2312"/>
          <w:sz w:val="24"/>
          <w:szCs w:val="24"/>
        </w:rPr>
        <w:drawing>
          <wp:anchor distT="0" distB="0" distL="114300" distR="114300" simplePos="0" relativeHeight="251659264" behindDoc="0" locked="0" layoutInCell="1" allowOverlap="1">
            <wp:simplePos x="0" y="0"/>
            <wp:positionH relativeFrom="column">
              <wp:posOffset>18415</wp:posOffset>
            </wp:positionH>
            <wp:positionV relativeFrom="paragraph">
              <wp:posOffset>132080</wp:posOffset>
            </wp:positionV>
            <wp:extent cx="5308600" cy="2454275"/>
            <wp:effectExtent l="4445" t="4445" r="20955" b="1778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auto"/>
          <w:sz w:val="24"/>
          <w:szCs w:val="24"/>
          <w:highlight w:val="none"/>
        </w:rPr>
        <w:t>（图</w:t>
      </w:r>
      <w:r>
        <w:rPr>
          <w:rFonts w:hint="eastAsia" w:ascii="仿宋" w:hAnsi="仿宋" w:eastAsia="仿宋"/>
          <w:color w:val="auto"/>
          <w:sz w:val="24"/>
          <w:szCs w:val="24"/>
          <w:highlight w:val="none"/>
          <w:lang w:val="en-US" w:eastAsia="zh-CN"/>
        </w:rPr>
        <w:t>2</w:t>
      </w:r>
      <w:r>
        <w:rPr>
          <w:rFonts w:hint="eastAsia" w:ascii="仿宋" w:hAnsi="仿宋" w:eastAsia="仿宋"/>
          <w:color w:val="auto"/>
          <w:sz w:val="24"/>
          <w:szCs w:val="24"/>
          <w:highlight w:val="none"/>
        </w:rPr>
        <w:t>：收入决算结构图）（饼状图）</w:t>
      </w:r>
    </w:p>
    <w:p>
      <w:pPr>
        <w:pStyle w:val="25"/>
        <w:numPr>
          <w:ilvl w:val="0"/>
          <w:numId w:val="0"/>
        </w:numPr>
        <w:spacing w:line="600" w:lineRule="exact"/>
        <w:ind w:left="640" w:leftChars="0"/>
        <w:outlineLvl w:val="1"/>
        <w:rPr>
          <w:rStyle w:val="27"/>
          <w:rFonts w:ascii="黑体" w:hAnsi="黑体" w:eastAsia="黑体"/>
          <w:b w:val="0"/>
          <w:color w:val="auto"/>
          <w:highlight w:val="none"/>
        </w:rPr>
      </w:pPr>
      <w:bookmarkStart w:id="24" w:name="_Toc15842"/>
      <w:bookmarkStart w:id="25" w:name="_Toc15377207"/>
      <w:bookmarkStart w:id="26" w:name="_Toc15396605"/>
      <w:r>
        <w:rPr>
          <w:rFonts w:hint="eastAsia" w:ascii="黑体" w:hAnsi="黑体" w:eastAsia="黑体"/>
          <w:color w:val="auto"/>
          <w:sz w:val="32"/>
          <w:szCs w:val="32"/>
          <w:highlight w:val="none"/>
          <w:lang w:val="en-US" w:eastAsia="zh-CN"/>
        </w:rPr>
        <w:t>三、</w:t>
      </w:r>
      <w:r>
        <w:rPr>
          <w:rFonts w:hint="eastAsia" w:ascii="黑体" w:hAnsi="黑体" w:eastAsia="黑体"/>
          <w:color w:val="auto"/>
          <w:sz w:val="32"/>
          <w:szCs w:val="32"/>
          <w:highlight w:val="none"/>
        </w:rPr>
        <w:t>支</w:t>
      </w:r>
      <w:r>
        <w:rPr>
          <w:rStyle w:val="27"/>
          <w:rFonts w:hint="eastAsia" w:ascii="黑体" w:hAnsi="黑体" w:eastAsia="黑体"/>
          <w:b w:val="0"/>
          <w:color w:val="auto"/>
          <w:highlight w:val="none"/>
        </w:rPr>
        <w:t>出决算情况说明</w:t>
      </w:r>
      <w:bookmarkEnd w:id="24"/>
      <w:bookmarkEnd w:id="25"/>
      <w:bookmarkEnd w:id="26"/>
    </w:p>
    <w:p>
      <w:pPr>
        <w:spacing w:line="600" w:lineRule="exact"/>
        <w:ind w:firstLine="480" w:firstLineChars="200"/>
        <w:outlineLvl w:val="1"/>
        <w:rPr>
          <w:rFonts w:ascii="仿宋" w:hAnsi="仿宋" w:eastAsia="仿宋"/>
          <w:color w:val="auto"/>
          <w:sz w:val="24"/>
          <w:szCs w:val="24"/>
          <w:highlight w:val="none"/>
        </w:rPr>
      </w:pPr>
      <w:r>
        <w:rPr>
          <w:rFonts w:ascii="仿宋" w:hAnsi="仿宋" w:eastAsia="仿宋"/>
          <w:color w:val="auto"/>
          <w:sz w:val="24"/>
          <w:szCs w:val="24"/>
          <w:highlight w:val="none"/>
        </w:rPr>
        <w:t>20</w:t>
      </w:r>
      <w:r>
        <w:rPr>
          <w:rFonts w:hint="eastAsia" w:ascii="仿宋" w:hAnsi="仿宋" w:eastAsia="仿宋"/>
          <w:color w:val="auto"/>
          <w:sz w:val="24"/>
          <w:szCs w:val="24"/>
          <w:highlight w:val="none"/>
          <w:lang w:val="en-US" w:eastAsia="zh-CN"/>
        </w:rPr>
        <w:t>22</w:t>
      </w:r>
      <w:r>
        <w:rPr>
          <w:rFonts w:hint="eastAsia" w:ascii="仿宋" w:hAnsi="仿宋" w:eastAsia="仿宋"/>
          <w:color w:val="auto"/>
          <w:sz w:val="24"/>
          <w:szCs w:val="24"/>
          <w:highlight w:val="none"/>
        </w:rPr>
        <w:t>年本年支出合计</w:t>
      </w:r>
      <w:r>
        <w:rPr>
          <w:rFonts w:hint="eastAsia" w:ascii="仿宋" w:hAnsi="仿宋" w:eastAsia="仿宋"/>
          <w:color w:val="auto"/>
          <w:sz w:val="24"/>
          <w:szCs w:val="24"/>
          <w:highlight w:val="none"/>
          <w:lang w:val="en-US" w:eastAsia="zh-CN"/>
        </w:rPr>
        <w:t>511.77</w:t>
      </w:r>
      <w:r>
        <w:rPr>
          <w:rFonts w:hint="eastAsia" w:ascii="仿宋" w:hAnsi="仿宋" w:eastAsia="仿宋"/>
          <w:color w:val="auto"/>
          <w:sz w:val="24"/>
          <w:szCs w:val="24"/>
          <w:highlight w:val="none"/>
        </w:rPr>
        <w:t>万元，其中：基本支出</w:t>
      </w:r>
      <w:r>
        <w:rPr>
          <w:rFonts w:hint="eastAsia" w:ascii="仿宋" w:hAnsi="仿宋" w:eastAsia="仿宋"/>
          <w:color w:val="auto"/>
          <w:sz w:val="24"/>
          <w:szCs w:val="24"/>
          <w:highlight w:val="none"/>
          <w:lang w:val="en-US" w:eastAsia="zh-CN"/>
        </w:rPr>
        <w:t>456.92</w:t>
      </w:r>
      <w:r>
        <w:rPr>
          <w:rFonts w:hint="eastAsia" w:ascii="仿宋" w:hAnsi="仿宋" w:eastAsia="仿宋"/>
          <w:color w:val="auto"/>
          <w:sz w:val="24"/>
          <w:szCs w:val="24"/>
          <w:highlight w:val="none"/>
        </w:rPr>
        <w:t>万元，占</w:t>
      </w:r>
      <w:r>
        <w:rPr>
          <w:rFonts w:hint="eastAsia" w:ascii="仿宋" w:hAnsi="仿宋" w:eastAsia="仿宋"/>
          <w:color w:val="auto"/>
          <w:sz w:val="24"/>
          <w:szCs w:val="24"/>
          <w:highlight w:val="none"/>
          <w:lang w:val="en-US" w:eastAsia="zh-CN"/>
        </w:rPr>
        <w:t>89.28</w:t>
      </w:r>
      <w:r>
        <w:rPr>
          <w:rFonts w:ascii="仿宋" w:hAnsi="仿宋" w:eastAsia="仿宋"/>
          <w:color w:val="auto"/>
          <w:sz w:val="24"/>
          <w:szCs w:val="24"/>
          <w:highlight w:val="none"/>
        </w:rPr>
        <w:t>%</w:t>
      </w:r>
      <w:r>
        <w:rPr>
          <w:rFonts w:hint="eastAsia" w:ascii="仿宋" w:hAnsi="仿宋" w:eastAsia="仿宋"/>
          <w:color w:val="auto"/>
          <w:sz w:val="24"/>
          <w:szCs w:val="24"/>
          <w:highlight w:val="none"/>
        </w:rPr>
        <w:t>；项目支出</w:t>
      </w:r>
      <w:r>
        <w:rPr>
          <w:rFonts w:hint="eastAsia" w:ascii="仿宋" w:hAnsi="仿宋" w:eastAsia="仿宋"/>
          <w:color w:val="auto"/>
          <w:sz w:val="24"/>
          <w:szCs w:val="24"/>
          <w:highlight w:val="none"/>
          <w:lang w:val="en-US" w:eastAsia="zh-CN"/>
        </w:rPr>
        <w:t>54.85</w:t>
      </w:r>
      <w:r>
        <w:rPr>
          <w:rFonts w:hint="eastAsia" w:ascii="仿宋" w:hAnsi="仿宋" w:eastAsia="仿宋"/>
          <w:color w:val="auto"/>
          <w:sz w:val="24"/>
          <w:szCs w:val="24"/>
          <w:highlight w:val="none"/>
        </w:rPr>
        <w:t>万元，占</w:t>
      </w:r>
      <w:r>
        <w:rPr>
          <w:rFonts w:hint="eastAsia" w:ascii="仿宋" w:hAnsi="仿宋" w:eastAsia="仿宋"/>
          <w:color w:val="auto"/>
          <w:sz w:val="24"/>
          <w:szCs w:val="24"/>
          <w:highlight w:val="none"/>
          <w:lang w:val="en-US" w:eastAsia="zh-CN"/>
        </w:rPr>
        <w:t>10.72</w:t>
      </w:r>
      <w:r>
        <w:rPr>
          <w:rFonts w:ascii="仿宋" w:hAnsi="仿宋" w:eastAsia="仿宋"/>
          <w:color w:val="auto"/>
          <w:sz w:val="24"/>
          <w:szCs w:val="24"/>
          <w:highlight w:val="none"/>
        </w:rPr>
        <w:t>%</w:t>
      </w:r>
      <w:r>
        <w:rPr>
          <w:rFonts w:hint="eastAsia" w:ascii="仿宋" w:hAnsi="仿宋" w:eastAsia="仿宋"/>
          <w:color w:val="auto"/>
          <w:sz w:val="24"/>
          <w:szCs w:val="24"/>
          <w:highlight w:val="none"/>
        </w:rPr>
        <w:t>；上缴上级支出</w:t>
      </w:r>
      <w:r>
        <w:rPr>
          <w:rFonts w:hint="eastAsia" w:ascii="仿宋" w:hAnsi="仿宋" w:eastAsia="仿宋"/>
          <w:color w:val="auto"/>
          <w:sz w:val="24"/>
          <w:szCs w:val="24"/>
          <w:highlight w:val="none"/>
          <w:lang w:val="en-US" w:eastAsia="zh-CN"/>
        </w:rPr>
        <w:t>0.00</w:t>
      </w:r>
      <w:r>
        <w:rPr>
          <w:rFonts w:hint="eastAsia" w:ascii="仿宋" w:hAnsi="仿宋" w:eastAsia="仿宋"/>
          <w:color w:val="auto"/>
          <w:sz w:val="24"/>
          <w:szCs w:val="24"/>
          <w:highlight w:val="none"/>
        </w:rPr>
        <w:t>万元，占</w:t>
      </w:r>
      <w:r>
        <w:rPr>
          <w:rFonts w:hint="eastAsia" w:ascii="仿宋" w:hAnsi="仿宋" w:eastAsia="仿宋"/>
          <w:color w:val="auto"/>
          <w:sz w:val="24"/>
          <w:szCs w:val="24"/>
          <w:highlight w:val="none"/>
          <w:lang w:val="en-US" w:eastAsia="zh-CN"/>
        </w:rPr>
        <w:t>0.00</w:t>
      </w:r>
      <w:r>
        <w:rPr>
          <w:rFonts w:ascii="仿宋" w:hAnsi="仿宋" w:eastAsia="仿宋"/>
          <w:color w:val="auto"/>
          <w:sz w:val="24"/>
          <w:szCs w:val="24"/>
          <w:highlight w:val="none"/>
        </w:rPr>
        <w:t>%</w:t>
      </w:r>
      <w:r>
        <w:rPr>
          <w:rFonts w:hint="eastAsia" w:ascii="仿宋" w:hAnsi="仿宋" w:eastAsia="仿宋"/>
          <w:color w:val="auto"/>
          <w:sz w:val="24"/>
          <w:szCs w:val="24"/>
          <w:highlight w:val="none"/>
        </w:rPr>
        <w:t>；经营支出</w:t>
      </w:r>
      <w:r>
        <w:rPr>
          <w:rFonts w:hint="eastAsia" w:ascii="仿宋" w:hAnsi="仿宋" w:eastAsia="仿宋"/>
          <w:color w:val="auto"/>
          <w:sz w:val="24"/>
          <w:szCs w:val="24"/>
          <w:highlight w:val="none"/>
          <w:lang w:val="en-US" w:eastAsia="zh-CN"/>
        </w:rPr>
        <w:t>0.00</w:t>
      </w:r>
      <w:r>
        <w:rPr>
          <w:rFonts w:hint="eastAsia" w:ascii="仿宋" w:hAnsi="仿宋" w:eastAsia="仿宋"/>
          <w:color w:val="auto"/>
          <w:sz w:val="24"/>
          <w:szCs w:val="24"/>
          <w:highlight w:val="none"/>
        </w:rPr>
        <w:t>万元，占</w:t>
      </w:r>
      <w:r>
        <w:rPr>
          <w:rFonts w:hint="eastAsia" w:ascii="仿宋" w:hAnsi="仿宋" w:eastAsia="仿宋"/>
          <w:color w:val="auto"/>
          <w:sz w:val="24"/>
          <w:szCs w:val="24"/>
          <w:highlight w:val="none"/>
          <w:lang w:val="en-US" w:eastAsia="zh-CN"/>
        </w:rPr>
        <w:t>0.00</w:t>
      </w:r>
      <w:r>
        <w:rPr>
          <w:rFonts w:ascii="仿宋" w:hAnsi="仿宋" w:eastAsia="仿宋"/>
          <w:color w:val="auto"/>
          <w:sz w:val="24"/>
          <w:szCs w:val="24"/>
          <w:highlight w:val="none"/>
        </w:rPr>
        <w:t>%</w:t>
      </w:r>
      <w:r>
        <w:rPr>
          <w:rFonts w:hint="eastAsia" w:ascii="仿宋" w:hAnsi="仿宋" w:eastAsia="仿宋"/>
          <w:color w:val="auto"/>
          <w:sz w:val="24"/>
          <w:szCs w:val="24"/>
          <w:highlight w:val="none"/>
        </w:rPr>
        <w:t>；对附属单位补助支出</w:t>
      </w:r>
      <w:r>
        <w:rPr>
          <w:rFonts w:hint="eastAsia" w:ascii="仿宋" w:hAnsi="仿宋" w:eastAsia="仿宋"/>
          <w:color w:val="auto"/>
          <w:sz w:val="24"/>
          <w:szCs w:val="24"/>
          <w:highlight w:val="none"/>
          <w:lang w:val="en-US" w:eastAsia="zh-CN"/>
        </w:rPr>
        <w:t>0.00</w:t>
      </w:r>
      <w:r>
        <w:rPr>
          <w:rFonts w:hint="eastAsia" w:ascii="仿宋" w:hAnsi="仿宋" w:eastAsia="仿宋"/>
          <w:color w:val="auto"/>
          <w:sz w:val="24"/>
          <w:szCs w:val="24"/>
          <w:highlight w:val="none"/>
        </w:rPr>
        <w:t>万元，占</w:t>
      </w:r>
      <w:r>
        <w:rPr>
          <w:rFonts w:hint="eastAsia" w:ascii="仿宋" w:hAnsi="仿宋" w:eastAsia="仿宋"/>
          <w:color w:val="auto"/>
          <w:sz w:val="24"/>
          <w:szCs w:val="24"/>
          <w:highlight w:val="none"/>
          <w:lang w:val="en-US" w:eastAsia="zh-CN"/>
        </w:rPr>
        <w:t>0.00</w:t>
      </w:r>
      <w:r>
        <w:rPr>
          <w:rFonts w:ascii="仿宋" w:hAnsi="仿宋" w:eastAsia="仿宋"/>
          <w:color w:val="auto"/>
          <w:sz w:val="24"/>
          <w:szCs w:val="24"/>
          <w:highlight w:val="none"/>
        </w:rPr>
        <w:t>%</w:t>
      </w:r>
      <w:r>
        <w:rPr>
          <w:rFonts w:hint="eastAsia" w:ascii="仿宋" w:hAnsi="仿宋" w:eastAsia="仿宋"/>
          <w:color w:val="auto"/>
          <w:sz w:val="24"/>
          <w:szCs w:val="24"/>
          <w:highlight w:val="none"/>
        </w:rPr>
        <w:t>。</w:t>
      </w:r>
    </w:p>
    <w:p>
      <w:pPr>
        <w:spacing w:line="600" w:lineRule="exact"/>
        <w:ind w:firstLine="1927" w:firstLineChars="803"/>
        <w:outlineLvl w:val="2"/>
        <w:rPr>
          <w:rFonts w:hint="eastAsia" w:ascii="黑体" w:hAnsi="黑体" w:eastAsia="黑体"/>
          <w:color w:val="auto"/>
          <w:sz w:val="24"/>
          <w:szCs w:val="24"/>
          <w:highlight w:val="none"/>
        </w:rPr>
      </w:pPr>
      <w:r>
        <w:rPr>
          <w:rFonts w:ascii="仿宋_GB2312" w:eastAsia="仿宋_GB2312"/>
          <w:sz w:val="24"/>
          <w:szCs w:val="24"/>
        </w:rPr>
        <w:drawing>
          <wp:anchor distT="0" distB="0" distL="114300" distR="114300" simplePos="0" relativeHeight="251660288" behindDoc="0" locked="0" layoutInCell="1" allowOverlap="1">
            <wp:simplePos x="0" y="0"/>
            <wp:positionH relativeFrom="column">
              <wp:posOffset>0</wp:posOffset>
            </wp:positionH>
            <wp:positionV relativeFrom="paragraph">
              <wp:posOffset>178435</wp:posOffset>
            </wp:positionV>
            <wp:extent cx="5298440" cy="2101215"/>
            <wp:effectExtent l="4445" t="4445" r="12065" b="889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olor w:val="auto"/>
          <w:sz w:val="24"/>
          <w:szCs w:val="24"/>
          <w:highlight w:val="none"/>
        </w:rPr>
        <w:t>（图</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：支出决算结构图）（饼状图）</w:t>
      </w:r>
      <w:bookmarkStart w:id="27" w:name="_Toc15377208"/>
      <w:bookmarkStart w:id="28" w:name="_Toc17374"/>
      <w:bookmarkStart w:id="29" w:name="_Toc15396606"/>
    </w:p>
    <w:p>
      <w:pPr>
        <w:spacing w:line="600" w:lineRule="exact"/>
        <w:ind w:firstLine="640" w:firstLineChars="200"/>
        <w:outlineLvl w:val="1"/>
        <w:rPr>
          <w:rStyle w:val="27"/>
          <w:rFonts w:ascii="黑体" w:hAnsi="黑体" w:eastAsia="黑体"/>
          <w:b w:val="0"/>
          <w:color w:val="auto"/>
          <w:highlight w:val="none"/>
        </w:rPr>
      </w:pPr>
      <w:r>
        <w:rPr>
          <w:rFonts w:hint="eastAsia" w:ascii="黑体" w:hAnsi="黑体" w:eastAsia="黑体"/>
          <w:color w:val="auto"/>
          <w:sz w:val="32"/>
          <w:szCs w:val="32"/>
          <w:highlight w:val="none"/>
        </w:rPr>
        <w:t>四、财</w:t>
      </w:r>
      <w:r>
        <w:rPr>
          <w:rStyle w:val="27"/>
          <w:rFonts w:hint="eastAsia" w:ascii="黑体" w:hAnsi="黑体" w:eastAsia="黑体"/>
          <w:b w:val="0"/>
          <w:color w:val="auto"/>
          <w:highlight w:val="none"/>
        </w:rPr>
        <w:t>政拨款收入支出决算总体情况说明</w:t>
      </w:r>
      <w:bookmarkEnd w:id="27"/>
      <w:bookmarkEnd w:id="28"/>
      <w:bookmarkEnd w:id="29"/>
    </w:p>
    <w:p>
      <w:pPr>
        <w:spacing w:line="600" w:lineRule="exact"/>
        <w:ind w:firstLine="480" w:firstLineChars="200"/>
        <w:outlineLvl w:val="2"/>
        <w:rPr>
          <w:rFonts w:hint="default" w:ascii="仿宋" w:hAnsi="仿宋" w:eastAsia="仿宋"/>
          <w:color w:val="000000" w:themeColor="text1"/>
          <w:sz w:val="24"/>
          <w:szCs w:val="24"/>
          <w:highlight w:val="none"/>
          <w:lang w:val="en-US" w:eastAsia="zh-CN"/>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20</w:t>
      </w:r>
      <w:r>
        <w:rPr>
          <w:rFonts w:hint="eastAsia" w:ascii="仿宋" w:hAnsi="仿宋" w:eastAsia="仿宋"/>
          <w:color w:val="000000" w:themeColor="text1"/>
          <w:sz w:val="24"/>
          <w:szCs w:val="24"/>
          <w:highlight w:val="none"/>
          <w:lang w:val="en-US" w:eastAsia="zh-CN"/>
          <w14:textFill>
            <w14:solidFill>
              <w14:schemeClr w14:val="tx1"/>
            </w14:solidFill>
          </w14:textFill>
        </w:rPr>
        <w:t>22</w:t>
      </w:r>
      <w:r>
        <w:rPr>
          <w:rFonts w:hint="eastAsia" w:ascii="仿宋" w:hAnsi="仿宋" w:eastAsia="仿宋"/>
          <w:color w:val="000000" w:themeColor="text1"/>
          <w:sz w:val="24"/>
          <w:szCs w:val="24"/>
          <w:highlight w:val="none"/>
          <w14:textFill>
            <w14:solidFill>
              <w14:schemeClr w14:val="tx1"/>
            </w14:solidFill>
          </w14:textFill>
        </w:rPr>
        <w:t>年财政拨款收、支总计</w:t>
      </w:r>
      <w:r>
        <w:rPr>
          <w:rFonts w:hint="eastAsia" w:ascii="仿宋" w:hAnsi="仿宋" w:eastAsia="仿宋"/>
          <w:color w:val="000000" w:themeColor="text1"/>
          <w:sz w:val="24"/>
          <w:szCs w:val="24"/>
          <w:highlight w:val="none"/>
          <w:lang w:val="en-US" w:eastAsia="zh-CN"/>
          <w14:textFill>
            <w14:solidFill>
              <w14:schemeClr w14:val="tx1"/>
            </w14:solidFill>
          </w14:textFill>
        </w:rPr>
        <w:t>511.74</w:t>
      </w:r>
      <w:r>
        <w:rPr>
          <w:rFonts w:hint="eastAsia" w:ascii="仿宋" w:hAnsi="仿宋" w:eastAsia="仿宋"/>
          <w:color w:val="000000" w:themeColor="text1"/>
          <w:sz w:val="24"/>
          <w:szCs w:val="24"/>
          <w:highlight w:val="none"/>
          <w14:textFill>
            <w14:solidFill>
              <w14:schemeClr w14:val="tx1"/>
            </w14:solidFill>
          </w14:textFill>
        </w:rPr>
        <w:t>万元。与</w:t>
      </w:r>
      <w:r>
        <w:rPr>
          <w:rFonts w:ascii="仿宋" w:hAnsi="仿宋" w:eastAsia="仿宋"/>
          <w:color w:val="000000" w:themeColor="text1"/>
          <w:sz w:val="24"/>
          <w:szCs w:val="24"/>
          <w:highlight w:val="none"/>
          <w14:textFill>
            <w14:solidFill>
              <w14:schemeClr w14:val="tx1"/>
            </w14:solidFill>
          </w14:textFill>
        </w:rPr>
        <w:t>20</w:t>
      </w:r>
      <w:r>
        <w:rPr>
          <w:rFonts w:hint="eastAsia" w:ascii="仿宋" w:hAnsi="仿宋" w:eastAsia="仿宋"/>
          <w:color w:val="000000" w:themeColor="text1"/>
          <w:sz w:val="24"/>
          <w:szCs w:val="24"/>
          <w:highlight w:val="none"/>
          <w:lang w:val="en-US" w:eastAsia="zh-CN"/>
          <w14:textFill>
            <w14:solidFill>
              <w14:schemeClr w14:val="tx1"/>
            </w14:solidFill>
          </w14:textFill>
        </w:rPr>
        <w:t>21</w:t>
      </w:r>
      <w:r>
        <w:rPr>
          <w:rFonts w:hint="eastAsia" w:ascii="仿宋" w:hAnsi="仿宋" w:eastAsia="仿宋"/>
          <w:color w:val="000000" w:themeColor="text1"/>
          <w:sz w:val="24"/>
          <w:szCs w:val="24"/>
          <w:highlight w:val="none"/>
          <w14:textFill>
            <w14:solidFill>
              <w14:schemeClr w14:val="tx1"/>
            </w14:solidFill>
          </w14:textFill>
        </w:rPr>
        <w:t>年</w:t>
      </w:r>
      <w:r>
        <w:rPr>
          <w:rFonts w:hint="eastAsia" w:ascii="仿宋" w:hAnsi="仿宋" w:eastAsia="仿宋"/>
          <w:color w:val="000000" w:themeColor="text1"/>
          <w:sz w:val="24"/>
          <w:szCs w:val="24"/>
          <w:highlight w:val="none"/>
          <w:lang w:eastAsia="zh-CN"/>
          <w14:textFill>
            <w14:solidFill>
              <w14:schemeClr w14:val="tx1"/>
            </w14:solidFill>
          </w14:textFill>
        </w:rPr>
        <w:t>（</w:t>
      </w:r>
      <w:r>
        <w:rPr>
          <w:rFonts w:hint="eastAsia" w:ascii="仿宋" w:hAnsi="仿宋" w:eastAsia="仿宋"/>
          <w:color w:val="000000" w:themeColor="text1"/>
          <w:sz w:val="24"/>
          <w:szCs w:val="24"/>
          <w:highlight w:val="none"/>
          <w:lang w:val="en-US" w:eastAsia="zh-CN"/>
          <w14:textFill>
            <w14:solidFill>
              <w14:schemeClr w14:val="tx1"/>
            </w14:solidFill>
          </w14:textFill>
        </w:rPr>
        <w:t>516.55万元</w:t>
      </w:r>
      <w:r>
        <w:rPr>
          <w:rFonts w:hint="eastAsia" w:ascii="仿宋" w:hAnsi="仿宋" w:eastAsia="仿宋"/>
          <w:color w:val="000000" w:themeColor="text1"/>
          <w:sz w:val="24"/>
          <w:szCs w:val="24"/>
          <w:highlight w:val="none"/>
          <w:lang w:eastAsia="zh-CN"/>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相比，财政拨款收、支总计</w:t>
      </w:r>
      <w:r>
        <w:rPr>
          <w:rFonts w:hint="eastAsia" w:ascii="仿宋" w:hAnsi="仿宋" w:eastAsia="仿宋"/>
          <w:color w:val="000000" w:themeColor="text1"/>
          <w:sz w:val="24"/>
          <w:szCs w:val="24"/>
          <w:highlight w:val="none"/>
          <w:lang w:val="en-US" w:eastAsia="zh-CN"/>
          <w14:textFill>
            <w14:solidFill>
              <w14:schemeClr w14:val="tx1"/>
            </w14:solidFill>
          </w14:textFill>
        </w:rPr>
        <w:t>减少了4.81</w:t>
      </w:r>
      <w:r>
        <w:rPr>
          <w:rFonts w:hint="eastAsia" w:ascii="仿宋" w:hAnsi="仿宋" w:eastAsia="仿宋"/>
          <w:color w:val="000000" w:themeColor="text1"/>
          <w:sz w:val="24"/>
          <w:szCs w:val="24"/>
          <w:highlight w:val="none"/>
          <w14:textFill>
            <w14:solidFill>
              <w14:schemeClr w14:val="tx1"/>
            </w14:solidFill>
          </w14:textFill>
        </w:rPr>
        <w:t>万元，下降</w:t>
      </w:r>
      <w:r>
        <w:rPr>
          <w:rFonts w:hint="eastAsia" w:ascii="仿宋" w:hAnsi="仿宋" w:eastAsia="仿宋"/>
          <w:color w:val="000000" w:themeColor="text1"/>
          <w:sz w:val="24"/>
          <w:szCs w:val="24"/>
          <w:highlight w:val="none"/>
          <w:lang w:val="en-US" w:eastAsia="zh-CN"/>
          <w14:textFill>
            <w14:solidFill>
              <w14:schemeClr w14:val="tx1"/>
            </w14:solidFill>
          </w14:textFill>
        </w:rPr>
        <w:t>0.93</w:t>
      </w:r>
      <w:r>
        <w:rPr>
          <w:rFonts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。主要变动原因</w:t>
      </w:r>
      <w:r>
        <w:rPr>
          <w:rStyle w:val="16"/>
          <w:rFonts w:hint="eastAsia" w:ascii="仿宋" w:hAnsi="仿宋" w:eastAsia="仿宋" w:cstheme="minorBidi"/>
          <w:b w:val="0"/>
          <w:bCs/>
          <w:color w:val="000000" w:themeColor="text1"/>
          <w:sz w:val="24"/>
          <w:szCs w:val="24"/>
          <w:highlight w:val="none"/>
          <w:lang w:val="en-US" w:eastAsia="zh-CN"/>
          <w14:textFill>
            <w14:solidFill>
              <w14:schemeClr w14:val="tx1"/>
            </w14:solidFill>
          </w14:textFill>
        </w:rPr>
        <w:t>是幼儿园人数减少，其他收入较上年减少，结转资金较上年减少。</w:t>
      </w:r>
    </w:p>
    <w:p>
      <w:pPr>
        <w:spacing w:line="600" w:lineRule="exact"/>
        <w:ind w:firstLine="640"/>
        <w:rPr>
          <w:rFonts w:ascii="仿宋" w:hAnsi="仿宋" w:eastAsia="仿宋"/>
          <w:color w:val="auto"/>
          <w:sz w:val="32"/>
          <w:szCs w:val="32"/>
          <w:highlight w:val="none"/>
        </w:rPr>
      </w:pPr>
    </w:p>
    <w:p>
      <w:pPr>
        <w:pStyle w:val="5"/>
        <w:ind w:firstLine="960" w:firstLineChars="400"/>
        <w:outlineLvl w:val="2"/>
        <w:rPr>
          <w:rFonts w:ascii="仿宋" w:hAnsi="仿宋" w:eastAsia="仿宋"/>
          <w:b/>
          <w:color w:val="auto"/>
          <w:sz w:val="32"/>
          <w:szCs w:val="32"/>
          <w:highlight w:val="none"/>
        </w:rPr>
      </w:pPr>
      <w:r>
        <w:rPr>
          <w:rFonts w:ascii="仿宋_GB2312" w:eastAsia="仿宋_GB2312"/>
          <w:sz w:val="24"/>
          <w:szCs w:val="24"/>
        </w:rPr>
        <w:drawing>
          <wp:anchor distT="0" distB="0" distL="114300" distR="114300" simplePos="0" relativeHeight="251661312" behindDoc="1" locked="0" layoutInCell="1" allowOverlap="1">
            <wp:simplePos x="0" y="0"/>
            <wp:positionH relativeFrom="column">
              <wp:posOffset>-53340</wp:posOffset>
            </wp:positionH>
            <wp:positionV relativeFrom="paragraph">
              <wp:posOffset>86995</wp:posOffset>
            </wp:positionV>
            <wp:extent cx="5309235" cy="1728470"/>
            <wp:effectExtent l="5080" t="4445" r="6985" b="6985"/>
            <wp:wrapTight wrapText="bothSides">
              <wp:wrapPolygon>
                <wp:start x="-21" y="-56"/>
                <wp:lineTo x="-21" y="21529"/>
                <wp:lineTo x="21577" y="21529"/>
                <wp:lineTo x="21577" y="-56"/>
                <wp:lineTo x="-21" y="-56"/>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auto"/>
          <w:sz w:val="24"/>
          <w:szCs w:val="24"/>
          <w:highlight w:val="none"/>
        </w:rPr>
        <w:t>（图</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：财政拨款收、支决算总计变动情况）（柱状图）</w:t>
      </w:r>
    </w:p>
    <w:p>
      <w:pPr>
        <w:spacing w:line="600" w:lineRule="exact"/>
        <w:ind w:firstLine="640" w:firstLineChars="200"/>
        <w:outlineLvl w:val="1"/>
        <w:rPr>
          <w:rFonts w:hint="eastAsia" w:ascii="黑体" w:hAnsi="黑体" w:eastAsia="黑体"/>
          <w:color w:val="auto"/>
          <w:sz w:val="32"/>
          <w:szCs w:val="32"/>
          <w:highlight w:val="none"/>
        </w:rPr>
      </w:pPr>
      <w:bookmarkStart w:id="30" w:name="_Toc15396607"/>
      <w:bookmarkStart w:id="31" w:name="_Toc15377209"/>
      <w:bookmarkStart w:id="32" w:name="_Toc17246"/>
    </w:p>
    <w:p>
      <w:pPr>
        <w:spacing w:line="600" w:lineRule="exact"/>
        <w:ind w:firstLine="640" w:firstLineChars="200"/>
        <w:outlineLvl w:val="1"/>
        <w:rPr>
          <w:rStyle w:val="27"/>
          <w:rFonts w:ascii="黑体" w:hAnsi="黑体" w:eastAsia="黑体"/>
          <w:b w:val="0"/>
          <w:color w:val="auto"/>
          <w:highlight w:val="none"/>
        </w:rPr>
      </w:pPr>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般公共预算财政拨款支出决算情况说明</w:t>
      </w:r>
      <w:bookmarkEnd w:id="30"/>
      <w:bookmarkEnd w:id="31"/>
      <w:bookmarkEnd w:id="32"/>
    </w:p>
    <w:p>
      <w:pPr>
        <w:spacing w:line="600" w:lineRule="exact"/>
        <w:ind w:firstLine="480" w:firstLineChars="200"/>
        <w:outlineLvl w:val="2"/>
        <w:rPr>
          <w:rFonts w:hint="eastAsia" w:ascii="楷体" w:hAnsi="楷体" w:eastAsia="楷体" w:cs="楷体"/>
          <w:b w:val="0"/>
          <w:bCs/>
          <w:color w:val="auto"/>
          <w:sz w:val="24"/>
          <w:szCs w:val="24"/>
          <w:highlight w:val="none"/>
        </w:rPr>
      </w:pPr>
      <w:bookmarkStart w:id="33" w:name="_Toc15377210"/>
      <w:r>
        <w:rPr>
          <w:rFonts w:hint="eastAsia" w:ascii="楷体" w:hAnsi="楷体" w:eastAsia="楷体" w:cs="楷体"/>
          <w:b w:val="0"/>
          <w:bCs/>
          <w:color w:val="auto"/>
          <w:sz w:val="24"/>
          <w:szCs w:val="24"/>
          <w:highlight w:val="none"/>
        </w:rPr>
        <w:t>（一）一般公共预算财政拨款支出决算总体情况</w:t>
      </w:r>
      <w:bookmarkEnd w:id="33"/>
    </w:p>
    <w:p>
      <w:pPr>
        <w:spacing w:line="600" w:lineRule="exact"/>
        <w:ind w:firstLine="480" w:firstLineChars="200"/>
        <w:rPr>
          <w:rFonts w:hint="default" w:ascii="仿宋" w:hAnsi="仿宋" w:eastAsia="仿宋"/>
          <w:color w:val="000000" w:themeColor="text1"/>
          <w:sz w:val="24"/>
          <w:szCs w:val="24"/>
          <w:highlight w:val="none"/>
          <w:lang w:val="en-US" w:eastAsia="zh-CN"/>
          <w14:textFill>
            <w14:solidFill>
              <w14:schemeClr w14:val="tx1"/>
            </w14:solidFill>
          </w14:textFill>
        </w:rPr>
      </w:pPr>
      <w:r>
        <w:rPr>
          <w:rFonts w:ascii="仿宋" w:hAnsi="仿宋" w:eastAsia="仿宋"/>
          <w:color w:val="auto"/>
          <w:sz w:val="24"/>
          <w:szCs w:val="24"/>
          <w:highlight w:val="none"/>
        </w:rPr>
        <w:t>20</w:t>
      </w:r>
      <w:r>
        <w:rPr>
          <w:rFonts w:hint="eastAsia" w:ascii="仿宋" w:hAnsi="仿宋" w:eastAsia="仿宋"/>
          <w:color w:val="auto"/>
          <w:sz w:val="24"/>
          <w:szCs w:val="24"/>
          <w:highlight w:val="none"/>
          <w:lang w:val="en-US" w:eastAsia="zh-CN"/>
        </w:rPr>
        <w:t>22</w:t>
      </w:r>
      <w:r>
        <w:rPr>
          <w:rFonts w:hint="eastAsia" w:ascii="仿宋" w:hAnsi="仿宋" w:eastAsia="仿宋"/>
          <w:color w:val="auto"/>
          <w:sz w:val="24"/>
          <w:szCs w:val="24"/>
          <w:highlight w:val="none"/>
        </w:rPr>
        <w:t>年一般公共预算财政拨款支出</w:t>
      </w:r>
      <w:r>
        <w:rPr>
          <w:rFonts w:hint="eastAsia" w:ascii="仿宋" w:hAnsi="仿宋" w:eastAsia="仿宋"/>
          <w:color w:val="auto"/>
          <w:sz w:val="24"/>
          <w:szCs w:val="24"/>
          <w:highlight w:val="none"/>
          <w:lang w:val="en-US" w:eastAsia="zh-CN"/>
        </w:rPr>
        <w:t>470.02</w:t>
      </w:r>
      <w:r>
        <w:rPr>
          <w:rFonts w:hint="eastAsia" w:ascii="仿宋" w:hAnsi="仿宋" w:eastAsia="仿宋"/>
          <w:color w:val="auto"/>
          <w:sz w:val="24"/>
          <w:szCs w:val="24"/>
          <w:highlight w:val="none"/>
        </w:rPr>
        <w:t>万元，占本年支出合计的</w:t>
      </w:r>
      <w:r>
        <w:rPr>
          <w:rFonts w:hint="eastAsia" w:ascii="仿宋" w:hAnsi="仿宋" w:eastAsia="仿宋"/>
          <w:color w:val="auto"/>
          <w:sz w:val="24"/>
          <w:szCs w:val="24"/>
          <w:highlight w:val="none"/>
          <w:lang w:val="en-US" w:eastAsia="zh-CN"/>
        </w:rPr>
        <w:t>91.84</w:t>
      </w:r>
      <w:r>
        <w:rPr>
          <w:rFonts w:ascii="仿宋" w:hAnsi="仿宋" w:eastAsia="仿宋"/>
          <w:color w:val="auto"/>
          <w:sz w:val="24"/>
          <w:szCs w:val="24"/>
          <w:highlight w:val="none"/>
        </w:rPr>
        <w:t>%</w:t>
      </w:r>
      <w:r>
        <w:rPr>
          <w:rFonts w:hint="eastAsia" w:ascii="仿宋" w:hAnsi="仿宋" w:eastAsia="仿宋"/>
          <w:color w:val="auto"/>
          <w:sz w:val="24"/>
          <w:szCs w:val="24"/>
          <w:highlight w:val="none"/>
        </w:rPr>
        <w:t>。与</w:t>
      </w:r>
      <w:r>
        <w:rPr>
          <w:rFonts w:ascii="仿宋" w:hAnsi="仿宋" w:eastAsia="仿宋"/>
          <w:color w:val="auto"/>
          <w:sz w:val="24"/>
          <w:szCs w:val="24"/>
          <w:highlight w:val="none"/>
        </w:rPr>
        <w:t>20</w:t>
      </w:r>
      <w:r>
        <w:rPr>
          <w:rFonts w:hint="eastAsia" w:ascii="仿宋" w:hAnsi="仿宋" w:eastAsia="仿宋"/>
          <w:color w:val="auto"/>
          <w:sz w:val="24"/>
          <w:szCs w:val="24"/>
          <w:highlight w:val="none"/>
          <w:lang w:val="en-US" w:eastAsia="zh-CN"/>
        </w:rPr>
        <w:t>21</w:t>
      </w:r>
      <w:r>
        <w:rPr>
          <w:rFonts w:hint="eastAsia" w:ascii="仿宋" w:hAnsi="仿宋" w:eastAsia="仿宋"/>
          <w:color w:val="auto"/>
          <w:sz w:val="24"/>
          <w:szCs w:val="24"/>
          <w:highlight w:val="none"/>
        </w:rPr>
        <w:t>年相比，一般公共预算财政拨款</w:t>
      </w:r>
      <w:r>
        <w:rPr>
          <w:rFonts w:hint="eastAsia" w:ascii="仿宋" w:hAnsi="仿宋" w:eastAsia="仿宋"/>
          <w:color w:val="auto"/>
          <w:sz w:val="24"/>
          <w:szCs w:val="24"/>
          <w:highlight w:val="none"/>
          <w:lang w:eastAsia="zh-CN"/>
        </w:rPr>
        <w:t>支出</w:t>
      </w:r>
      <w:r>
        <w:rPr>
          <w:rFonts w:hint="eastAsia" w:ascii="仿宋" w:hAnsi="仿宋" w:eastAsia="仿宋"/>
          <w:color w:val="auto"/>
          <w:sz w:val="24"/>
          <w:szCs w:val="24"/>
          <w:highlight w:val="none"/>
        </w:rPr>
        <w:t>增加</w:t>
      </w:r>
      <w:r>
        <w:rPr>
          <w:rFonts w:hint="eastAsia" w:ascii="仿宋" w:hAnsi="仿宋" w:eastAsia="仿宋"/>
          <w:color w:val="auto"/>
          <w:sz w:val="24"/>
          <w:szCs w:val="24"/>
          <w:highlight w:val="none"/>
          <w:lang w:val="en-US" w:eastAsia="zh-CN"/>
        </w:rPr>
        <w:t>6.53</w:t>
      </w:r>
      <w:r>
        <w:rPr>
          <w:rFonts w:hint="eastAsia" w:ascii="仿宋" w:hAnsi="仿宋" w:eastAsia="仿宋"/>
          <w:color w:val="auto"/>
          <w:sz w:val="24"/>
          <w:szCs w:val="24"/>
          <w:highlight w:val="none"/>
        </w:rPr>
        <w:t>万元，增长</w:t>
      </w:r>
      <w:r>
        <w:rPr>
          <w:rFonts w:hint="eastAsia" w:ascii="仿宋" w:hAnsi="仿宋" w:eastAsia="仿宋"/>
          <w:color w:val="auto"/>
          <w:sz w:val="24"/>
          <w:szCs w:val="24"/>
          <w:highlight w:val="none"/>
          <w:lang w:val="en-US" w:eastAsia="zh-CN"/>
        </w:rPr>
        <w:t>1.41</w:t>
      </w:r>
      <w:r>
        <w:rPr>
          <w:rFonts w:ascii="仿宋" w:hAnsi="仿宋" w:eastAsia="仿宋"/>
          <w:color w:val="auto"/>
          <w:sz w:val="24"/>
          <w:szCs w:val="24"/>
          <w:highlight w:val="none"/>
        </w:rPr>
        <w:t>%</w:t>
      </w:r>
      <w:r>
        <w:rPr>
          <w:rFonts w:hint="eastAsia" w:ascii="仿宋" w:hAnsi="仿宋" w:eastAsia="仿宋"/>
          <w:color w:val="auto"/>
          <w:sz w:val="24"/>
          <w:szCs w:val="24"/>
          <w:highlight w:val="none"/>
        </w:rPr>
        <w:t>。主要变动原因是</w:t>
      </w:r>
      <w:r>
        <w:rPr>
          <w:rFonts w:hint="eastAsia" w:ascii="仿宋" w:hAnsi="仿宋" w:eastAsia="仿宋"/>
          <w:color w:val="auto"/>
          <w:sz w:val="24"/>
          <w:szCs w:val="24"/>
          <w:highlight w:val="none"/>
          <w:lang w:val="en-US" w:eastAsia="zh-CN"/>
        </w:rPr>
        <w:t>人员经费增加.</w:t>
      </w:r>
    </w:p>
    <w:p>
      <w:pPr>
        <w:spacing w:line="600" w:lineRule="exact"/>
        <w:outlineLvl w:val="2"/>
        <w:rPr>
          <w:rFonts w:hint="eastAsia" w:ascii="仿宋" w:hAnsi="仿宋" w:eastAsia="仿宋"/>
          <w:color w:val="auto"/>
          <w:sz w:val="32"/>
          <w:szCs w:val="32"/>
          <w:highlight w:val="none"/>
        </w:rPr>
      </w:pPr>
      <w:r>
        <w:rPr>
          <w:rFonts w:ascii="仿宋_GB2312" w:eastAsia="仿宋_GB2312"/>
          <w:sz w:val="32"/>
          <w:szCs w:val="32"/>
        </w:rPr>
        <w:drawing>
          <wp:anchor distT="0" distB="0" distL="114300" distR="114300" simplePos="0" relativeHeight="251662336" behindDoc="1" locked="0" layoutInCell="1" allowOverlap="1">
            <wp:simplePos x="0" y="0"/>
            <wp:positionH relativeFrom="column">
              <wp:posOffset>285750</wp:posOffset>
            </wp:positionH>
            <wp:positionV relativeFrom="paragraph">
              <wp:posOffset>132080</wp:posOffset>
            </wp:positionV>
            <wp:extent cx="5062855" cy="1781175"/>
            <wp:effectExtent l="4445" t="4445" r="12700" b="5080"/>
            <wp:wrapTight wrapText="bothSides">
              <wp:wrapPolygon>
                <wp:start x="-19" y="-54"/>
                <wp:lineTo x="-19" y="21431"/>
                <wp:lineTo x="21519" y="21431"/>
                <wp:lineTo x="21519" y="-54"/>
                <wp:lineTo x="-19" y="-54"/>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outlineLvl w:val="2"/>
        <w:rPr>
          <w:rFonts w:hint="eastAsia" w:ascii="仿宋" w:hAnsi="仿宋" w:eastAsia="仿宋"/>
          <w:color w:val="auto"/>
          <w:sz w:val="32"/>
          <w:szCs w:val="32"/>
          <w:highlight w:val="none"/>
        </w:rPr>
      </w:pPr>
    </w:p>
    <w:p>
      <w:pPr>
        <w:spacing w:line="600" w:lineRule="exact"/>
        <w:ind w:firstLine="960" w:firstLineChars="400"/>
        <w:outlineLvl w:val="2"/>
        <w:rPr>
          <w:rFonts w:ascii="仿宋" w:hAnsi="仿宋" w:eastAsia="仿宋"/>
          <w:color w:val="auto"/>
          <w:sz w:val="24"/>
          <w:szCs w:val="24"/>
          <w:highlight w:val="none"/>
        </w:rPr>
      </w:pPr>
      <w:r>
        <w:rPr>
          <w:rFonts w:hint="eastAsia" w:ascii="仿宋" w:hAnsi="仿宋" w:eastAsia="仿宋"/>
          <w:color w:val="auto"/>
          <w:sz w:val="24"/>
          <w:szCs w:val="24"/>
          <w:highlight w:val="none"/>
        </w:rPr>
        <w:t>（图</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：一般公共预算财政拨款支出决算变动情况）（柱状图）</w:t>
      </w:r>
    </w:p>
    <w:p>
      <w:pPr>
        <w:spacing w:line="600" w:lineRule="exact"/>
        <w:ind w:firstLine="640" w:firstLineChars="200"/>
        <w:outlineLvl w:val="2"/>
        <w:rPr>
          <w:rFonts w:hint="eastAsia" w:ascii="楷体" w:hAnsi="楷体" w:eastAsia="楷体" w:cs="楷体"/>
          <w:b w:val="0"/>
          <w:bCs/>
          <w:color w:val="auto"/>
          <w:sz w:val="32"/>
          <w:szCs w:val="32"/>
          <w:highlight w:val="none"/>
        </w:rPr>
      </w:pPr>
      <w:bookmarkStart w:id="34" w:name="_Toc15377211"/>
      <w:r>
        <w:rPr>
          <w:rFonts w:hint="eastAsia" w:ascii="楷体" w:hAnsi="楷体" w:eastAsia="楷体" w:cs="楷体"/>
          <w:b w:val="0"/>
          <w:bCs/>
          <w:color w:val="auto"/>
          <w:sz w:val="32"/>
          <w:szCs w:val="32"/>
          <w:highlight w:val="none"/>
        </w:rPr>
        <w:t>（二）一般公共预算财政拨款支出决算结构情况</w:t>
      </w:r>
      <w:bookmarkEnd w:id="34"/>
    </w:p>
    <w:p>
      <w:pPr>
        <w:spacing w:line="600" w:lineRule="exact"/>
        <w:ind w:firstLine="640"/>
        <w:rPr>
          <w:rFonts w:hint="eastAsia" w:ascii="仿宋" w:hAnsi="仿宋" w:eastAsia="仿宋"/>
          <w:b/>
          <w:color w:val="auto"/>
          <w:sz w:val="24"/>
          <w:szCs w:val="24"/>
          <w:highlight w:val="none"/>
        </w:rPr>
      </w:pPr>
      <w:r>
        <w:rPr>
          <w:rFonts w:ascii="仿宋" w:hAnsi="仿宋" w:eastAsia="仿宋"/>
          <w:color w:val="auto"/>
          <w:sz w:val="24"/>
          <w:szCs w:val="24"/>
          <w:highlight w:val="none"/>
        </w:rPr>
        <w:t>20</w:t>
      </w:r>
      <w:r>
        <w:rPr>
          <w:rFonts w:hint="eastAsia" w:ascii="仿宋" w:hAnsi="仿宋" w:eastAsia="仿宋"/>
          <w:color w:val="auto"/>
          <w:sz w:val="24"/>
          <w:szCs w:val="24"/>
          <w:highlight w:val="none"/>
          <w:lang w:val="en-US" w:eastAsia="zh-CN"/>
        </w:rPr>
        <w:t>22</w:t>
      </w:r>
      <w:r>
        <w:rPr>
          <w:rFonts w:hint="eastAsia" w:ascii="仿宋" w:hAnsi="仿宋" w:eastAsia="仿宋"/>
          <w:color w:val="auto"/>
          <w:sz w:val="24"/>
          <w:szCs w:val="24"/>
          <w:highlight w:val="none"/>
        </w:rPr>
        <w:t>年一般公共预算财政拨款支出</w:t>
      </w:r>
      <w:r>
        <w:rPr>
          <w:rFonts w:hint="eastAsia" w:ascii="仿宋" w:hAnsi="仿宋" w:eastAsia="仿宋"/>
          <w:color w:val="auto"/>
          <w:sz w:val="24"/>
          <w:szCs w:val="24"/>
          <w:highlight w:val="none"/>
          <w:lang w:val="en-US" w:eastAsia="zh-CN"/>
        </w:rPr>
        <w:t>470.02</w:t>
      </w:r>
      <w:r>
        <w:rPr>
          <w:rFonts w:hint="eastAsia" w:ascii="仿宋" w:hAnsi="仿宋" w:eastAsia="仿宋"/>
          <w:color w:val="auto"/>
          <w:sz w:val="24"/>
          <w:szCs w:val="24"/>
          <w:highlight w:val="none"/>
        </w:rPr>
        <w:t>万元，主要用于以下方面</w:t>
      </w:r>
      <w:r>
        <w:rPr>
          <w:rFonts w:ascii="仿宋" w:hAnsi="仿宋" w:eastAsia="仿宋"/>
          <w:color w:val="auto"/>
          <w:sz w:val="24"/>
          <w:szCs w:val="24"/>
          <w:highlight w:val="none"/>
        </w:rPr>
        <w:t>:</w:t>
      </w:r>
      <w:r>
        <w:rPr>
          <w:rFonts w:hint="eastAsia" w:ascii="仿宋" w:hAnsi="仿宋" w:eastAsia="仿宋"/>
          <w:b/>
          <w:color w:val="auto"/>
          <w:sz w:val="24"/>
          <w:szCs w:val="24"/>
          <w:highlight w:val="none"/>
        </w:rPr>
        <w:t>教育支出</w:t>
      </w:r>
      <w:r>
        <w:rPr>
          <w:rFonts w:hint="eastAsia" w:ascii="仿宋" w:hAnsi="仿宋" w:eastAsia="仿宋"/>
          <w:color w:val="auto"/>
          <w:sz w:val="24"/>
          <w:szCs w:val="24"/>
          <w:highlight w:val="none"/>
          <w:lang w:val="en-US" w:eastAsia="zh-CN"/>
        </w:rPr>
        <w:t>451.65</w:t>
      </w:r>
      <w:r>
        <w:rPr>
          <w:rFonts w:hint="eastAsia" w:ascii="仿宋" w:hAnsi="仿宋" w:eastAsia="仿宋"/>
          <w:color w:val="auto"/>
          <w:sz w:val="24"/>
          <w:szCs w:val="24"/>
          <w:highlight w:val="none"/>
        </w:rPr>
        <w:t>万元，占</w:t>
      </w:r>
      <w:r>
        <w:rPr>
          <w:rFonts w:hint="eastAsia" w:ascii="仿宋" w:hAnsi="仿宋" w:eastAsia="仿宋"/>
          <w:color w:val="auto"/>
          <w:sz w:val="24"/>
          <w:szCs w:val="24"/>
          <w:highlight w:val="none"/>
          <w:lang w:val="en-US" w:eastAsia="zh-CN"/>
        </w:rPr>
        <w:t>96.09</w:t>
      </w:r>
      <w:r>
        <w:rPr>
          <w:rFonts w:ascii="仿宋" w:hAnsi="仿宋" w:eastAsia="仿宋"/>
          <w:color w:val="auto"/>
          <w:sz w:val="24"/>
          <w:szCs w:val="24"/>
          <w:highlight w:val="none"/>
        </w:rPr>
        <w:t>%</w:t>
      </w:r>
      <w:r>
        <w:rPr>
          <w:rFonts w:hint="eastAsia" w:ascii="仿宋" w:hAnsi="仿宋" w:eastAsia="仿宋"/>
          <w:color w:val="auto"/>
          <w:sz w:val="24"/>
          <w:szCs w:val="24"/>
          <w:highlight w:val="none"/>
        </w:rPr>
        <w:t>；</w:t>
      </w:r>
      <w:r>
        <w:rPr>
          <w:rFonts w:hint="eastAsia" w:ascii="仿宋" w:hAnsi="仿宋" w:eastAsia="仿宋"/>
          <w:b/>
          <w:color w:val="auto"/>
          <w:sz w:val="24"/>
          <w:szCs w:val="24"/>
          <w:highlight w:val="none"/>
        </w:rPr>
        <w:t>社会保障和就业</w:t>
      </w:r>
      <w:r>
        <w:rPr>
          <w:rFonts w:hint="eastAsia" w:ascii="仿宋" w:hAnsi="仿宋" w:eastAsia="仿宋"/>
          <w:b/>
          <w:bCs/>
          <w:color w:val="auto"/>
          <w:sz w:val="24"/>
          <w:szCs w:val="24"/>
          <w:highlight w:val="none"/>
        </w:rPr>
        <w:t>支出</w:t>
      </w:r>
      <w:r>
        <w:rPr>
          <w:rFonts w:hint="eastAsia" w:ascii="仿宋" w:hAnsi="仿宋" w:eastAsia="仿宋"/>
          <w:color w:val="auto"/>
          <w:sz w:val="24"/>
          <w:szCs w:val="24"/>
          <w:highlight w:val="none"/>
          <w:lang w:val="en-US" w:eastAsia="zh-CN"/>
        </w:rPr>
        <w:t>26.66</w:t>
      </w:r>
      <w:r>
        <w:rPr>
          <w:rFonts w:hint="eastAsia" w:ascii="仿宋" w:hAnsi="仿宋" w:eastAsia="仿宋"/>
          <w:color w:val="auto"/>
          <w:sz w:val="24"/>
          <w:szCs w:val="24"/>
          <w:highlight w:val="none"/>
        </w:rPr>
        <w:t>万元，占</w:t>
      </w:r>
      <w:r>
        <w:rPr>
          <w:rFonts w:hint="eastAsia" w:ascii="仿宋" w:hAnsi="仿宋" w:eastAsia="仿宋"/>
          <w:color w:val="auto"/>
          <w:sz w:val="24"/>
          <w:szCs w:val="24"/>
          <w:highlight w:val="none"/>
          <w:lang w:val="en-US" w:eastAsia="zh-CN"/>
        </w:rPr>
        <w:t>5.67</w:t>
      </w:r>
      <w:r>
        <w:rPr>
          <w:rFonts w:ascii="仿宋" w:hAnsi="仿宋" w:eastAsia="仿宋"/>
          <w:color w:val="auto"/>
          <w:sz w:val="24"/>
          <w:szCs w:val="24"/>
          <w:highlight w:val="none"/>
        </w:rPr>
        <w:t>%</w:t>
      </w:r>
      <w:r>
        <w:rPr>
          <w:rFonts w:hint="eastAsia" w:ascii="仿宋" w:hAnsi="仿宋" w:eastAsia="仿宋"/>
          <w:color w:val="auto"/>
          <w:sz w:val="24"/>
          <w:szCs w:val="24"/>
          <w:highlight w:val="none"/>
        </w:rPr>
        <w:t>；</w:t>
      </w:r>
      <w:r>
        <w:rPr>
          <w:rFonts w:hint="eastAsia" w:ascii="仿宋" w:hAnsi="仿宋" w:eastAsia="仿宋"/>
          <w:b/>
          <w:bCs/>
          <w:color w:val="auto"/>
          <w:sz w:val="24"/>
          <w:szCs w:val="24"/>
          <w:highlight w:val="none"/>
        </w:rPr>
        <w:t>卫生健康支出</w:t>
      </w:r>
      <w:r>
        <w:rPr>
          <w:rFonts w:hint="eastAsia" w:ascii="仿宋" w:hAnsi="仿宋" w:eastAsia="仿宋"/>
          <w:color w:val="auto"/>
          <w:sz w:val="24"/>
          <w:szCs w:val="24"/>
          <w:highlight w:val="none"/>
          <w:lang w:val="en-US" w:eastAsia="zh-CN"/>
        </w:rPr>
        <w:t>12.72</w:t>
      </w:r>
      <w:r>
        <w:rPr>
          <w:rFonts w:hint="eastAsia" w:ascii="仿宋" w:hAnsi="仿宋" w:eastAsia="仿宋"/>
          <w:color w:val="auto"/>
          <w:sz w:val="24"/>
          <w:szCs w:val="24"/>
          <w:highlight w:val="none"/>
        </w:rPr>
        <w:t>万元，占</w:t>
      </w:r>
      <w:r>
        <w:rPr>
          <w:rFonts w:hint="eastAsia" w:ascii="仿宋" w:hAnsi="仿宋" w:eastAsia="仿宋"/>
          <w:color w:val="auto"/>
          <w:sz w:val="24"/>
          <w:szCs w:val="24"/>
          <w:highlight w:val="none"/>
          <w:lang w:val="en-US" w:eastAsia="zh-CN"/>
        </w:rPr>
        <w:t>2.71</w:t>
      </w:r>
      <w:r>
        <w:rPr>
          <w:rFonts w:ascii="仿宋" w:hAnsi="仿宋" w:eastAsia="仿宋"/>
          <w:color w:val="auto"/>
          <w:sz w:val="24"/>
          <w:szCs w:val="24"/>
          <w:highlight w:val="none"/>
        </w:rPr>
        <w:t>%</w:t>
      </w:r>
      <w:r>
        <w:rPr>
          <w:rFonts w:hint="eastAsia" w:ascii="仿宋" w:hAnsi="仿宋" w:eastAsia="仿宋"/>
          <w:color w:val="auto"/>
          <w:sz w:val="24"/>
          <w:szCs w:val="24"/>
          <w:highlight w:val="none"/>
        </w:rPr>
        <w:t>；</w:t>
      </w:r>
      <w:r>
        <w:rPr>
          <w:rFonts w:hint="eastAsia" w:ascii="仿宋" w:hAnsi="仿宋" w:eastAsia="仿宋"/>
          <w:b/>
          <w:bCs/>
          <w:color w:val="auto"/>
          <w:sz w:val="24"/>
          <w:szCs w:val="24"/>
          <w:highlight w:val="none"/>
        </w:rPr>
        <w:t>住房保障支出</w:t>
      </w:r>
      <w:r>
        <w:rPr>
          <w:rFonts w:hint="eastAsia" w:ascii="仿宋" w:hAnsi="仿宋" w:eastAsia="仿宋"/>
          <w:color w:val="auto"/>
          <w:sz w:val="24"/>
          <w:szCs w:val="24"/>
          <w:highlight w:val="none"/>
          <w:lang w:val="en-US" w:eastAsia="zh-CN"/>
        </w:rPr>
        <w:t>19.09</w:t>
      </w:r>
      <w:r>
        <w:rPr>
          <w:rFonts w:hint="eastAsia" w:ascii="仿宋" w:hAnsi="仿宋" w:eastAsia="仿宋"/>
          <w:color w:val="auto"/>
          <w:sz w:val="24"/>
          <w:szCs w:val="24"/>
          <w:highlight w:val="none"/>
        </w:rPr>
        <w:t>万元，占</w:t>
      </w:r>
      <w:r>
        <w:rPr>
          <w:rFonts w:hint="eastAsia" w:ascii="仿宋" w:hAnsi="仿宋" w:eastAsia="仿宋"/>
          <w:color w:val="auto"/>
          <w:sz w:val="24"/>
          <w:szCs w:val="24"/>
          <w:highlight w:val="none"/>
          <w:lang w:val="en-US" w:eastAsia="zh-CN"/>
        </w:rPr>
        <w:t>4.06</w:t>
      </w:r>
      <w:r>
        <w:rPr>
          <w:rFonts w:ascii="仿宋" w:hAnsi="仿宋" w:eastAsia="仿宋"/>
          <w:color w:val="auto"/>
          <w:sz w:val="24"/>
          <w:szCs w:val="24"/>
          <w:highlight w:val="none"/>
        </w:rPr>
        <w:t>%</w:t>
      </w:r>
      <w:r>
        <w:rPr>
          <w:rFonts w:hint="eastAsia" w:ascii="仿宋" w:hAnsi="仿宋" w:eastAsia="仿宋"/>
          <w:color w:val="auto"/>
          <w:sz w:val="24"/>
          <w:szCs w:val="24"/>
          <w:highlight w:val="none"/>
        </w:rPr>
        <w:t>。</w:t>
      </w:r>
    </w:p>
    <w:p>
      <w:pPr>
        <w:spacing w:line="600" w:lineRule="exact"/>
        <w:ind w:firstLine="640" w:firstLineChars="200"/>
        <w:outlineLvl w:val="2"/>
        <w:rPr>
          <w:rFonts w:hint="eastAsia" w:ascii="仿宋" w:hAnsi="仿宋" w:eastAsia="仿宋"/>
          <w:color w:val="auto"/>
          <w:sz w:val="32"/>
          <w:szCs w:val="32"/>
          <w:highlight w:val="none"/>
        </w:rPr>
      </w:pPr>
      <w:r>
        <w:rPr>
          <w:rFonts w:ascii="仿宋_GB2312" w:eastAsia="仿宋_GB2312"/>
          <w:sz w:val="32"/>
          <w:szCs w:val="32"/>
        </w:rPr>
        <w:drawing>
          <wp:anchor distT="0" distB="0" distL="114300" distR="114300" simplePos="0" relativeHeight="251663360" behindDoc="0" locked="0" layoutInCell="1" allowOverlap="1">
            <wp:simplePos x="0" y="0"/>
            <wp:positionH relativeFrom="column">
              <wp:posOffset>596265</wp:posOffset>
            </wp:positionH>
            <wp:positionV relativeFrom="paragraph">
              <wp:posOffset>142240</wp:posOffset>
            </wp:positionV>
            <wp:extent cx="5060315" cy="1724660"/>
            <wp:effectExtent l="5080" t="4445" r="14605" b="1079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firstLineChars="200"/>
        <w:outlineLvl w:val="2"/>
        <w:rPr>
          <w:rFonts w:hint="eastAsia" w:ascii="仿宋" w:hAnsi="仿宋" w:eastAsia="仿宋"/>
          <w:color w:val="auto"/>
          <w:sz w:val="32"/>
          <w:szCs w:val="32"/>
          <w:highlight w:val="none"/>
        </w:rPr>
      </w:pPr>
    </w:p>
    <w:p>
      <w:pPr>
        <w:spacing w:line="600" w:lineRule="exact"/>
        <w:ind w:firstLine="640" w:firstLineChars="200"/>
        <w:outlineLvl w:val="2"/>
        <w:rPr>
          <w:rFonts w:hint="eastAsia" w:ascii="仿宋" w:hAnsi="仿宋" w:eastAsia="仿宋"/>
          <w:color w:val="auto"/>
          <w:sz w:val="32"/>
          <w:szCs w:val="32"/>
          <w:highlight w:val="none"/>
        </w:rPr>
      </w:pPr>
    </w:p>
    <w:p>
      <w:pPr>
        <w:spacing w:line="600" w:lineRule="exact"/>
        <w:ind w:firstLine="640" w:firstLineChars="200"/>
        <w:outlineLvl w:val="2"/>
        <w:rPr>
          <w:rFonts w:hint="eastAsia" w:ascii="仿宋" w:hAnsi="仿宋" w:eastAsia="仿宋"/>
          <w:color w:val="auto"/>
          <w:sz w:val="32"/>
          <w:szCs w:val="32"/>
          <w:highlight w:val="none"/>
        </w:rPr>
      </w:pPr>
    </w:p>
    <w:p>
      <w:pPr>
        <w:spacing w:line="600" w:lineRule="exact"/>
        <w:ind w:firstLine="640" w:firstLineChars="200"/>
        <w:outlineLvl w:val="2"/>
        <w:rPr>
          <w:rFonts w:hint="eastAsia" w:ascii="仿宋" w:hAnsi="仿宋" w:eastAsia="仿宋"/>
          <w:color w:val="auto"/>
          <w:sz w:val="32"/>
          <w:szCs w:val="32"/>
          <w:highlight w:val="none"/>
        </w:rPr>
      </w:pPr>
    </w:p>
    <w:p>
      <w:pPr>
        <w:spacing w:line="600" w:lineRule="exact"/>
        <w:ind w:firstLine="1680" w:firstLineChars="700"/>
        <w:outlineLvl w:val="2"/>
        <w:rPr>
          <w:rFonts w:ascii="仿宋" w:hAnsi="仿宋" w:eastAsia="仿宋"/>
          <w:color w:val="auto"/>
          <w:sz w:val="24"/>
          <w:szCs w:val="24"/>
          <w:highlight w:val="none"/>
        </w:rPr>
      </w:pPr>
      <w:r>
        <w:rPr>
          <w:rFonts w:hint="eastAsia" w:ascii="仿宋" w:hAnsi="仿宋" w:eastAsia="仿宋"/>
          <w:color w:val="auto"/>
          <w:sz w:val="24"/>
          <w:szCs w:val="24"/>
          <w:highlight w:val="none"/>
        </w:rPr>
        <w:t>（图</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：一般公共预算财政拨款支出决算结构）（饼状图）</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outlineLvl w:val="2"/>
        <w:rPr>
          <w:rFonts w:hint="eastAsia" w:ascii="楷体" w:hAnsi="楷体" w:eastAsia="楷体" w:cs="楷体"/>
          <w:b w:val="0"/>
          <w:bCs/>
          <w:color w:val="auto"/>
          <w:sz w:val="32"/>
          <w:szCs w:val="32"/>
          <w:highlight w:val="none"/>
        </w:rPr>
      </w:pPr>
      <w:bookmarkStart w:id="35" w:name="_Toc15377212"/>
      <w:r>
        <w:rPr>
          <w:rFonts w:hint="eastAsia" w:ascii="楷体" w:hAnsi="楷体" w:eastAsia="楷体" w:cs="楷体"/>
          <w:b w:val="0"/>
          <w:bCs/>
          <w:color w:val="auto"/>
          <w:sz w:val="32"/>
          <w:szCs w:val="32"/>
          <w:highlight w:val="none"/>
        </w:rPr>
        <w:t>（三）一般公共预算财政拨款支出决算具体情况</w:t>
      </w:r>
      <w:bookmarkEnd w:id="35"/>
    </w:p>
    <w:p>
      <w:pPr>
        <w:spacing w:line="600" w:lineRule="exact"/>
        <w:ind w:firstLine="482" w:firstLineChars="200"/>
        <w:outlineLvl w:val="2"/>
        <w:rPr>
          <w:rFonts w:ascii="仿宋" w:hAnsi="仿宋" w:eastAsia="仿宋"/>
          <w:color w:val="auto"/>
          <w:sz w:val="24"/>
          <w:szCs w:val="24"/>
          <w:highlight w:val="none"/>
        </w:rPr>
      </w:pPr>
      <w:bookmarkStart w:id="36" w:name="_Toc15377444"/>
      <w:bookmarkStart w:id="37" w:name="_Toc15377213"/>
      <w:bookmarkStart w:id="38" w:name="_Toc15378460"/>
      <w:r>
        <w:rPr>
          <w:rFonts w:hint="eastAsia" w:ascii="仿宋" w:hAnsi="仿宋" w:eastAsia="仿宋"/>
          <w:b/>
          <w:color w:val="auto"/>
          <w:sz w:val="24"/>
          <w:szCs w:val="24"/>
          <w:highlight w:val="none"/>
        </w:rPr>
        <w:t>20</w:t>
      </w:r>
      <w:r>
        <w:rPr>
          <w:rFonts w:hint="eastAsia" w:ascii="仿宋" w:hAnsi="仿宋" w:eastAsia="仿宋"/>
          <w:b/>
          <w:color w:val="auto"/>
          <w:sz w:val="24"/>
          <w:szCs w:val="24"/>
          <w:highlight w:val="none"/>
          <w:lang w:val="en-US" w:eastAsia="zh-CN"/>
        </w:rPr>
        <w:t>22</w:t>
      </w:r>
      <w:r>
        <w:rPr>
          <w:rFonts w:hint="eastAsia" w:ascii="仿宋" w:hAnsi="仿宋" w:eastAsia="仿宋"/>
          <w:b/>
          <w:color w:val="auto"/>
          <w:sz w:val="24"/>
          <w:szCs w:val="24"/>
          <w:highlight w:val="none"/>
        </w:rPr>
        <w:t>年</w:t>
      </w:r>
      <w:r>
        <w:rPr>
          <w:rFonts w:hint="eastAsia" w:ascii="仿宋" w:hAnsi="仿宋" w:eastAsia="仿宋"/>
          <w:b/>
          <w:color w:val="auto"/>
          <w:sz w:val="24"/>
          <w:szCs w:val="24"/>
          <w:highlight w:val="none"/>
          <w:lang w:eastAsia="zh-CN"/>
        </w:rPr>
        <w:t>一</w:t>
      </w:r>
      <w:r>
        <w:rPr>
          <w:rFonts w:hint="eastAsia" w:ascii="仿宋" w:hAnsi="仿宋" w:eastAsia="仿宋"/>
          <w:b/>
          <w:color w:val="auto"/>
          <w:sz w:val="24"/>
          <w:szCs w:val="24"/>
          <w:highlight w:val="none"/>
        </w:rPr>
        <w:t>般公共预算支出决算数为</w:t>
      </w:r>
      <w:r>
        <w:rPr>
          <w:rFonts w:hint="eastAsia" w:ascii="仿宋" w:hAnsi="仿宋" w:eastAsia="仿宋"/>
          <w:b/>
          <w:color w:val="auto"/>
          <w:sz w:val="24"/>
          <w:szCs w:val="24"/>
          <w:highlight w:val="none"/>
          <w:lang w:val="en-US" w:eastAsia="zh-CN"/>
        </w:rPr>
        <w:t>470.02</w:t>
      </w:r>
      <w:r>
        <w:rPr>
          <w:rFonts w:hint="eastAsia" w:ascii="仿宋" w:hAnsi="仿宋" w:eastAsia="仿宋"/>
          <w:color w:val="auto"/>
          <w:sz w:val="24"/>
          <w:szCs w:val="24"/>
          <w:highlight w:val="none"/>
        </w:rPr>
        <w:t>，</w:t>
      </w:r>
      <w:r>
        <w:rPr>
          <w:rStyle w:val="16"/>
          <w:rFonts w:hint="eastAsia" w:ascii="仿宋" w:hAnsi="仿宋" w:eastAsia="仿宋"/>
          <w:bCs/>
          <w:color w:val="auto"/>
          <w:sz w:val="24"/>
          <w:szCs w:val="24"/>
          <w:highlight w:val="none"/>
        </w:rPr>
        <w:t>完成预算</w:t>
      </w:r>
      <w:r>
        <w:rPr>
          <w:rStyle w:val="16"/>
          <w:rFonts w:hint="eastAsia" w:ascii="仿宋" w:hAnsi="仿宋" w:eastAsia="仿宋"/>
          <w:bCs/>
          <w:color w:val="auto"/>
          <w:sz w:val="24"/>
          <w:szCs w:val="24"/>
          <w:highlight w:val="none"/>
          <w:lang w:val="en-US" w:eastAsia="zh-CN"/>
        </w:rPr>
        <w:t>100</w:t>
      </w:r>
      <w:r>
        <w:rPr>
          <w:rStyle w:val="16"/>
          <w:rFonts w:ascii="仿宋" w:hAnsi="仿宋" w:eastAsia="仿宋"/>
          <w:bCs/>
          <w:color w:val="auto"/>
          <w:sz w:val="24"/>
          <w:szCs w:val="24"/>
          <w:highlight w:val="none"/>
        </w:rPr>
        <w:t>%</w:t>
      </w:r>
      <w:r>
        <w:rPr>
          <w:rStyle w:val="16"/>
          <w:rFonts w:hint="eastAsia" w:ascii="仿宋" w:hAnsi="仿宋" w:eastAsia="仿宋"/>
          <w:bCs/>
          <w:color w:val="auto"/>
          <w:sz w:val="24"/>
          <w:szCs w:val="24"/>
          <w:highlight w:val="none"/>
        </w:rPr>
        <w:t>。其中：</w:t>
      </w:r>
      <w:bookmarkEnd w:id="36"/>
      <w:bookmarkEnd w:id="37"/>
      <w:bookmarkEnd w:id="38"/>
    </w:p>
    <w:p>
      <w:pPr>
        <w:spacing w:line="600" w:lineRule="exact"/>
        <w:ind w:firstLine="482" w:firstLineChars="200"/>
        <w:rPr>
          <w:rFonts w:ascii="仿宋" w:hAnsi="仿宋" w:eastAsia="仿宋"/>
          <w:b/>
          <w:color w:val="auto"/>
          <w:sz w:val="24"/>
          <w:szCs w:val="24"/>
          <w:highlight w:val="none"/>
        </w:rPr>
      </w:pPr>
      <w:r>
        <w:rPr>
          <w:rStyle w:val="16"/>
          <w:rFonts w:ascii="仿宋" w:hAnsi="仿宋" w:eastAsia="仿宋"/>
          <w:bCs/>
          <w:color w:val="auto"/>
          <w:sz w:val="24"/>
          <w:szCs w:val="24"/>
          <w:highlight w:val="none"/>
        </w:rPr>
        <w:t>1.</w:t>
      </w:r>
      <w:r>
        <w:rPr>
          <w:rStyle w:val="16"/>
          <w:rFonts w:hint="eastAsia" w:ascii="仿宋" w:hAnsi="仿宋" w:eastAsia="仿宋"/>
          <w:bCs/>
          <w:color w:val="auto"/>
          <w:sz w:val="24"/>
          <w:szCs w:val="24"/>
          <w:highlight w:val="none"/>
          <w:lang w:val="en-US" w:eastAsia="zh-CN"/>
        </w:rPr>
        <w:t>教育支出</w:t>
      </w:r>
      <w:r>
        <w:rPr>
          <w:rStyle w:val="16"/>
          <w:rFonts w:hint="eastAsia" w:ascii="仿宋" w:hAnsi="仿宋" w:eastAsia="仿宋"/>
          <w:bCs/>
          <w:color w:val="auto"/>
          <w:sz w:val="24"/>
          <w:szCs w:val="24"/>
          <w:highlight w:val="none"/>
        </w:rPr>
        <w:t>（类）</w:t>
      </w:r>
      <w:r>
        <w:rPr>
          <w:rStyle w:val="16"/>
          <w:rFonts w:hint="eastAsia" w:ascii="仿宋" w:hAnsi="仿宋" w:eastAsia="仿宋"/>
          <w:bCs/>
          <w:color w:val="auto"/>
          <w:sz w:val="24"/>
          <w:szCs w:val="24"/>
          <w:highlight w:val="none"/>
          <w:lang w:val="en-US" w:eastAsia="zh-CN"/>
        </w:rPr>
        <w:t>普通教育</w:t>
      </w:r>
      <w:r>
        <w:rPr>
          <w:rStyle w:val="16"/>
          <w:rFonts w:hint="eastAsia" w:ascii="仿宋" w:hAnsi="仿宋" w:eastAsia="仿宋"/>
          <w:bCs/>
          <w:color w:val="auto"/>
          <w:sz w:val="24"/>
          <w:szCs w:val="24"/>
          <w:highlight w:val="none"/>
        </w:rPr>
        <w:t>（款）</w:t>
      </w:r>
      <w:r>
        <w:rPr>
          <w:rStyle w:val="16"/>
          <w:rFonts w:hint="eastAsia" w:ascii="仿宋" w:hAnsi="仿宋" w:eastAsia="仿宋"/>
          <w:bCs/>
          <w:color w:val="auto"/>
          <w:sz w:val="24"/>
          <w:szCs w:val="24"/>
          <w:highlight w:val="none"/>
          <w:lang w:val="en-US" w:eastAsia="zh-CN"/>
        </w:rPr>
        <w:t>小学教育</w:t>
      </w:r>
      <w:r>
        <w:rPr>
          <w:rStyle w:val="16"/>
          <w:rFonts w:hint="eastAsia" w:ascii="仿宋" w:hAnsi="仿宋" w:eastAsia="仿宋"/>
          <w:bCs/>
          <w:color w:val="auto"/>
          <w:sz w:val="24"/>
          <w:szCs w:val="24"/>
          <w:highlight w:val="none"/>
        </w:rPr>
        <w:t>（项）</w:t>
      </w:r>
      <w:r>
        <w:rPr>
          <w:rStyle w:val="16"/>
          <w:rFonts w:ascii="仿宋" w:hAnsi="仿宋" w:eastAsia="仿宋"/>
          <w:bCs/>
          <w:color w:val="auto"/>
          <w:sz w:val="24"/>
          <w:szCs w:val="24"/>
          <w:highlight w:val="none"/>
        </w:rPr>
        <w:t>:</w:t>
      </w:r>
      <w:r>
        <w:rPr>
          <w:rStyle w:val="16"/>
          <w:rFonts w:ascii="仿宋" w:hAnsi="仿宋" w:eastAsia="仿宋"/>
          <w:b w:val="0"/>
          <w:bCs/>
          <w:color w:val="auto"/>
          <w:sz w:val="24"/>
          <w:szCs w:val="24"/>
          <w:highlight w:val="none"/>
        </w:rPr>
        <w:t xml:space="preserve"> </w:t>
      </w:r>
      <w:r>
        <w:rPr>
          <w:rStyle w:val="16"/>
          <w:rFonts w:hint="eastAsia" w:ascii="仿宋" w:hAnsi="仿宋" w:eastAsia="仿宋"/>
          <w:b w:val="0"/>
          <w:bCs/>
          <w:color w:val="auto"/>
          <w:sz w:val="24"/>
          <w:szCs w:val="24"/>
          <w:highlight w:val="none"/>
        </w:rPr>
        <w:t>支出决算为</w:t>
      </w:r>
      <w:r>
        <w:rPr>
          <w:rStyle w:val="16"/>
          <w:rFonts w:hint="eastAsia" w:ascii="仿宋" w:hAnsi="仿宋" w:eastAsia="仿宋"/>
          <w:b w:val="0"/>
          <w:bCs/>
          <w:color w:val="auto"/>
          <w:sz w:val="24"/>
          <w:szCs w:val="24"/>
          <w:highlight w:val="none"/>
          <w:lang w:val="en-US" w:eastAsia="zh-CN"/>
        </w:rPr>
        <w:t>437.85</w:t>
      </w:r>
      <w:r>
        <w:rPr>
          <w:rStyle w:val="16"/>
          <w:rFonts w:hint="eastAsia" w:ascii="仿宋" w:hAnsi="仿宋" w:eastAsia="仿宋"/>
          <w:b w:val="0"/>
          <w:bCs/>
          <w:color w:val="auto"/>
          <w:sz w:val="24"/>
          <w:szCs w:val="24"/>
          <w:highlight w:val="none"/>
        </w:rPr>
        <w:t>万元，完成预算</w:t>
      </w:r>
      <w:r>
        <w:rPr>
          <w:rStyle w:val="16"/>
          <w:rFonts w:hint="eastAsia" w:ascii="仿宋" w:hAnsi="仿宋" w:eastAsia="仿宋"/>
          <w:b w:val="0"/>
          <w:bCs/>
          <w:color w:val="auto"/>
          <w:sz w:val="24"/>
          <w:szCs w:val="24"/>
          <w:highlight w:val="none"/>
          <w:lang w:val="en-US" w:eastAsia="zh-CN"/>
        </w:rPr>
        <w:t>100</w:t>
      </w:r>
      <w:r>
        <w:rPr>
          <w:rStyle w:val="16"/>
          <w:rFonts w:ascii="仿宋" w:hAnsi="仿宋" w:eastAsia="仿宋"/>
          <w:b w:val="0"/>
          <w:bCs/>
          <w:color w:val="auto"/>
          <w:sz w:val="24"/>
          <w:szCs w:val="24"/>
          <w:highlight w:val="none"/>
        </w:rPr>
        <w:t>%</w:t>
      </w:r>
      <w:r>
        <w:rPr>
          <w:rStyle w:val="16"/>
          <w:rFonts w:hint="eastAsia" w:ascii="仿宋" w:hAnsi="仿宋" w:eastAsia="仿宋"/>
          <w:b w:val="0"/>
          <w:bCs/>
          <w:color w:val="auto"/>
          <w:sz w:val="24"/>
          <w:szCs w:val="24"/>
          <w:highlight w:val="none"/>
        </w:rPr>
        <w:t>，决算数</w:t>
      </w:r>
      <w:r>
        <w:rPr>
          <w:rStyle w:val="16"/>
          <w:rFonts w:hint="eastAsia" w:ascii="仿宋" w:hAnsi="仿宋" w:eastAsia="仿宋"/>
          <w:b w:val="0"/>
          <w:bCs/>
          <w:color w:val="auto"/>
          <w:sz w:val="24"/>
          <w:szCs w:val="24"/>
          <w:highlight w:val="none"/>
          <w:lang w:val="en-US" w:eastAsia="zh-CN"/>
        </w:rPr>
        <w:t>大于</w:t>
      </w:r>
      <w:r>
        <w:rPr>
          <w:rStyle w:val="16"/>
          <w:rFonts w:hint="eastAsia" w:ascii="仿宋" w:hAnsi="仿宋" w:eastAsia="仿宋"/>
          <w:b w:val="0"/>
          <w:bCs/>
          <w:color w:val="auto"/>
          <w:sz w:val="24"/>
          <w:szCs w:val="24"/>
          <w:highlight w:val="none"/>
        </w:rPr>
        <w:t>预算数的主要原因是</w:t>
      </w:r>
      <w:r>
        <w:rPr>
          <w:rStyle w:val="16"/>
          <w:rFonts w:hint="eastAsia" w:ascii="仿宋" w:hAnsi="仿宋" w:eastAsia="仿宋"/>
          <w:b w:val="0"/>
          <w:bCs/>
          <w:color w:val="auto"/>
          <w:sz w:val="24"/>
          <w:szCs w:val="24"/>
          <w:highlight w:val="none"/>
          <w:lang w:val="en-US" w:eastAsia="zh-CN"/>
        </w:rPr>
        <w:t>人员经费的增加</w:t>
      </w:r>
      <w:r>
        <w:rPr>
          <w:rStyle w:val="16"/>
          <w:rFonts w:hint="eastAsia" w:ascii="仿宋" w:hAnsi="仿宋" w:eastAsia="仿宋"/>
          <w:b w:val="0"/>
          <w:bCs/>
          <w:color w:val="auto"/>
          <w:sz w:val="24"/>
          <w:szCs w:val="24"/>
          <w:highlight w:val="none"/>
        </w:rPr>
        <w:t>。</w:t>
      </w:r>
    </w:p>
    <w:p>
      <w:pPr>
        <w:spacing w:line="600" w:lineRule="exact"/>
        <w:ind w:firstLine="482" w:firstLineChars="200"/>
        <w:rPr>
          <w:rStyle w:val="16"/>
          <w:rFonts w:hint="eastAsia" w:ascii="仿宋" w:hAnsi="仿宋" w:eastAsia="仿宋"/>
          <w:b w:val="0"/>
          <w:bCs/>
          <w:color w:val="auto"/>
          <w:sz w:val="24"/>
          <w:szCs w:val="24"/>
          <w:highlight w:val="none"/>
          <w:lang w:val="en-US" w:eastAsia="zh-CN"/>
        </w:rPr>
      </w:pPr>
      <w:r>
        <w:rPr>
          <w:rStyle w:val="16"/>
          <w:rFonts w:ascii="仿宋" w:hAnsi="仿宋" w:eastAsia="仿宋"/>
          <w:bCs/>
          <w:color w:val="auto"/>
          <w:sz w:val="24"/>
          <w:szCs w:val="24"/>
          <w:highlight w:val="none"/>
        </w:rPr>
        <w:t>2.</w:t>
      </w:r>
      <w:r>
        <w:rPr>
          <w:rStyle w:val="16"/>
          <w:rFonts w:hint="eastAsia" w:ascii="仿宋" w:hAnsi="仿宋" w:eastAsia="仿宋" w:cstheme="minorBidi"/>
          <w:bCs/>
          <w:color w:val="auto"/>
          <w:kern w:val="2"/>
          <w:sz w:val="24"/>
          <w:szCs w:val="24"/>
          <w:highlight w:val="none"/>
          <w:lang w:val="en-US" w:eastAsia="zh-CN" w:bidi="ar-SA"/>
        </w:rPr>
        <w:t>教</w:t>
      </w:r>
      <w:r>
        <w:rPr>
          <w:rStyle w:val="16"/>
          <w:rFonts w:hint="eastAsia" w:ascii="仿宋" w:hAnsi="仿宋" w:eastAsia="仿宋" w:cstheme="minorBidi"/>
          <w:bCs/>
          <w:color w:val="000000" w:themeColor="text1"/>
          <w:kern w:val="2"/>
          <w:sz w:val="24"/>
          <w:szCs w:val="24"/>
          <w:highlight w:val="none"/>
          <w:lang w:val="en-US" w:eastAsia="zh-CN" w:bidi="ar-SA"/>
          <w14:textFill>
            <w14:solidFill>
              <w14:schemeClr w14:val="tx1"/>
            </w14:solidFill>
          </w14:textFill>
        </w:rPr>
        <w:t>育支出（类）普通教育（款）学前教育（项）</w:t>
      </w:r>
      <w:r>
        <w:rPr>
          <w:rStyle w:val="16"/>
          <w:rFonts w:ascii="仿宋" w:hAnsi="仿宋" w:eastAsia="仿宋"/>
          <w:bCs/>
          <w:color w:val="auto"/>
          <w:sz w:val="24"/>
          <w:szCs w:val="24"/>
          <w:highlight w:val="none"/>
        </w:rPr>
        <w:t>:</w:t>
      </w:r>
      <w:r>
        <w:rPr>
          <w:rStyle w:val="16"/>
          <w:rFonts w:ascii="仿宋" w:hAnsi="仿宋" w:eastAsia="仿宋"/>
          <w:b w:val="0"/>
          <w:bCs/>
          <w:color w:val="auto"/>
          <w:sz w:val="24"/>
          <w:szCs w:val="24"/>
          <w:highlight w:val="none"/>
        </w:rPr>
        <w:t xml:space="preserve"> </w:t>
      </w:r>
      <w:r>
        <w:rPr>
          <w:rStyle w:val="16"/>
          <w:rFonts w:hint="eastAsia" w:ascii="仿宋" w:hAnsi="仿宋" w:eastAsia="仿宋"/>
          <w:b w:val="0"/>
          <w:bCs/>
          <w:color w:val="auto"/>
          <w:sz w:val="24"/>
          <w:szCs w:val="24"/>
          <w:highlight w:val="none"/>
        </w:rPr>
        <w:t>支出决算为</w:t>
      </w:r>
      <w:r>
        <w:rPr>
          <w:rStyle w:val="16"/>
          <w:rFonts w:hint="eastAsia" w:ascii="仿宋" w:hAnsi="仿宋" w:eastAsia="仿宋"/>
          <w:b w:val="0"/>
          <w:bCs/>
          <w:color w:val="auto"/>
          <w:sz w:val="24"/>
          <w:szCs w:val="24"/>
          <w:highlight w:val="none"/>
          <w:lang w:val="en-US" w:eastAsia="zh-CN"/>
        </w:rPr>
        <w:t>13.8</w:t>
      </w:r>
      <w:r>
        <w:rPr>
          <w:rStyle w:val="16"/>
          <w:rFonts w:hint="eastAsia" w:ascii="仿宋" w:hAnsi="仿宋" w:eastAsia="仿宋"/>
          <w:b w:val="0"/>
          <w:bCs/>
          <w:color w:val="auto"/>
          <w:sz w:val="24"/>
          <w:szCs w:val="24"/>
          <w:highlight w:val="none"/>
        </w:rPr>
        <w:t>万元，完成预算</w:t>
      </w:r>
      <w:r>
        <w:rPr>
          <w:rStyle w:val="16"/>
          <w:rFonts w:hint="eastAsia" w:ascii="仿宋" w:hAnsi="仿宋" w:eastAsia="仿宋"/>
          <w:b w:val="0"/>
          <w:bCs/>
          <w:color w:val="auto"/>
          <w:sz w:val="24"/>
          <w:szCs w:val="24"/>
          <w:highlight w:val="none"/>
          <w:lang w:val="en-US" w:eastAsia="zh-CN"/>
        </w:rPr>
        <w:t>53.62</w:t>
      </w:r>
      <w:r>
        <w:rPr>
          <w:rStyle w:val="16"/>
          <w:rFonts w:ascii="仿宋" w:hAnsi="仿宋" w:eastAsia="仿宋"/>
          <w:b w:val="0"/>
          <w:bCs/>
          <w:color w:val="auto"/>
          <w:sz w:val="24"/>
          <w:szCs w:val="24"/>
          <w:highlight w:val="none"/>
        </w:rPr>
        <w:t>%</w:t>
      </w:r>
      <w:r>
        <w:rPr>
          <w:rStyle w:val="16"/>
          <w:rFonts w:hint="eastAsia" w:ascii="仿宋" w:hAnsi="仿宋" w:eastAsia="仿宋"/>
          <w:b w:val="0"/>
          <w:bCs/>
          <w:color w:val="auto"/>
          <w:sz w:val="24"/>
          <w:szCs w:val="24"/>
          <w:highlight w:val="none"/>
        </w:rPr>
        <w:t>，决算数</w:t>
      </w:r>
      <w:r>
        <w:rPr>
          <w:rStyle w:val="16"/>
          <w:rFonts w:hint="eastAsia" w:ascii="仿宋" w:hAnsi="仿宋" w:eastAsia="仿宋"/>
          <w:b w:val="0"/>
          <w:bCs/>
          <w:color w:val="auto"/>
          <w:sz w:val="24"/>
          <w:szCs w:val="24"/>
          <w:highlight w:val="none"/>
          <w:lang w:val="en-US" w:eastAsia="zh-CN"/>
        </w:rPr>
        <w:t>小</w:t>
      </w:r>
      <w:r>
        <w:rPr>
          <w:rStyle w:val="16"/>
          <w:rFonts w:hint="eastAsia" w:ascii="仿宋" w:hAnsi="仿宋" w:eastAsia="仿宋"/>
          <w:b w:val="0"/>
          <w:bCs/>
          <w:color w:val="auto"/>
          <w:sz w:val="24"/>
          <w:szCs w:val="24"/>
          <w:highlight w:val="none"/>
        </w:rPr>
        <w:t>于预算数的主要原因是</w:t>
      </w:r>
      <w:r>
        <w:rPr>
          <w:rStyle w:val="16"/>
          <w:rFonts w:hint="eastAsia" w:ascii="仿宋" w:hAnsi="仿宋" w:eastAsia="仿宋"/>
          <w:b w:val="0"/>
          <w:bCs/>
          <w:color w:val="auto"/>
          <w:sz w:val="24"/>
          <w:szCs w:val="24"/>
          <w:highlight w:val="none"/>
          <w:lang w:val="en-US" w:eastAsia="zh-CN"/>
        </w:rPr>
        <w:t>项目实施</w:t>
      </w:r>
      <w:r>
        <w:rPr>
          <w:rFonts w:hint="eastAsia" w:ascii="仿宋" w:hAnsi="仿宋" w:eastAsia="仿宋" w:cs="仿宋_GB2312"/>
          <w:color w:val="000000" w:themeColor="text1"/>
          <w:sz w:val="24"/>
          <w:szCs w:val="24"/>
          <w14:textFill>
            <w14:solidFill>
              <w14:schemeClr w14:val="tx1"/>
            </w14:solidFill>
          </w14:textFill>
        </w:rPr>
        <w:t>未来得及</w:t>
      </w:r>
      <w:r>
        <w:rPr>
          <w:rStyle w:val="16"/>
          <w:rFonts w:hint="eastAsia" w:ascii="仿宋" w:hAnsi="仿宋" w:eastAsia="仿宋"/>
          <w:b w:val="0"/>
          <w:bCs/>
          <w:color w:val="auto"/>
          <w:sz w:val="24"/>
          <w:szCs w:val="24"/>
          <w:highlight w:val="none"/>
          <w:lang w:val="en-US" w:eastAsia="zh-CN"/>
        </w:rPr>
        <w:t>按预算完成。</w:t>
      </w:r>
    </w:p>
    <w:p>
      <w:pPr>
        <w:keepNext w:val="0"/>
        <w:keepLines w:val="0"/>
        <w:pageBreakBefore w:val="0"/>
        <w:widowControl w:val="0"/>
        <w:kinsoku/>
        <w:wordWrap/>
        <w:overflowPunct/>
        <w:topLinePunct w:val="0"/>
        <w:autoSpaceDE/>
        <w:autoSpaceDN/>
        <w:bidi w:val="0"/>
        <w:adjustRightInd/>
        <w:snapToGrid w:val="0"/>
        <w:spacing w:line="550" w:lineRule="exact"/>
        <w:ind w:firstLine="482" w:firstLineChars="200"/>
        <w:textAlignment w:val="auto"/>
        <w:outlineLvl w:val="2"/>
        <w:rPr>
          <w:color w:val="auto"/>
          <w:sz w:val="24"/>
          <w:szCs w:val="24"/>
        </w:rPr>
      </w:pPr>
      <w:r>
        <w:rPr>
          <w:rStyle w:val="16"/>
          <w:rFonts w:hint="eastAsia" w:ascii="仿宋" w:hAnsi="仿宋" w:eastAsia="仿宋"/>
          <w:bCs/>
          <w:color w:val="auto"/>
          <w:sz w:val="24"/>
          <w:szCs w:val="24"/>
          <w:highlight w:val="none"/>
          <w:lang w:val="en-US" w:eastAsia="zh-CN"/>
        </w:rPr>
        <w:t>3</w:t>
      </w:r>
      <w:r>
        <w:rPr>
          <w:rStyle w:val="16"/>
          <w:rFonts w:ascii="仿宋" w:hAnsi="仿宋" w:eastAsia="仿宋"/>
          <w:bCs/>
          <w:color w:val="auto"/>
          <w:sz w:val="24"/>
          <w:szCs w:val="24"/>
          <w:highlight w:val="none"/>
        </w:rPr>
        <w:t>.</w:t>
      </w:r>
      <w:r>
        <w:rPr>
          <w:rStyle w:val="16"/>
          <w:rFonts w:hint="eastAsia" w:ascii="仿宋" w:hAnsi="仿宋" w:eastAsia="仿宋"/>
          <w:bCs/>
          <w:color w:val="auto"/>
          <w:sz w:val="24"/>
          <w:szCs w:val="24"/>
          <w:highlight w:val="none"/>
        </w:rPr>
        <w:t>社会保障和就业（类）</w:t>
      </w:r>
      <w:r>
        <w:rPr>
          <w:rStyle w:val="16"/>
          <w:rFonts w:hint="eastAsia" w:ascii="仿宋" w:hAnsi="仿宋" w:eastAsia="仿宋"/>
          <w:bCs/>
          <w:color w:val="auto"/>
          <w:sz w:val="24"/>
          <w:szCs w:val="24"/>
          <w:highlight w:val="none"/>
          <w:lang w:val="en-US" w:eastAsia="zh-CN"/>
        </w:rPr>
        <w:t>行政事业单位养老支出</w:t>
      </w:r>
      <w:r>
        <w:rPr>
          <w:rStyle w:val="16"/>
          <w:rFonts w:hint="eastAsia" w:ascii="仿宋" w:hAnsi="仿宋" w:eastAsia="仿宋"/>
          <w:bCs/>
          <w:color w:val="auto"/>
          <w:sz w:val="24"/>
          <w:szCs w:val="24"/>
          <w:highlight w:val="none"/>
        </w:rPr>
        <w:t>（款）</w:t>
      </w:r>
      <w:r>
        <w:rPr>
          <w:rStyle w:val="16"/>
          <w:rFonts w:hint="eastAsia" w:ascii="仿宋" w:hAnsi="仿宋" w:eastAsia="仿宋"/>
          <w:bCs/>
          <w:color w:val="auto"/>
          <w:sz w:val="24"/>
          <w:szCs w:val="24"/>
          <w:highlight w:val="none"/>
          <w:lang w:val="en-US" w:eastAsia="zh-CN"/>
        </w:rPr>
        <w:t>机关事业单位基本养老保险缴费支出</w:t>
      </w:r>
      <w:r>
        <w:rPr>
          <w:rStyle w:val="16"/>
          <w:rFonts w:hint="eastAsia" w:ascii="仿宋" w:hAnsi="仿宋" w:eastAsia="仿宋"/>
          <w:bCs/>
          <w:color w:val="auto"/>
          <w:sz w:val="24"/>
          <w:szCs w:val="24"/>
          <w:highlight w:val="none"/>
        </w:rPr>
        <w:t>（项）</w:t>
      </w:r>
      <w:r>
        <w:rPr>
          <w:rStyle w:val="16"/>
          <w:rFonts w:ascii="仿宋" w:hAnsi="仿宋" w:eastAsia="仿宋"/>
          <w:bCs/>
          <w:color w:val="auto"/>
          <w:sz w:val="24"/>
          <w:szCs w:val="24"/>
          <w:highlight w:val="none"/>
        </w:rPr>
        <w:t>:</w:t>
      </w:r>
      <w:r>
        <w:rPr>
          <w:rStyle w:val="16"/>
          <w:rFonts w:ascii="仿宋" w:hAnsi="仿宋" w:eastAsia="仿宋"/>
          <w:b w:val="0"/>
          <w:bCs/>
          <w:color w:val="auto"/>
          <w:sz w:val="24"/>
          <w:szCs w:val="24"/>
          <w:highlight w:val="none"/>
        </w:rPr>
        <w:t xml:space="preserve"> </w:t>
      </w:r>
      <w:r>
        <w:rPr>
          <w:rStyle w:val="16"/>
          <w:rFonts w:hint="eastAsia" w:ascii="仿宋" w:hAnsi="仿宋" w:eastAsia="仿宋"/>
          <w:b w:val="0"/>
          <w:bCs/>
          <w:color w:val="auto"/>
          <w:sz w:val="24"/>
          <w:szCs w:val="24"/>
          <w:highlight w:val="none"/>
        </w:rPr>
        <w:t>支出决算为</w:t>
      </w:r>
      <w:r>
        <w:rPr>
          <w:rStyle w:val="16"/>
          <w:rFonts w:hint="eastAsia" w:ascii="仿宋" w:hAnsi="仿宋" w:eastAsia="仿宋"/>
          <w:b w:val="0"/>
          <w:bCs/>
          <w:color w:val="auto"/>
          <w:sz w:val="24"/>
          <w:szCs w:val="24"/>
          <w:highlight w:val="none"/>
          <w:lang w:val="en-US" w:eastAsia="zh-CN"/>
        </w:rPr>
        <w:t>25.45</w:t>
      </w:r>
      <w:r>
        <w:rPr>
          <w:rStyle w:val="16"/>
          <w:rFonts w:hint="eastAsia" w:ascii="仿宋" w:hAnsi="仿宋" w:eastAsia="仿宋"/>
          <w:b w:val="0"/>
          <w:bCs/>
          <w:color w:val="auto"/>
          <w:sz w:val="24"/>
          <w:szCs w:val="24"/>
          <w:highlight w:val="none"/>
        </w:rPr>
        <w:t>万元，完成预算</w:t>
      </w:r>
      <w:r>
        <w:rPr>
          <w:rStyle w:val="16"/>
          <w:rFonts w:hint="eastAsia" w:ascii="仿宋" w:hAnsi="仿宋" w:eastAsia="仿宋"/>
          <w:b w:val="0"/>
          <w:bCs/>
          <w:color w:val="auto"/>
          <w:sz w:val="24"/>
          <w:szCs w:val="24"/>
          <w:highlight w:val="none"/>
          <w:lang w:val="en-US" w:eastAsia="zh-CN"/>
        </w:rPr>
        <w:t>100.00</w:t>
      </w:r>
      <w:r>
        <w:rPr>
          <w:rStyle w:val="16"/>
          <w:rFonts w:ascii="仿宋" w:hAnsi="仿宋" w:eastAsia="仿宋"/>
          <w:b w:val="0"/>
          <w:bCs/>
          <w:color w:val="auto"/>
          <w:sz w:val="24"/>
          <w:szCs w:val="24"/>
          <w:highlight w:val="none"/>
        </w:rPr>
        <w:t>%</w:t>
      </w:r>
      <w:r>
        <w:rPr>
          <w:rStyle w:val="16"/>
          <w:rFonts w:hint="eastAsia" w:ascii="仿宋" w:hAnsi="仿宋" w:eastAsia="仿宋"/>
          <w:b w:val="0"/>
          <w:bCs/>
          <w:color w:val="auto"/>
          <w:sz w:val="24"/>
          <w:szCs w:val="24"/>
          <w:highlight w:val="none"/>
        </w:rPr>
        <w:t>，决算数等于预算数的主要原因是</w:t>
      </w:r>
      <w:r>
        <w:rPr>
          <w:rStyle w:val="16"/>
          <w:rFonts w:hint="eastAsia" w:ascii="仿宋" w:hAnsi="仿宋" w:eastAsia="仿宋" w:cstheme="minorBidi"/>
          <w:b w:val="0"/>
          <w:bCs/>
          <w:color w:val="auto"/>
          <w:kern w:val="0"/>
          <w:sz w:val="24"/>
          <w:szCs w:val="24"/>
          <w:highlight w:val="none"/>
          <w:lang w:val="en-US" w:eastAsia="zh-CN" w:bidi="ar-SA"/>
        </w:rPr>
        <w:t>年初预算根据实际编列</w:t>
      </w:r>
      <w:r>
        <w:rPr>
          <w:rStyle w:val="16"/>
          <w:rFonts w:hint="eastAsia" w:ascii="仿宋" w:hAnsi="仿宋" w:eastAsia="仿宋"/>
          <w:b w:val="0"/>
          <w:bCs/>
          <w:color w:val="auto"/>
          <w:sz w:val="24"/>
          <w:szCs w:val="24"/>
          <w:highlight w:val="none"/>
          <w:lang w:val="en-US" w:eastAsia="zh-CN"/>
        </w:rPr>
        <w:t>，项目实施中及时根据支出情况调整预算。</w:t>
      </w:r>
    </w:p>
    <w:p>
      <w:pPr>
        <w:spacing w:line="600" w:lineRule="exact"/>
        <w:ind w:firstLine="482" w:firstLineChars="200"/>
        <w:rPr>
          <w:rFonts w:ascii="仿宋" w:hAnsi="仿宋" w:eastAsia="仿宋"/>
          <w:b/>
          <w:color w:val="auto"/>
          <w:sz w:val="24"/>
          <w:szCs w:val="24"/>
          <w:highlight w:val="none"/>
        </w:rPr>
      </w:pPr>
      <w:r>
        <w:rPr>
          <w:rStyle w:val="16"/>
          <w:rFonts w:hint="eastAsia" w:ascii="仿宋" w:hAnsi="仿宋" w:eastAsia="仿宋"/>
          <w:bCs/>
          <w:color w:val="auto"/>
          <w:sz w:val="24"/>
          <w:szCs w:val="24"/>
          <w:highlight w:val="none"/>
          <w:lang w:val="en-US" w:eastAsia="zh-CN"/>
        </w:rPr>
        <w:t>4</w:t>
      </w:r>
      <w:r>
        <w:rPr>
          <w:rStyle w:val="16"/>
          <w:rFonts w:ascii="仿宋" w:hAnsi="仿宋" w:eastAsia="仿宋"/>
          <w:bCs/>
          <w:color w:val="auto"/>
          <w:sz w:val="24"/>
          <w:szCs w:val="24"/>
          <w:highlight w:val="none"/>
        </w:rPr>
        <w:t>.</w:t>
      </w:r>
      <w:r>
        <w:rPr>
          <w:rStyle w:val="16"/>
          <w:rFonts w:hint="eastAsia" w:ascii="仿宋" w:hAnsi="仿宋" w:eastAsia="仿宋"/>
          <w:bCs/>
          <w:color w:val="auto"/>
          <w:sz w:val="24"/>
          <w:szCs w:val="24"/>
          <w:highlight w:val="none"/>
        </w:rPr>
        <w:t>社会保障和就业（类）</w:t>
      </w:r>
      <w:r>
        <w:rPr>
          <w:rStyle w:val="16"/>
          <w:rFonts w:hint="eastAsia" w:ascii="仿宋" w:hAnsi="仿宋" w:eastAsia="仿宋"/>
          <w:bCs/>
          <w:color w:val="auto"/>
          <w:sz w:val="24"/>
          <w:szCs w:val="24"/>
          <w:highlight w:val="none"/>
          <w:lang w:val="en-US" w:eastAsia="zh-CN"/>
        </w:rPr>
        <w:t>行政事业单位养老支出</w:t>
      </w:r>
      <w:r>
        <w:rPr>
          <w:rStyle w:val="16"/>
          <w:rFonts w:hint="eastAsia" w:ascii="仿宋" w:hAnsi="仿宋" w:eastAsia="仿宋"/>
          <w:bCs/>
          <w:color w:val="auto"/>
          <w:sz w:val="24"/>
          <w:szCs w:val="24"/>
          <w:highlight w:val="none"/>
        </w:rPr>
        <w:t>（款）</w:t>
      </w:r>
      <w:r>
        <w:rPr>
          <w:rStyle w:val="16"/>
          <w:rFonts w:hint="eastAsia" w:ascii="仿宋" w:hAnsi="仿宋" w:eastAsia="仿宋"/>
          <w:bCs/>
          <w:color w:val="auto"/>
          <w:sz w:val="24"/>
          <w:szCs w:val="24"/>
          <w:highlight w:val="none"/>
          <w:lang w:val="en-US" w:eastAsia="zh-CN"/>
        </w:rPr>
        <w:t>机关事业单位其他保障和就业支出支出</w:t>
      </w:r>
      <w:r>
        <w:rPr>
          <w:rStyle w:val="16"/>
          <w:rFonts w:hint="eastAsia" w:ascii="仿宋" w:hAnsi="仿宋" w:eastAsia="仿宋"/>
          <w:bCs/>
          <w:color w:val="auto"/>
          <w:sz w:val="24"/>
          <w:szCs w:val="24"/>
          <w:highlight w:val="none"/>
        </w:rPr>
        <w:t>（项）</w:t>
      </w:r>
      <w:r>
        <w:rPr>
          <w:rStyle w:val="16"/>
          <w:rFonts w:ascii="仿宋" w:hAnsi="仿宋" w:eastAsia="仿宋"/>
          <w:bCs/>
          <w:color w:val="auto"/>
          <w:sz w:val="24"/>
          <w:szCs w:val="24"/>
          <w:highlight w:val="none"/>
        </w:rPr>
        <w:t>:</w:t>
      </w:r>
      <w:r>
        <w:rPr>
          <w:rStyle w:val="16"/>
          <w:rFonts w:ascii="仿宋" w:hAnsi="仿宋" w:eastAsia="仿宋"/>
          <w:b w:val="0"/>
          <w:bCs/>
          <w:color w:val="auto"/>
          <w:sz w:val="24"/>
          <w:szCs w:val="24"/>
          <w:highlight w:val="none"/>
        </w:rPr>
        <w:t xml:space="preserve"> </w:t>
      </w:r>
      <w:r>
        <w:rPr>
          <w:rStyle w:val="16"/>
          <w:rFonts w:hint="eastAsia" w:ascii="仿宋" w:hAnsi="仿宋" w:eastAsia="仿宋"/>
          <w:b w:val="0"/>
          <w:bCs/>
          <w:color w:val="auto"/>
          <w:sz w:val="24"/>
          <w:szCs w:val="24"/>
          <w:highlight w:val="none"/>
        </w:rPr>
        <w:t>支出决算为</w:t>
      </w:r>
      <w:r>
        <w:rPr>
          <w:rStyle w:val="16"/>
          <w:rFonts w:hint="eastAsia" w:ascii="仿宋" w:hAnsi="仿宋" w:eastAsia="仿宋"/>
          <w:b w:val="0"/>
          <w:bCs/>
          <w:color w:val="auto"/>
          <w:sz w:val="24"/>
          <w:szCs w:val="24"/>
          <w:highlight w:val="none"/>
          <w:lang w:val="en-US" w:eastAsia="zh-CN"/>
        </w:rPr>
        <w:t>1.21</w:t>
      </w:r>
      <w:r>
        <w:rPr>
          <w:rStyle w:val="16"/>
          <w:rFonts w:hint="eastAsia" w:ascii="仿宋" w:hAnsi="仿宋" w:eastAsia="仿宋"/>
          <w:b w:val="0"/>
          <w:bCs/>
          <w:color w:val="auto"/>
          <w:sz w:val="24"/>
          <w:szCs w:val="24"/>
          <w:highlight w:val="none"/>
        </w:rPr>
        <w:t>万元，完成预算</w:t>
      </w:r>
      <w:r>
        <w:rPr>
          <w:rStyle w:val="16"/>
          <w:rFonts w:hint="eastAsia" w:ascii="仿宋" w:hAnsi="仿宋" w:eastAsia="仿宋"/>
          <w:b w:val="0"/>
          <w:bCs/>
          <w:color w:val="auto"/>
          <w:sz w:val="24"/>
          <w:szCs w:val="24"/>
          <w:highlight w:val="none"/>
          <w:lang w:val="en-US" w:eastAsia="zh-CN"/>
        </w:rPr>
        <w:t>100.00</w:t>
      </w:r>
      <w:r>
        <w:rPr>
          <w:rStyle w:val="16"/>
          <w:rFonts w:ascii="仿宋" w:hAnsi="仿宋" w:eastAsia="仿宋"/>
          <w:b w:val="0"/>
          <w:bCs/>
          <w:color w:val="auto"/>
          <w:sz w:val="24"/>
          <w:szCs w:val="24"/>
          <w:highlight w:val="none"/>
        </w:rPr>
        <w:t>%</w:t>
      </w:r>
      <w:r>
        <w:rPr>
          <w:rStyle w:val="16"/>
          <w:rFonts w:hint="eastAsia" w:ascii="仿宋" w:hAnsi="仿宋" w:eastAsia="仿宋"/>
          <w:b w:val="0"/>
          <w:bCs/>
          <w:color w:val="auto"/>
          <w:sz w:val="24"/>
          <w:szCs w:val="24"/>
          <w:highlight w:val="none"/>
        </w:rPr>
        <w:t>，决算数等于预算数的主要原因是</w:t>
      </w:r>
      <w:r>
        <w:rPr>
          <w:rStyle w:val="16"/>
          <w:rFonts w:hint="eastAsia" w:ascii="仿宋" w:hAnsi="仿宋" w:eastAsia="仿宋" w:cstheme="minorBidi"/>
          <w:b w:val="0"/>
          <w:bCs/>
          <w:color w:val="auto"/>
          <w:kern w:val="0"/>
          <w:sz w:val="24"/>
          <w:szCs w:val="24"/>
          <w:highlight w:val="none"/>
          <w:lang w:val="en-US" w:eastAsia="zh-CN" w:bidi="ar-SA"/>
        </w:rPr>
        <w:t>年初预算根据实际编列，</w:t>
      </w:r>
      <w:r>
        <w:rPr>
          <w:rStyle w:val="16"/>
          <w:rFonts w:hint="eastAsia" w:ascii="仿宋" w:hAnsi="仿宋" w:eastAsia="仿宋"/>
          <w:b w:val="0"/>
          <w:bCs/>
          <w:color w:val="auto"/>
          <w:sz w:val="24"/>
          <w:szCs w:val="24"/>
          <w:highlight w:val="none"/>
          <w:lang w:val="en-US" w:eastAsia="zh-CN"/>
        </w:rPr>
        <w:t>项目实施中及时根据支出情况调整预算。</w:t>
      </w:r>
    </w:p>
    <w:p>
      <w:pPr>
        <w:spacing w:line="600" w:lineRule="exact"/>
        <w:ind w:firstLine="482" w:firstLineChars="200"/>
        <w:rPr>
          <w:rFonts w:ascii="仿宋" w:hAnsi="仿宋" w:eastAsia="仿宋"/>
          <w:color w:val="auto"/>
          <w:sz w:val="24"/>
          <w:szCs w:val="24"/>
          <w:highlight w:val="none"/>
        </w:rPr>
      </w:pPr>
      <w:r>
        <w:rPr>
          <w:rStyle w:val="16"/>
          <w:rFonts w:hint="eastAsia" w:ascii="仿宋" w:hAnsi="仿宋" w:eastAsia="仿宋"/>
          <w:bCs/>
          <w:color w:val="auto"/>
          <w:sz w:val="24"/>
          <w:szCs w:val="24"/>
          <w:highlight w:val="none"/>
          <w:lang w:val="en-US" w:eastAsia="zh-CN"/>
        </w:rPr>
        <w:t>5</w:t>
      </w:r>
      <w:r>
        <w:rPr>
          <w:rStyle w:val="16"/>
          <w:rFonts w:ascii="仿宋" w:hAnsi="仿宋" w:eastAsia="仿宋"/>
          <w:bCs/>
          <w:color w:val="auto"/>
          <w:sz w:val="24"/>
          <w:szCs w:val="24"/>
          <w:highlight w:val="none"/>
        </w:rPr>
        <w:t>.</w:t>
      </w:r>
      <w:r>
        <w:rPr>
          <w:rFonts w:hint="eastAsia" w:ascii="仿宋" w:hAnsi="仿宋" w:eastAsia="仿宋"/>
          <w:b/>
          <w:bCs/>
          <w:color w:val="auto"/>
          <w:sz w:val="24"/>
          <w:szCs w:val="24"/>
          <w:highlight w:val="none"/>
        </w:rPr>
        <w:t>卫生健康</w:t>
      </w:r>
      <w:r>
        <w:rPr>
          <w:rStyle w:val="16"/>
          <w:rFonts w:hint="eastAsia" w:ascii="仿宋" w:hAnsi="仿宋" w:eastAsia="仿宋"/>
          <w:bCs/>
          <w:color w:val="auto"/>
          <w:sz w:val="24"/>
          <w:szCs w:val="24"/>
          <w:highlight w:val="none"/>
        </w:rPr>
        <w:t>（类）</w:t>
      </w:r>
      <w:r>
        <w:rPr>
          <w:rStyle w:val="16"/>
          <w:rFonts w:hint="eastAsia" w:ascii="仿宋" w:hAnsi="仿宋" w:eastAsia="仿宋"/>
          <w:bCs/>
          <w:color w:val="auto"/>
          <w:sz w:val="24"/>
          <w:szCs w:val="24"/>
          <w:highlight w:val="none"/>
          <w:lang w:val="en-US" w:eastAsia="zh-CN"/>
        </w:rPr>
        <w:t>行政事业单位医疗</w:t>
      </w:r>
      <w:r>
        <w:rPr>
          <w:rStyle w:val="16"/>
          <w:rFonts w:hint="eastAsia" w:ascii="仿宋" w:hAnsi="仿宋" w:eastAsia="仿宋"/>
          <w:bCs/>
          <w:color w:val="auto"/>
          <w:sz w:val="24"/>
          <w:szCs w:val="24"/>
          <w:highlight w:val="none"/>
        </w:rPr>
        <w:t>（款）</w:t>
      </w:r>
      <w:r>
        <w:rPr>
          <w:rStyle w:val="16"/>
          <w:rFonts w:hint="eastAsia" w:ascii="仿宋" w:hAnsi="仿宋" w:eastAsia="仿宋"/>
          <w:bCs/>
          <w:color w:val="auto"/>
          <w:sz w:val="24"/>
          <w:szCs w:val="24"/>
          <w:highlight w:val="none"/>
          <w:lang w:val="en-US" w:eastAsia="zh-CN"/>
        </w:rPr>
        <w:t>事业单位医疗</w:t>
      </w:r>
      <w:r>
        <w:rPr>
          <w:rStyle w:val="16"/>
          <w:rFonts w:hint="eastAsia" w:ascii="仿宋" w:hAnsi="仿宋" w:eastAsia="仿宋"/>
          <w:bCs/>
          <w:color w:val="auto"/>
          <w:sz w:val="24"/>
          <w:szCs w:val="24"/>
          <w:highlight w:val="none"/>
        </w:rPr>
        <w:t>（项）</w:t>
      </w:r>
      <w:r>
        <w:rPr>
          <w:rStyle w:val="16"/>
          <w:rFonts w:ascii="仿宋" w:hAnsi="仿宋" w:eastAsia="仿宋"/>
          <w:bCs/>
          <w:color w:val="auto"/>
          <w:sz w:val="24"/>
          <w:szCs w:val="24"/>
          <w:highlight w:val="none"/>
        </w:rPr>
        <w:t>:</w:t>
      </w:r>
      <w:r>
        <w:rPr>
          <w:rStyle w:val="16"/>
          <w:rFonts w:hint="eastAsia" w:ascii="仿宋" w:hAnsi="仿宋" w:eastAsia="仿宋"/>
          <w:b w:val="0"/>
          <w:bCs/>
          <w:color w:val="auto"/>
          <w:sz w:val="24"/>
          <w:szCs w:val="24"/>
          <w:highlight w:val="none"/>
        </w:rPr>
        <w:t>支出决算为</w:t>
      </w:r>
      <w:r>
        <w:rPr>
          <w:rStyle w:val="16"/>
          <w:rFonts w:hint="eastAsia" w:ascii="仿宋" w:hAnsi="仿宋" w:eastAsia="仿宋"/>
          <w:b w:val="0"/>
          <w:bCs/>
          <w:color w:val="auto"/>
          <w:sz w:val="24"/>
          <w:szCs w:val="24"/>
          <w:highlight w:val="none"/>
          <w:lang w:val="en-US" w:eastAsia="zh-CN"/>
        </w:rPr>
        <w:t>12.72</w:t>
      </w:r>
      <w:r>
        <w:rPr>
          <w:rStyle w:val="16"/>
          <w:rFonts w:hint="eastAsia" w:ascii="仿宋" w:hAnsi="仿宋" w:eastAsia="仿宋"/>
          <w:b w:val="0"/>
          <w:bCs/>
          <w:color w:val="auto"/>
          <w:sz w:val="24"/>
          <w:szCs w:val="24"/>
          <w:highlight w:val="none"/>
        </w:rPr>
        <w:t>万元，完成预算</w:t>
      </w:r>
      <w:r>
        <w:rPr>
          <w:rStyle w:val="16"/>
          <w:rFonts w:hint="eastAsia" w:ascii="仿宋" w:hAnsi="仿宋" w:eastAsia="仿宋"/>
          <w:b w:val="0"/>
          <w:bCs/>
          <w:color w:val="auto"/>
          <w:sz w:val="24"/>
          <w:szCs w:val="24"/>
          <w:highlight w:val="none"/>
          <w:lang w:val="en-US" w:eastAsia="zh-CN"/>
        </w:rPr>
        <w:t>100.00</w:t>
      </w:r>
      <w:r>
        <w:rPr>
          <w:rStyle w:val="16"/>
          <w:rFonts w:ascii="仿宋" w:hAnsi="仿宋" w:eastAsia="仿宋"/>
          <w:b w:val="0"/>
          <w:bCs/>
          <w:color w:val="auto"/>
          <w:sz w:val="24"/>
          <w:szCs w:val="24"/>
          <w:highlight w:val="none"/>
        </w:rPr>
        <w:t>%</w:t>
      </w:r>
      <w:r>
        <w:rPr>
          <w:rStyle w:val="16"/>
          <w:rFonts w:hint="eastAsia" w:ascii="仿宋" w:hAnsi="仿宋" w:eastAsia="仿宋"/>
          <w:b w:val="0"/>
          <w:bCs/>
          <w:color w:val="auto"/>
          <w:sz w:val="24"/>
          <w:szCs w:val="24"/>
          <w:highlight w:val="none"/>
        </w:rPr>
        <w:t>，决算数等于预算数的主要原因是</w:t>
      </w:r>
      <w:r>
        <w:rPr>
          <w:rStyle w:val="16"/>
          <w:rFonts w:hint="eastAsia" w:ascii="仿宋" w:hAnsi="仿宋" w:eastAsia="仿宋" w:cstheme="minorBidi"/>
          <w:b w:val="0"/>
          <w:bCs/>
          <w:color w:val="auto"/>
          <w:kern w:val="0"/>
          <w:sz w:val="24"/>
          <w:szCs w:val="24"/>
          <w:highlight w:val="none"/>
          <w:lang w:val="en-US" w:eastAsia="zh-CN" w:bidi="ar-SA"/>
        </w:rPr>
        <w:t>年初预算根据实际编列，</w:t>
      </w:r>
      <w:r>
        <w:rPr>
          <w:rStyle w:val="16"/>
          <w:rFonts w:hint="eastAsia" w:ascii="仿宋" w:hAnsi="仿宋" w:eastAsia="仿宋"/>
          <w:b w:val="0"/>
          <w:bCs/>
          <w:color w:val="auto"/>
          <w:sz w:val="24"/>
          <w:szCs w:val="24"/>
          <w:highlight w:val="none"/>
          <w:lang w:val="en-US" w:eastAsia="zh-CN"/>
        </w:rPr>
        <w:t>项目实施中及时根据支出情况调整预算。</w:t>
      </w:r>
    </w:p>
    <w:p>
      <w:pPr>
        <w:spacing w:line="600" w:lineRule="exact"/>
        <w:ind w:firstLine="482" w:firstLineChars="200"/>
        <w:rPr>
          <w:rFonts w:ascii="仿宋" w:hAnsi="仿宋" w:eastAsia="仿宋"/>
          <w:b/>
          <w:color w:val="00B0F0"/>
          <w:sz w:val="24"/>
          <w:szCs w:val="24"/>
          <w:highlight w:val="none"/>
        </w:rPr>
      </w:pPr>
      <w:r>
        <w:rPr>
          <w:rFonts w:hint="eastAsia" w:ascii="仿宋" w:hAnsi="仿宋" w:eastAsia="仿宋"/>
          <w:b/>
          <w:color w:val="auto"/>
          <w:sz w:val="24"/>
          <w:szCs w:val="24"/>
          <w:highlight w:val="none"/>
          <w:lang w:val="en-US" w:eastAsia="zh-CN"/>
        </w:rPr>
        <w:t>6.</w:t>
      </w:r>
      <w:r>
        <w:rPr>
          <w:rFonts w:hint="eastAsia" w:ascii="仿宋" w:hAnsi="仿宋" w:eastAsia="仿宋"/>
          <w:b/>
          <w:bCs/>
          <w:color w:val="auto"/>
          <w:sz w:val="24"/>
          <w:szCs w:val="24"/>
          <w:highlight w:val="none"/>
        </w:rPr>
        <w:t>住房保障</w:t>
      </w:r>
      <w:r>
        <w:rPr>
          <w:rFonts w:hint="eastAsia" w:ascii="仿宋" w:hAnsi="仿宋" w:eastAsia="仿宋"/>
          <w:b/>
          <w:bCs/>
          <w:color w:val="auto"/>
          <w:sz w:val="24"/>
          <w:szCs w:val="24"/>
          <w:highlight w:val="none"/>
          <w:lang w:eastAsia="zh-CN"/>
        </w:rPr>
        <w:t>：</w:t>
      </w:r>
      <w:r>
        <w:rPr>
          <w:rFonts w:hint="eastAsia" w:ascii="仿宋" w:hAnsi="仿宋" w:eastAsia="仿宋"/>
          <w:b/>
          <w:bCs/>
          <w:color w:val="auto"/>
          <w:sz w:val="24"/>
          <w:szCs w:val="24"/>
          <w:highlight w:val="none"/>
        </w:rPr>
        <w:t>支出</w:t>
      </w:r>
      <w:r>
        <w:rPr>
          <w:rFonts w:hint="eastAsia" w:ascii="仿宋" w:hAnsi="仿宋" w:eastAsia="仿宋"/>
          <w:b/>
          <w:bCs/>
          <w:color w:val="auto"/>
          <w:sz w:val="24"/>
          <w:szCs w:val="24"/>
          <w:highlight w:val="none"/>
          <w:lang w:val="en-US" w:eastAsia="zh-CN"/>
        </w:rPr>
        <w:t>决算为</w:t>
      </w:r>
      <w:r>
        <w:rPr>
          <w:rFonts w:hint="eastAsia" w:ascii="仿宋" w:hAnsi="仿宋" w:eastAsia="仿宋"/>
          <w:color w:val="auto"/>
          <w:sz w:val="24"/>
          <w:szCs w:val="24"/>
          <w:highlight w:val="none"/>
          <w:lang w:val="en-US" w:eastAsia="zh-CN"/>
        </w:rPr>
        <w:t>19.09</w:t>
      </w:r>
      <w:r>
        <w:rPr>
          <w:rFonts w:hint="eastAsia" w:ascii="仿宋" w:hAnsi="仿宋" w:eastAsia="仿宋"/>
          <w:color w:val="auto"/>
          <w:sz w:val="24"/>
          <w:szCs w:val="24"/>
          <w:highlight w:val="none"/>
        </w:rPr>
        <w:t>万元，</w:t>
      </w:r>
      <w:r>
        <w:rPr>
          <w:rStyle w:val="16"/>
          <w:rFonts w:hint="eastAsia" w:ascii="仿宋" w:hAnsi="仿宋" w:eastAsia="仿宋"/>
          <w:b w:val="0"/>
          <w:bCs/>
          <w:color w:val="auto"/>
          <w:sz w:val="24"/>
          <w:szCs w:val="24"/>
          <w:highlight w:val="none"/>
        </w:rPr>
        <w:t>完成预算</w:t>
      </w:r>
      <w:r>
        <w:rPr>
          <w:rStyle w:val="16"/>
          <w:rFonts w:hint="eastAsia" w:ascii="仿宋" w:hAnsi="仿宋" w:eastAsia="仿宋"/>
          <w:b w:val="0"/>
          <w:bCs/>
          <w:color w:val="auto"/>
          <w:sz w:val="24"/>
          <w:szCs w:val="24"/>
          <w:highlight w:val="none"/>
          <w:lang w:val="en-US" w:eastAsia="zh-CN"/>
        </w:rPr>
        <w:t>100.00</w:t>
      </w:r>
      <w:r>
        <w:rPr>
          <w:rStyle w:val="16"/>
          <w:rFonts w:ascii="仿宋" w:hAnsi="仿宋" w:eastAsia="仿宋"/>
          <w:b w:val="0"/>
          <w:bCs/>
          <w:color w:val="auto"/>
          <w:sz w:val="24"/>
          <w:szCs w:val="24"/>
          <w:highlight w:val="none"/>
        </w:rPr>
        <w:t>%</w:t>
      </w:r>
      <w:r>
        <w:rPr>
          <w:rStyle w:val="16"/>
          <w:rFonts w:hint="eastAsia" w:ascii="仿宋" w:hAnsi="仿宋" w:eastAsia="仿宋"/>
          <w:b w:val="0"/>
          <w:bCs/>
          <w:color w:val="auto"/>
          <w:sz w:val="24"/>
          <w:szCs w:val="24"/>
          <w:highlight w:val="none"/>
        </w:rPr>
        <w:t>，决算数等于预算数的主要原因是</w:t>
      </w:r>
      <w:r>
        <w:rPr>
          <w:rStyle w:val="16"/>
          <w:rFonts w:hint="eastAsia" w:ascii="仿宋" w:hAnsi="仿宋" w:eastAsia="仿宋" w:cstheme="minorBidi"/>
          <w:b w:val="0"/>
          <w:bCs/>
          <w:color w:val="auto"/>
          <w:kern w:val="0"/>
          <w:sz w:val="24"/>
          <w:szCs w:val="24"/>
          <w:highlight w:val="none"/>
          <w:lang w:val="en-US" w:eastAsia="zh-CN" w:bidi="ar-SA"/>
        </w:rPr>
        <w:t>年初预算根据实际编列，</w:t>
      </w:r>
      <w:r>
        <w:rPr>
          <w:rStyle w:val="16"/>
          <w:rFonts w:hint="eastAsia" w:ascii="仿宋" w:hAnsi="仿宋" w:eastAsia="仿宋"/>
          <w:b w:val="0"/>
          <w:bCs/>
          <w:color w:val="auto"/>
          <w:sz w:val="24"/>
          <w:szCs w:val="24"/>
          <w:highlight w:val="none"/>
          <w:lang w:val="en-US" w:eastAsia="zh-CN"/>
        </w:rPr>
        <w:t>项目实施中及时根据支出情况调整预算。</w:t>
      </w:r>
    </w:p>
    <w:p>
      <w:pPr>
        <w:keepNext w:val="0"/>
        <w:keepLines w:val="0"/>
        <w:pageBreakBefore w:val="0"/>
        <w:widowControl w:val="0"/>
        <w:tabs>
          <w:tab w:val="right" w:pos="8306"/>
        </w:tabs>
        <w:kinsoku/>
        <w:wordWrap/>
        <w:overflowPunct/>
        <w:topLinePunct w:val="0"/>
        <w:autoSpaceDE/>
        <w:autoSpaceDN/>
        <w:bidi w:val="0"/>
        <w:adjustRightInd/>
        <w:snapToGrid w:val="0"/>
        <w:spacing w:line="550" w:lineRule="exact"/>
        <w:ind w:firstLine="640"/>
        <w:textAlignment w:val="auto"/>
        <w:outlineLvl w:val="1"/>
        <w:rPr>
          <w:rStyle w:val="27"/>
          <w:color w:val="000000" w:themeColor="text1"/>
          <w:highlight w:val="none"/>
          <w14:textFill>
            <w14:solidFill>
              <w14:schemeClr w14:val="tx1"/>
            </w14:solidFill>
          </w14:textFill>
        </w:rPr>
      </w:pPr>
      <w:bookmarkStart w:id="39" w:name="_Toc15377214"/>
      <w:bookmarkStart w:id="40" w:name="_Toc15396608"/>
      <w:bookmarkStart w:id="41" w:name="_Toc22707"/>
      <w:r>
        <w:rPr>
          <w:rFonts w:hint="eastAsia" w:ascii="黑体" w:eastAsia="黑体"/>
          <w:color w:val="000000" w:themeColor="text1"/>
          <w:sz w:val="32"/>
          <w:szCs w:val="32"/>
          <w:highlight w:val="none"/>
          <w14:textFill>
            <w14:solidFill>
              <w14:schemeClr w14:val="tx1"/>
            </w14:solidFill>
          </w14:textFill>
        </w:rPr>
        <w:t>六</w:t>
      </w:r>
      <w:r>
        <w:rPr>
          <w:rFonts w:hint="eastAsia" w:ascii="黑体" w:eastAsia="黑体"/>
          <w:b/>
          <w:color w:val="000000" w:themeColor="text1"/>
          <w:sz w:val="32"/>
          <w:szCs w:val="32"/>
          <w:highlight w:val="none"/>
          <w14:textFill>
            <w14:solidFill>
              <w14:schemeClr w14:val="tx1"/>
            </w14:solidFill>
          </w14:textFill>
        </w:rPr>
        <w:t>、</w:t>
      </w:r>
      <w:r>
        <w:rPr>
          <w:rFonts w:hint="eastAsia" w:ascii="黑体" w:hAnsi="黑体" w:eastAsia="黑体"/>
          <w:b/>
          <w:color w:val="000000" w:themeColor="text1"/>
          <w:sz w:val="32"/>
          <w:szCs w:val="32"/>
          <w:highlight w:val="none"/>
          <w14:textFill>
            <w14:solidFill>
              <w14:schemeClr w14:val="tx1"/>
            </w14:solidFill>
          </w14:textFill>
        </w:rPr>
        <w:t>一</w:t>
      </w:r>
      <w:r>
        <w:rPr>
          <w:rStyle w:val="27"/>
          <w:rFonts w:hint="eastAsia" w:ascii="黑体" w:hAnsi="黑体" w:eastAsia="黑体"/>
          <w:b w:val="0"/>
          <w:color w:val="000000" w:themeColor="text1"/>
          <w:highlight w:val="none"/>
          <w14:textFill>
            <w14:solidFill>
              <w14:schemeClr w14:val="tx1"/>
            </w14:solidFill>
          </w14:textFill>
        </w:rPr>
        <w:t>般公共预算财政拨款基本支出决算情况说明</w:t>
      </w:r>
      <w:bookmarkEnd w:id="39"/>
      <w:bookmarkEnd w:id="40"/>
      <w:bookmarkEnd w:id="41"/>
      <w:r>
        <w:rPr>
          <w:rStyle w:val="27"/>
          <w:rFonts w:ascii="黑体" w:hAnsi="黑体" w:eastAsia="黑体"/>
          <w:b w:val="0"/>
          <w:color w:val="000000" w:themeColor="text1"/>
          <w:highlight w:val="none"/>
          <w14:textFill>
            <w14:solidFill>
              <w14:schemeClr w14:val="tx1"/>
            </w14:solidFill>
          </w14:textFill>
        </w:rPr>
        <w:tab/>
      </w:r>
    </w:p>
    <w:p>
      <w:pPr>
        <w:spacing w:line="600" w:lineRule="exact"/>
        <w:ind w:firstLine="645"/>
        <w:rPr>
          <w:rFonts w:ascii="仿宋" w:hAnsi="仿宋" w:eastAsia="仿宋"/>
          <w:color w:val="auto"/>
          <w:sz w:val="24"/>
          <w:szCs w:val="24"/>
          <w:highlight w:val="none"/>
        </w:rPr>
      </w:pPr>
      <w:r>
        <w:rPr>
          <w:rFonts w:ascii="仿宋" w:hAnsi="仿宋" w:eastAsia="仿宋"/>
          <w:color w:val="auto"/>
          <w:sz w:val="24"/>
          <w:szCs w:val="24"/>
          <w:highlight w:val="none"/>
        </w:rPr>
        <w:t>20</w:t>
      </w:r>
      <w:r>
        <w:rPr>
          <w:rFonts w:hint="eastAsia" w:ascii="仿宋" w:hAnsi="仿宋" w:eastAsia="仿宋"/>
          <w:color w:val="auto"/>
          <w:sz w:val="24"/>
          <w:szCs w:val="24"/>
          <w:highlight w:val="none"/>
          <w:lang w:val="en-US" w:eastAsia="zh-CN"/>
        </w:rPr>
        <w:t>22</w:t>
      </w:r>
      <w:r>
        <w:rPr>
          <w:rFonts w:hint="eastAsia" w:ascii="仿宋" w:hAnsi="仿宋" w:eastAsia="仿宋"/>
          <w:color w:val="auto"/>
          <w:sz w:val="24"/>
          <w:szCs w:val="24"/>
          <w:highlight w:val="none"/>
        </w:rPr>
        <w:t>年一般公共预算财政拨款基本支出</w:t>
      </w:r>
      <w:r>
        <w:rPr>
          <w:rFonts w:hint="eastAsia" w:ascii="仿宋" w:hAnsi="仿宋" w:eastAsia="仿宋"/>
          <w:color w:val="auto"/>
          <w:sz w:val="24"/>
          <w:szCs w:val="24"/>
          <w:highlight w:val="none"/>
          <w:lang w:val="en-US" w:eastAsia="zh-CN"/>
        </w:rPr>
        <w:t>455.27</w:t>
      </w:r>
      <w:r>
        <w:rPr>
          <w:rFonts w:hint="eastAsia" w:ascii="仿宋" w:hAnsi="仿宋" w:eastAsia="仿宋"/>
          <w:color w:val="auto"/>
          <w:sz w:val="24"/>
          <w:szCs w:val="24"/>
          <w:highlight w:val="none"/>
        </w:rPr>
        <w:t>万元，其中：</w:t>
      </w:r>
    </w:p>
    <w:p>
      <w:pPr>
        <w:spacing w:line="600" w:lineRule="exact"/>
        <w:ind w:firstLine="645"/>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人员经费</w:t>
      </w:r>
      <w:r>
        <w:rPr>
          <w:rFonts w:hint="eastAsia" w:ascii="仿宋" w:hAnsi="仿宋" w:eastAsia="仿宋"/>
          <w:color w:val="auto"/>
          <w:sz w:val="24"/>
          <w:szCs w:val="24"/>
          <w:highlight w:val="none"/>
          <w:lang w:val="en-US" w:eastAsia="zh-CN"/>
        </w:rPr>
        <w:t>420.16</w:t>
      </w:r>
      <w:r>
        <w:rPr>
          <w:rFonts w:hint="eastAsia" w:ascii="仿宋" w:hAnsi="仿宋" w:eastAsia="仿宋"/>
          <w:color w:val="auto"/>
          <w:sz w:val="24"/>
          <w:szCs w:val="24"/>
          <w:highlight w:val="none"/>
        </w:rPr>
        <w:t>万元，主要包括：基本工资</w:t>
      </w:r>
      <w:r>
        <w:rPr>
          <w:rFonts w:hint="eastAsia" w:ascii="仿宋" w:hAnsi="仿宋" w:eastAsia="仿宋"/>
          <w:color w:val="auto"/>
          <w:sz w:val="24"/>
          <w:szCs w:val="24"/>
          <w:highlight w:val="none"/>
          <w:lang w:val="en-US" w:eastAsia="zh-CN"/>
        </w:rPr>
        <w:t>144.55万元</w:t>
      </w:r>
      <w:r>
        <w:rPr>
          <w:rFonts w:hint="eastAsia" w:ascii="仿宋" w:hAnsi="仿宋" w:eastAsia="仿宋"/>
          <w:color w:val="auto"/>
          <w:sz w:val="24"/>
          <w:szCs w:val="24"/>
          <w:highlight w:val="none"/>
        </w:rPr>
        <w:t>、津贴补贴</w:t>
      </w:r>
      <w:r>
        <w:rPr>
          <w:rFonts w:hint="eastAsia" w:ascii="仿宋" w:hAnsi="仿宋" w:eastAsia="仿宋"/>
          <w:color w:val="auto"/>
          <w:sz w:val="24"/>
          <w:szCs w:val="24"/>
          <w:highlight w:val="none"/>
          <w:lang w:val="en-US" w:eastAsia="zh-CN"/>
        </w:rPr>
        <w:t>18.28万元</w:t>
      </w:r>
      <w:r>
        <w:rPr>
          <w:rFonts w:hint="eastAsia" w:ascii="仿宋" w:hAnsi="仿宋" w:eastAsia="仿宋"/>
          <w:color w:val="auto"/>
          <w:sz w:val="24"/>
          <w:szCs w:val="24"/>
          <w:highlight w:val="none"/>
        </w:rPr>
        <w:t>、绩效工资</w:t>
      </w:r>
      <w:r>
        <w:rPr>
          <w:rFonts w:hint="eastAsia" w:ascii="仿宋" w:hAnsi="仿宋" w:eastAsia="仿宋"/>
          <w:color w:val="auto"/>
          <w:sz w:val="24"/>
          <w:szCs w:val="24"/>
          <w:highlight w:val="none"/>
          <w:lang w:val="en-US" w:eastAsia="zh-CN"/>
        </w:rPr>
        <w:t>63.21万元</w:t>
      </w:r>
      <w:r>
        <w:rPr>
          <w:rFonts w:hint="eastAsia" w:ascii="仿宋" w:hAnsi="仿宋" w:eastAsia="仿宋"/>
          <w:color w:val="auto"/>
          <w:sz w:val="24"/>
          <w:szCs w:val="24"/>
          <w:highlight w:val="none"/>
        </w:rPr>
        <w:t>、机关事业单位基本养老保险缴费</w:t>
      </w:r>
      <w:r>
        <w:rPr>
          <w:rFonts w:hint="eastAsia" w:ascii="仿宋" w:hAnsi="仿宋" w:eastAsia="仿宋"/>
          <w:color w:val="auto"/>
          <w:sz w:val="24"/>
          <w:szCs w:val="24"/>
          <w:highlight w:val="none"/>
          <w:lang w:val="en-US" w:eastAsia="zh-CN"/>
        </w:rPr>
        <w:t>25.45万元</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职工医疗保险缴费12.72万元，</w:t>
      </w:r>
      <w:r>
        <w:rPr>
          <w:rFonts w:hint="eastAsia" w:ascii="仿宋" w:hAnsi="仿宋" w:eastAsia="仿宋"/>
          <w:color w:val="auto"/>
          <w:sz w:val="24"/>
          <w:szCs w:val="24"/>
          <w:highlight w:val="none"/>
        </w:rPr>
        <w:t>其他社会保障缴费</w:t>
      </w:r>
      <w:r>
        <w:rPr>
          <w:rFonts w:hint="eastAsia" w:ascii="仿宋" w:hAnsi="仿宋" w:eastAsia="仿宋"/>
          <w:color w:val="auto"/>
          <w:sz w:val="24"/>
          <w:szCs w:val="24"/>
          <w:highlight w:val="none"/>
          <w:lang w:val="en-US" w:eastAsia="zh-CN"/>
        </w:rPr>
        <w:t>1.21万元</w:t>
      </w:r>
      <w:r>
        <w:rPr>
          <w:rFonts w:hint="eastAsia" w:ascii="仿宋" w:hAnsi="仿宋" w:eastAsia="仿宋"/>
          <w:color w:val="auto"/>
          <w:sz w:val="24"/>
          <w:szCs w:val="24"/>
          <w:highlight w:val="none"/>
        </w:rPr>
        <w:t>、住房公积金</w:t>
      </w:r>
      <w:r>
        <w:rPr>
          <w:rFonts w:hint="eastAsia" w:ascii="仿宋" w:hAnsi="仿宋" w:eastAsia="仿宋"/>
          <w:color w:val="auto"/>
          <w:sz w:val="24"/>
          <w:szCs w:val="24"/>
          <w:highlight w:val="none"/>
          <w:lang w:val="en-US" w:eastAsia="zh-CN"/>
        </w:rPr>
        <w:t>19.09万元、</w:t>
      </w:r>
      <w:r>
        <w:rPr>
          <w:rFonts w:hint="eastAsia" w:ascii="仿宋" w:hAnsi="仿宋" w:eastAsia="仿宋"/>
          <w:color w:val="auto"/>
          <w:sz w:val="24"/>
          <w:szCs w:val="24"/>
          <w:highlight w:val="none"/>
        </w:rPr>
        <w:t>其他工资福利支出</w:t>
      </w:r>
      <w:r>
        <w:rPr>
          <w:rFonts w:hint="eastAsia" w:ascii="仿宋" w:hAnsi="仿宋" w:eastAsia="仿宋"/>
          <w:color w:val="auto"/>
          <w:sz w:val="24"/>
          <w:szCs w:val="24"/>
          <w:highlight w:val="none"/>
          <w:lang w:val="en-US" w:eastAsia="zh-CN"/>
        </w:rPr>
        <w:t>60.00万元</w:t>
      </w:r>
      <w:r>
        <w:rPr>
          <w:rFonts w:hint="eastAsia" w:ascii="仿宋" w:hAnsi="仿宋" w:eastAsia="仿宋"/>
          <w:color w:val="auto"/>
          <w:sz w:val="24"/>
          <w:szCs w:val="24"/>
          <w:highlight w:val="none"/>
        </w:rPr>
        <w:t>、退休费</w:t>
      </w:r>
      <w:r>
        <w:rPr>
          <w:rFonts w:hint="eastAsia" w:ascii="仿宋" w:hAnsi="仿宋" w:eastAsia="仿宋"/>
          <w:color w:val="auto"/>
          <w:sz w:val="24"/>
          <w:szCs w:val="24"/>
          <w:highlight w:val="none"/>
          <w:lang w:val="en-US" w:eastAsia="zh-CN"/>
        </w:rPr>
        <w:t>44.77万元</w:t>
      </w:r>
      <w:r>
        <w:rPr>
          <w:rFonts w:hint="eastAsia" w:ascii="仿宋" w:hAnsi="仿宋" w:eastAsia="仿宋"/>
          <w:color w:val="auto"/>
          <w:sz w:val="24"/>
          <w:szCs w:val="24"/>
          <w:highlight w:val="none"/>
        </w:rPr>
        <w:t>、生活补助</w:t>
      </w:r>
      <w:r>
        <w:rPr>
          <w:rFonts w:hint="eastAsia" w:ascii="仿宋" w:hAnsi="仿宋" w:eastAsia="仿宋"/>
          <w:color w:val="auto"/>
          <w:sz w:val="24"/>
          <w:szCs w:val="24"/>
          <w:highlight w:val="none"/>
          <w:lang w:val="en-US" w:eastAsia="zh-CN"/>
        </w:rPr>
        <w:t>30.80万元、</w:t>
      </w:r>
      <w:r>
        <w:rPr>
          <w:rFonts w:hint="eastAsia" w:ascii="仿宋" w:hAnsi="仿宋" w:eastAsia="仿宋"/>
          <w:color w:val="auto"/>
          <w:sz w:val="24"/>
          <w:szCs w:val="24"/>
          <w:highlight w:val="none"/>
        </w:rPr>
        <w:t>奖励金</w:t>
      </w:r>
      <w:r>
        <w:rPr>
          <w:rFonts w:hint="eastAsia" w:ascii="仿宋" w:hAnsi="仿宋" w:eastAsia="仿宋"/>
          <w:color w:val="auto"/>
          <w:sz w:val="24"/>
          <w:szCs w:val="24"/>
          <w:highlight w:val="none"/>
          <w:lang w:val="en-US" w:eastAsia="zh-CN"/>
        </w:rPr>
        <w:t>0.07万元</w:t>
      </w:r>
      <w:r>
        <w:rPr>
          <w:rFonts w:hint="eastAsia" w:ascii="仿宋" w:hAnsi="仿宋" w:eastAsia="仿宋"/>
          <w:color w:val="auto"/>
          <w:sz w:val="24"/>
          <w:szCs w:val="24"/>
          <w:highlight w:val="none"/>
        </w:rPr>
        <w:t>、、其他对个人和家庭的补助支出等。</w:t>
      </w:r>
    </w:p>
    <w:p>
      <w:pPr>
        <w:spacing w:line="600" w:lineRule="exact"/>
        <w:ind w:firstLine="645"/>
        <w:rPr>
          <w:rFonts w:ascii="仿宋" w:hAnsi="仿宋" w:eastAsia="仿宋"/>
          <w:color w:val="auto"/>
          <w:sz w:val="24"/>
          <w:szCs w:val="24"/>
          <w:highlight w:val="none"/>
        </w:rPr>
      </w:pPr>
      <w:r>
        <w:rPr>
          <w:rFonts w:hint="eastAsia" w:ascii="仿宋" w:hAnsi="仿宋" w:eastAsia="仿宋"/>
          <w:color w:val="auto"/>
          <w:sz w:val="24"/>
          <w:szCs w:val="24"/>
          <w:highlight w:val="none"/>
        </w:rPr>
        <w:t>公用经费</w:t>
      </w:r>
      <w:r>
        <w:rPr>
          <w:rFonts w:hint="eastAsia" w:ascii="仿宋" w:hAnsi="仿宋" w:eastAsia="仿宋"/>
          <w:color w:val="auto"/>
          <w:sz w:val="24"/>
          <w:szCs w:val="24"/>
          <w:highlight w:val="none"/>
          <w:lang w:val="en-US" w:eastAsia="zh-CN"/>
        </w:rPr>
        <w:t>35.11</w:t>
      </w:r>
      <w:r>
        <w:rPr>
          <w:rFonts w:hint="eastAsia" w:ascii="仿宋" w:hAnsi="仿宋" w:eastAsia="仿宋"/>
          <w:color w:val="auto"/>
          <w:sz w:val="24"/>
          <w:szCs w:val="24"/>
          <w:highlight w:val="none"/>
        </w:rPr>
        <w:t>万元，主要包括：办公费</w:t>
      </w:r>
      <w:r>
        <w:rPr>
          <w:rFonts w:hint="eastAsia" w:ascii="仿宋" w:hAnsi="仿宋" w:eastAsia="仿宋"/>
          <w:color w:val="auto"/>
          <w:sz w:val="24"/>
          <w:szCs w:val="24"/>
          <w:highlight w:val="none"/>
          <w:lang w:val="en-US" w:eastAsia="zh-CN"/>
        </w:rPr>
        <w:t>11.18万元</w:t>
      </w:r>
      <w:r>
        <w:rPr>
          <w:rFonts w:hint="eastAsia" w:ascii="仿宋" w:hAnsi="仿宋" w:eastAsia="仿宋"/>
          <w:color w:val="auto"/>
          <w:sz w:val="24"/>
          <w:szCs w:val="24"/>
          <w:highlight w:val="none"/>
        </w:rPr>
        <w:t>、印刷费</w:t>
      </w:r>
      <w:r>
        <w:rPr>
          <w:rFonts w:hint="eastAsia" w:ascii="仿宋" w:hAnsi="仿宋" w:eastAsia="仿宋"/>
          <w:color w:val="auto"/>
          <w:sz w:val="24"/>
          <w:szCs w:val="24"/>
          <w:highlight w:val="none"/>
          <w:lang w:val="en-US" w:eastAsia="zh-CN"/>
        </w:rPr>
        <w:t>0.13万元</w:t>
      </w:r>
      <w:r>
        <w:rPr>
          <w:rFonts w:hint="eastAsia" w:ascii="仿宋" w:hAnsi="仿宋" w:eastAsia="仿宋"/>
          <w:color w:val="auto"/>
          <w:sz w:val="24"/>
          <w:szCs w:val="24"/>
          <w:highlight w:val="none"/>
        </w:rPr>
        <w:t>、手续费</w:t>
      </w:r>
      <w:r>
        <w:rPr>
          <w:rFonts w:hint="eastAsia" w:ascii="仿宋" w:hAnsi="仿宋" w:eastAsia="仿宋"/>
          <w:color w:val="auto"/>
          <w:sz w:val="24"/>
          <w:szCs w:val="24"/>
          <w:highlight w:val="none"/>
          <w:lang w:val="en-US" w:eastAsia="zh-CN"/>
        </w:rPr>
        <w:t>0.03万元</w:t>
      </w:r>
      <w:r>
        <w:rPr>
          <w:rFonts w:hint="eastAsia" w:ascii="仿宋" w:hAnsi="仿宋" w:eastAsia="仿宋"/>
          <w:color w:val="auto"/>
          <w:sz w:val="24"/>
          <w:szCs w:val="24"/>
          <w:highlight w:val="none"/>
        </w:rPr>
        <w:t>、水费</w:t>
      </w:r>
      <w:r>
        <w:rPr>
          <w:rFonts w:hint="eastAsia" w:ascii="仿宋" w:hAnsi="仿宋" w:eastAsia="仿宋"/>
          <w:color w:val="auto"/>
          <w:sz w:val="24"/>
          <w:szCs w:val="24"/>
          <w:highlight w:val="none"/>
          <w:lang w:val="en-US" w:eastAsia="zh-CN"/>
        </w:rPr>
        <w:t>0.28万元</w:t>
      </w:r>
      <w:r>
        <w:rPr>
          <w:rFonts w:hint="eastAsia" w:ascii="仿宋" w:hAnsi="仿宋" w:eastAsia="仿宋"/>
          <w:color w:val="auto"/>
          <w:sz w:val="24"/>
          <w:szCs w:val="24"/>
          <w:highlight w:val="none"/>
        </w:rPr>
        <w:t>、电费</w:t>
      </w:r>
      <w:r>
        <w:rPr>
          <w:rFonts w:hint="eastAsia" w:ascii="仿宋" w:hAnsi="仿宋" w:eastAsia="仿宋"/>
          <w:color w:val="auto"/>
          <w:sz w:val="24"/>
          <w:szCs w:val="24"/>
          <w:highlight w:val="none"/>
          <w:lang w:val="en-US" w:eastAsia="zh-CN"/>
        </w:rPr>
        <w:t>0.78万元</w:t>
      </w:r>
      <w:r>
        <w:rPr>
          <w:rFonts w:hint="eastAsia" w:ascii="仿宋" w:hAnsi="仿宋" w:eastAsia="仿宋"/>
          <w:color w:val="auto"/>
          <w:sz w:val="24"/>
          <w:szCs w:val="24"/>
          <w:highlight w:val="none"/>
        </w:rPr>
        <w:t>、差旅费</w:t>
      </w:r>
      <w:r>
        <w:rPr>
          <w:rFonts w:hint="eastAsia" w:ascii="仿宋" w:hAnsi="仿宋" w:eastAsia="仿宋"/>
          <w:color w:val="auto"/>
          <w:sz w:val="24"/>
          <w:szCs w:val="24"/>
          <w:highlight w:val="none"/>
          <w:lang w:val="en-US" w:eastAsia="zh-CN"/>
        </w:rPr>
        <w:t>1.53万元</w:t>
      </w:r>
      <w:r>
        <w:rPr>
          <w:rFonts w:hint="eastAsia" w:ascii="仿宋" w:hAnsi="仿宋" w:eastAsia="仿宋"/>
          <w:color w:val="auto"/>
          <w:sz w:val="24"/>
          <w:szCs w:val="24"/>
          <w:highlight w:val="none"/>
        </w:rPr>
        <w:t>、维修（护）费</w:t>
      </w:r>
      <w:r>
        <w:rPr>
          <w:rFonts w:hint="eastAsia" w:ascii="仿宋" w:hAnsi="仿宋" w:eastAsia="仿宋"/>
          <w:color w:val="auto"/>
          <w:sz w:val="24"/>
          <w:szCs w:val="24"/>
          <w:highlight w:val="none"/>
          <w:lang w:val="en-US" w:eastAsia="zh-CN"/>
        </w:rPr>
        <w:t>1.12万元</w:t>
      </w:r>
      <w:r>
        <w:rPr>
          <w:rFonts w:hint="eastAsia" w:ascii="仿宋" w:hAnsi="仿宋" w:eastAsia="仿宋"/>
          <w:color w:val="auto"/>
          <w:sz w:val="24"/>
          <w:szCs w:val="24"/>
          <w:highlight w:val="none"/>
        </w:rPr>
        <w:t>、培训费</w:t>
      </w:r>
      <w:r>
        <w:rPr>
          <w:rFonts w:hint="eastAsia" w:ascii="仿宋" w:hAnsi="仿宋" w:eastAsia="仿宋"/>
          <w:color w:val="auto"/>
          <w:sz w:val="24"/>
          <w:szCs w:val="24"/>
          <w:highlight w:val="none"/>
          <w:lang w:val="en-US" w:eastAsia="zh-CN"/>
        </w:rPr>
        <w:t>0.21万元</w:t>
      </w:r>
      <w:r>
        <w:rPr>
          <w:rFonts w:hint="eastAsia" w:ascii="仿宋" w:hAnsi="仿宋" w:eastAsia="仿宋"/>
          <w:color w:val="auto"/>
          <w:sz w:val="24"/>
          <w:szCs w:val="24"/>
          <w:highlight w:val="none"/>
        </w:rPr>
        <w:t>、劳务费</w:t>
      </w:r>
      <w:r>
        <w:rPr>
          <w:rFonts w:hint="eastAsia" w:ascii="仿宋" w:hAnsi="仿宋" w:eastAsia="仿宋"/>
          <w:color w:val="auto"/>
          <w:sz w:val="24"/>
          <w:szCs w:val="24"/>
          <w:highlight w:val="none"/>
          <w:lang w:val="en-US" w:eastAsia="zh-CN"/>
        </w:rPr>
        <w:t>12.11万元</w:t>
      </w:r>
      <w:r>
        <w:rPr>
          <w:rFonts w:hint="eastAsia" w:ascii="仿宋" w:hAnsi="仿宋" w:eastAsia="仿宋"/>
          <w:color w:val="auto"/>
          <w:sz w:val="24"/>
          <w:szCs w:val="24"/>
          <w:highlight w:val="none"/>
        </w:rPr>
        <w:t>、工会经费</w:t>
      </w:r>
      <w:r>
        <w:rPr>
          <w:rFonts w:hint="eastAsia" w:ascii="仿宋" w:hAnsi="仿宋" w:eastAsia="仿宋"/>
          <w:color w:val="auto"/>
          <w:sz w:val="24"/>
          <w:szCs w:val="24"/>
          <w:highlight w:val="none"/>
          <w:lang w:val="en-US" w:eastAsia="zh-CN"/>
        </w:rPr>
        <w:t>1.59万元</w:t>
      </w:r>
      <w:r>
        <w:rPr>
          <w:rFonts w:hint="eastAsia" w:ascii="仿宋" w:hAnsi="仿宋" w:eastAsia="仿宋"/>
          <w:color w:val="auto"/>
          <w:sz w:val="24"/>
          <w:szCs w:val="24"/>
          <w:highlight w:val="none"/>
        </w:rPr>
        <w:t>、福利费</w:t>
      </w:r>
      <w:r>
        <w:rPr>
          <w:rFonts w:hint="eastAsia" w:ascii="仿宋" w:hAnsi="仿宋" w:eastAsia="仿宋"/>
          <w:color w:val="auto"/>
          <w:sz w:val="24"/>
          <w:szCs w:val="24"/>
          <w:highlight w:val="none"/>
          <w:lang w:val="en-US" w:eastAsia="zh-CN"/>
        </w:rPr>
        <w:t>6.17万元。</w:t>
      </w:r>
    </w:p>
    <w:p>
      <w:pPr>
        <w:keepNext w:val="0"/>
        <w:keepLines w:val="0"/>
        <w:pageBreakBefore w:val="0"/>
        <w:widowControl w:val="0"/>
        <w:kinsoku/>
        <w:wordWrap/>
        <w:overflowPunct/>
        <w:topLinePunct w:val="0"/>
        <w:autoSpaceDE/>
        <w:autoSpaceDN/>
        <w:bidi w:val="0"/>
        <w:adjustRightInd/>
        <w:snapToGrid w:val="0"/>
        <w:spacing w:line="550" w:lineRule="exact"/>
        <w:ind w:firstLine="640"/>
        <w:textAlignment w:val="auto"/>
        <w:outlineLvl w:val="1"/>
        <w:rPr>
          <w:rStyle w:val="27"/>
          <w:rFonts w:ascii="黑体" w:hAnsi="黑体" w:eastAsia="黑体"/>
          <w:b w:val="0"/>
          <w:color w:val="000000" w:themeColor="text1"/>
          <w:highlight w:val="none"/>
          <w14:textFill>
            <w14:solidFill>
              <w14:schemeClr w14:val="tx1"/>
            </w14:solidFill>
          </w14:textFill>
        </w:rPr>
      </w:pPr>
      <w:bookmarkStart w:id="42" w:name="_Toc17578"/>
      <w:bookmarkStart w:id="43" w:name="_Toc15396609"/>
      <w:bookmarkStart w:id="44" w:name="_Toc15377215"/>
      <w:r>
        <w:rPr>
          <w:rFonts w:hint="eastAsia" w:ascii="黑体" w:eastAsia="黑体"/>
          <w:color w:val="000000" w:themeColor="text1"/>
          <w:sz w:val="32"/>
          <w:szCs w:val="32"/>
          <w:highlight w:val="none"/>
          <w14:textFill>
            <w14:solidFill>
              <w14:schemeClr w14:val="tx1"/>
            </w14:solidFill>
          </w14:textFill>
        </w:rPr>
        <w:t>七、</w:t>
      </w:r>
      <w:r>
        <w:rPr>
          <w:rStyle w:val="27"/>
          <w:rFonts w:hint="eastAsia" w:ascii="黑体" w:hAnsi="黑体" w:eastAsia="黑体"/>
          <w:color w:val="000000" w:themeColor="text1"/>
          <w:highlight w:val="none"/>
          <w14:textFill>
            <w14:solidFill>
              <w14:schemeClr w14:val="tx1"/>
            </w14:solidFill>
          </w14:textFill>
        </w:rPr>
        <w:t>“</w:t>
      </w:r>
      <w:r>
        <w:rPr>
          <w:rStyle w:val="27"/>
          <w:rFonts w:hint="eastAsia" w:ascii="黑体" w:hAnsi="黑体" w:eastAsia="黑体"/>
          <w:b w:val="0"/>
          <w:color w:val="000000" w:themeColor="text1"/>
          <w:highlight w:val="none"/>
          <w14:textFill>
            <w14:solidFill>
              <w14:schemeClr w14:val="tx1"/>
            </w14:solidFill>
          </w14:textFill>
        </w:rPr>
        <w:t>三公”经费财政拨款支出决算情况说明</w:t>
      </w:r>
      <w:bookmarkEnd w:id="42"/>
      <w:bookmarkEnd w:id="43"/>
      <w:bookmarkEnd w:id="44"/>
    </w:p>
    <w:p>
      <w:pPr>
        <w:keepNext w:val="0"/>
        <w:keepLines w:val="0"/>
        <w:pageBreakBefore w:val="0"/>
        <w:widowControl w:val="0"/>
        <w:kinsoku/>
        <w:wordWrap/>
        <w:overflowPunct/>
        <w:topLinePunct w:val="0"/>
        <w:autoSpaceDE/>
        <w:autoSpaceDN/>
        <w:bidi w:val="0"/>
        <w:adjustRightInd/>
        <w:snapToGrid w:val="0"/>
        <w:spacing w:line="550" w:lineRule="exact"/>
        <w:ind w:firstLine="640"/>
        <w:textAlignment w:val="auto"/>
        <w:outlineLvl w:val="2"/>
        <w:rPr>
          <w:rFonts w:hint="eastAsia" w:ascii="楷体" w:hAnsi="楷体" w:eastAsia="楷体" w:cs="楷体"/>
          <w:b w:val="0"/>
          <w:bCs/>
          <w:color w:val="000000" w:themeColor="text1"/>
          <w:sz w:val="24"/>
          <w:szCs w:val="24"/>
          <w:highlight w:val="none"/>
          <w14:textFill>
            <w14:solidFill>
              <w14:schemeClr w14:val="tx1"/>
            </w14:solidFill>
          </w14:textFill>
        </w:rPr>
      </w:pPr>
      <w:bookmarkStart w:id="45" w:name="_Toc15377216"/>
      <w:r>
        <w:rPr>
          <w:rFonts w:hint="eastAsia" w:ascii="楷体" w:hAnsi="楷体" w:eastAsia="楷体" w:cs="楷体"/>
          <w:b w:val="0"/>
          <w:bCs/>
          <w:color w:val="000000" w:themeColor="text1"/>
          <w:sz w:val="24"/>
          <w:szCs w:val="24"/>
          <w:highlight w:val="none"/>
          <w14:textFill>
            <w14:solidFill>
              <w14:schemeClr w14:val="tx1"/>
            </w14:solidFill>
          </w14:textFill>
        </w:rPr>
        <w:t>（一）“三公”经费财政拨款支出决算总体情况说明</w:t>
      </w:r>
      <w:bookmarkEnd w:id="45"/>
    </w:p>
    <w:p>
      <w:pPr>
        <w:keepNext w:val="0"/>
        <w:keepLines w:val="0"/>
        <w:pageBreakBefore w:val="0"/>
        <w:widowControl w:val="0"/>
        <w:kinsoku/>
        <w:wordWrap/>
        <w:overflowPunct/>
        <w:topLinePunct w:val="0"/>
        <w:autoSpaceDE/>
        <w:autoSpaceDN/>
        <w:bidi w:val="0"/>
        <w:adjustRightInd/>
        <w:snapToGrid w:val="0"/>
        <w:spacing w:line="550" w:lineRule="exact"/>
        <w:ind w:firstLine="640"/>
        <w:textAlignment w:val="auto"/>
        <w:outlineLvl w:val="2"/>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20</w:t>
      </w:r>
      <w:r>
        <w:rPr>
          <w:rFonts w:hint="eastAsia" w:ascii="仿宋" w:hAnsi="仿宋" w:eastAsia="仿宋"/>
          <w:color w:val="000000" w:themeColor="text1"/>
          <w:sz w:val="24"/>
          <w:szCs w:val="24"/>
          <w:highlight w:val="none"/>
          <w:lang w:val="en-US" w:eastAsia="zh-CN"/>
          <w14:textFill>
            <w14:solidFill>
              <w14:schemeClr w14:val="tx1"/>
            </w14:solidFill>
          </w14:textFill>
        </w:rPr>
        <w:t>22</w:t>
      </w:r>
      <w:r>
        <w:rPr>
          <w:rFonts w:hint="eastAsia" w:ascii="仿宋" w:hAnsi="仿宋" w:eastAsia="仿宋"/>
          <w:color w:val="000000" w:themeColor="text1"/>
          <w:sz w:val="24"/>
          <w:szCs w:val="24"/>
          <w:highlight w:val="none"/>
          <w14:textFill>
            <w14:solidFill>
              <w14:schemeClr w14:val="tx1"/>
            </w14:solidFill>
          </w14:textFill>
        </w:rPr>
        <w:t>年“三公”经费财政拨款支出决算为</w:t>
      </w:r>
      <w:r>
        <w:rPr>
          <w:rFonts w:hint="eastAsia" w:ascii="仿宋" w:hAnsi="仿宋" w:eastAsia="仿宋"/>
          <w:color w:val="000000" w:themeColor="text1"/>
          <w:sz w:val="24"/>
          <w:szCs w:val="24"/>
          <w:highlight w:val="none"/>
          <w:lang w:val="en-US" w:eastAsia="zh-CN"/>
          <w14:textFill>
            <w14:solidFill>
              <w14:schemeClr w14:val="tx1"/>
            </w14:solidFill>
          </w14:textFill>
        </w:rPr>
        <w:t>0</w:t>
      </w:r>
      <w:r>
        <w:rPr>
          <w:rFonts w:hint="eastAsia" w:ascii="仿宋" w:hAnsi="仿宋" w:eastAsia="仿宋"/>
          <w:color w:val="000000" w:themeColor="text1"/>
          <w:sz w:val="24"/>
          <w:szCs w:val="24"/>
          <w:highlight w:val="none"/>
          <w14:textFill>
            <w14:solidFill>
              <w14:schemeClr w14:val="tx1"/>
            </w14:solidFill>
          </w14:textFill>
        </w:rPr>
        <w:t>万元，完成预算</w:t>
      </w:r>
      <w:r>
        <w:rPr>
          <w:rFonts w:hint="eastAsia" w:ascii="仿宋" w:hAnsi="仿宋" w:eastAsia="仿宋"/>
          <w:color w:val="000000" w:themeColor="text1"/>
          <w:sz w:val="24"/>
          <w:szCs w:val="24"/>
          <w:highlight w:val="none"/>
          <w:lang w:val="en-US" w:eastAsia="zh-CN"/>
          <w14:textFill>
            <w14:solidFill>
              <w14:schemeClr w14:val="tx1"/>
            </w14:solidFill>
          </w14:textFill>
        </w:rPr>
        <w:t>0.00</w:t>
      </w:r>
      <w:r>
        <w:rPr>
          <w:rFonts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，主要原因</w:t>
      </w:r>
      <w:r>
        <w:rPr>
          <w:rFonts w:hint="eastAsia" w:ascii="仿宋" w:hAnsi="仿宋" w:eastAsia="仿宋"/>
          <w:color w:val="000000" w:themeColor="text1"/>
          <w:sz w:val="24"/>
          <w:szCs w:val="24"/>
          <w:highlight w:val="none"/>
          <w:lang w:val="en-US" w:eastAsia="zh-CN"/>
          <w14:textFill>
            <w14:solidFill>
              <w14:schemeClr w14:val="tx1"/>
            </w14:solidFill>
          </w14:textFill>
        </w:rPr>
        <w:t>本年度无公务接待活动、无接待人数，无公务接待支出。</w:t>
      </w:r>
    </w:p>
    <w:p>
      <w:pPr>
        <w:keepNext w:val="0"/>
        <w:keepLines w:val="0"/>
        <w:pageBreakBefore w:val="0"/>
        <w:widowControl w:val="0"/>
        <w:kinsoku/>
        <w:wordWrap/>
        <w:overflowPunct/>
        <w:topLinePunct w:val="0"/>
        <w:autoSpaceDE/>
        <w:autoSpaceDN/>
        <w:bidi w:val="0"/>
        <w:adjustRightInd/>
        <w:snapToGrid w:val="0"/>
        <w:spacing w:line="550" w:lineRule="exact"/>
        <w:ind w:firstLine="640"/>
        <w:textAlignment w:val="auto"/>
        <w:outlineLvl w:val="2"/>
        <w:rPr>
          <w:rFonts w:hint="eastAsia" w:ascii="楷体" w:hAnsi="楷体" w:eastAsia="楷体" w:cs="楷体"/>
          <w:b w:val="0"/>
          <w:bCs/>
          <w:color w:val="000000" w:themeColor="text1"/>
          <w:sz w:val="24"/>
          <w:szCs w:val="24"/>
          <w:highlight w:val="none"/>
          <w14:textFill>
            <w14:solidFill>
              <w14:schemeClr w14:val="tx1"/>
            </w14:solidFill>
          </w14:textFill>
        </w:rPr>
      </w:pPr>
      <w:bookmarkStart w:id="46" w:name="_Toc15377217"/>
      <w:r>
        <w:rPr>
          <w:rFonts w:hint="eastAsia" w:ascii="楷体" w:hAnsi="楷体" w:eastAsia="楷体" w:cs="楷体"/>
          <w:b w:val="0"/>
          <w:bCs/>
          <w:color w:val="000000" w:themeColor="text1"/>
          <w:sz w:val="24"/>
          <w:szCs w:val="24"/>
          <w:highlight w:val="none"/>
          <w14:textFill>
            <w14:solidFill>
              <w14:schemeClr w14:val="tx1"/>
            </w14:solidFill>
          </w14:textFill>
        </w:rPr>
        <w:t>（二）“三公”经费财政拨款支出决算具体情况说明</w:t>
      </w:r>
      <w:bookmarkEnd w:id="46"/>
    </w:p>
    <w:p>
      <w:pPr>
        <w:keepNext w:val="0"/>
        <w:keepLines w:val="0"/>
        <w:pageBreakBefore w:val="0"/>
        <w:widowControl w:val="0"/>
        <w:kinsoku/>
        <w:wordWrap/>
        <w:overflowPunct/>
        <w:topLinePunct w:val="0"/>
        <w:autoSpaceDE/>
        <w:autoSpaceDN/>
        <w:bidi w:val="0"/>
        <w:adjustRightInd/>
        <w:snapToGrid w:val="0"/>
        <w:spacing w:line="550" w:lineRule="exact"/>
        <w:ind w:firstLine="640"/>
        <w:textAlignment w:val="auto"/>
        <w:outlineLvl w:val="2"/>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20</w:t>
      </w:r>
      <w:r>
        <w:rPr>
          <w:rFonts w:hint="eastAsia" w:ascii="仿宋" w:hAnsi="仿宋" w:eastAsia="仿宋"/>
          <w:color w:val="000000" w:themeColor="text1"/>
          <w:sz w:val="24"/>
          <w:szCs w:val="24"/>
          <w:highlight w:val="none"/>
          <w:lang w:val="en-US" w:eastAsia="zh-CN"/>
          <w14:textFill>
            <w14:solidFill>
              <w14:schemeClr w14:val="tx1"/>
            </w14:solidFill>
          </w14:textFill>
        </w:rPr>
        <w:t>22</w:t>
      </w:r>
      <w:r>
        <w:rPr>
          <w:rFonts w:hint="eastAsia" w:ascii="仿宋" w:hAnsi="仿宋" w:eastAsia="仿宋"/>
          <w:color w:val="000000" w:themeColor="text1"/>
          <w:sz w:val="24"/>
          <w:szCs w:val="24"/>
          <w:highlight w:val="none"/>
          <w14:textFill>
            <w14:solidFill>
              <w14:schemeClr w14:val="tx1"/>
            </w14:solidFill>
          </w14:textFill>
        </w:rPr>
        <w:t>年“三公”经费财政拨款支出决算中，因公出国（境）费支出决算</w:t>
      </w:r>
      <w:r>
        <w:rPr>
          <w:rFonts w:hint="eastAsia" w:ascii="仿宋" w:hAnsi="仿宋" w:eastAsia="仿宋"/>
          <w:color w:val="000000" w:themeColor="text1"/>
          <w:sz w:val="24"/>
          <w:szCs w:val="24"/>
          <w:highlight w:val="none"/>
          <w:lang w:val="en-US" w:eastAsia="zh-CN"/>
          <w14:textFill>
            <w14:solidFill>
              <w14:schemeClr w14:val="tx1"/>
            </w14:solidFill>
          </w14:textFill>
        </w:rPr>
        <w:t>0.00</w:t>
      </w:r>
      <w:r>
        <w:rPr>
          <w:rFonts w:hint="eastAsia" w:ascii="仿宋" w:hAnsi="仿宋" w:eastAsia="仿宋"/>
          <w:color w:val="000000" w:themeColor="text1"/>
          <w:sz w:val="24"/>
          <w:szCs w:val="24"/>
          <w:highlight w:val="none"/>
          <w14:textFill>
            <w14:solidFill>
              <w14:schemeClr w14:val="tx1"/>
            </w14:solidFill>
          </w14:textFill>
        </w:rPr>
        <w:t>万元，占</w:t>
      </w:r>
      <w:r>
        <w:rPr>
          <w:rFonts w:hint="eastAsia" w:ascii="仿宋" w:hAnsi="仿宋" w:eastAsia="仿宋"/>
          <w:color w:val="000000" w:themeColor="text1"/>
          <w:sz w:val="24"/>
          <w:szCs w:val="24"/>
          <w:highlight w:val="none"/>
          <w:lang w:val="en-US" w:eastAsia="zh-CN"/>
          <w14:textFill>
            <w14:solidFill>
              <w14:schemeClr w14:val="tx1"/>
            </w14:solidFill>
          </w14:textFill>
        </w:rPr>
        <w:t>0.00</w:t>
      </w:r>
      <w:r>
        <w:rPr>
          <w:rFonts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；公务用车购置及运行维护费支出决算</w:t>
      </w:r>
      <w:r>
        <w:rPr>
          <w:rFonts w:hint="eastAsia" w:ascii="仿宋" w:hAnsi="仿宋" w:eastAsia="仿宋"/>
          <w:color w:val="000000" w:themeColor="text1"/>
          <w:sz w:val="24"/>
          <w:szCs w:val="24"/>
          <w:highlight w:val="none"/>
          <w:lang w:val="en-US" w:eastAsia="zh-CN"/>
          <w14:textFill>
            <w14:solidFill>
              <w14:schemeClr w14:val="tx1"/>
            </w14:solidFill>
          </w14:textFill>
        </w:rPr>
        <w:t>0.00</w:t>
      </w:r>
      <w:r>
        <w:rPr>
          <w:rFonts w:hint="eastAsia" w:ascii="仿宋" w:hAnsi="仿宋" w:eastAsia="仿宋"/>
          <w:color w:val="000000" w:themeColor="text1"/>
          <w:sz w:val="24"/>
          <w:szCs w:val="24"/>
          <w:highlight w:val="none"/>
          <w14:textFill>
            <w14:solidFill>
              <w14:schemeClr w14:val="tx1"/>
            </w14:solidFill>
          </w14:textFill>
        </w:rPr>
        <w:t>万元，占</w:t>
      </w:r>
      <w:r>
        <w:rPr>
          <w:rFonts w:hint="eastAsia" w:ascii="仿宋" w:hAnsi="仿宋" w:eastAsia="仿宋"/>
          <w:color w:val="000000" w:themeColor="text1"/>
          <w:sz w:val="24"/>
          <w:szCs w:val="24"/>
          <w:highlight w:val="none"/>
          <w:lang w:val="en-US" w:eastAsia="zh-CN"/>
          <w14:textFill>
            <w14:solidFill>
              <w14:schemeClr w14:val="tx1"/>
            </w14:solidFill>
          </w14:textFill>
        </w:rPr>
        <w:t>0.00</w:t>
      </w:r>
      <w:r>
        <w:rPr>
          <w:rFonts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；公务接待费支出决算</w:t>
      </w:r>
      <w:r>
        <w:rPr>
          <w:rFonts w:hint="eastAsia" w:ascii="仿宋" w:hAnsi="仿宋" w:eastAsia="仿宋"/>
          <w:color w:val="000000" w:themeColor="text1"/>
          <w:sz w:val="24"/>
          <w:szCs w:val="24"/>
          <w:highlight w:val="none"/>
          <w:lang w:val="en-US" w:eastAsia="zh-CN"/>
          <w14:textFill>
            <w14:solidFill>
              <w14:schemeClr w14:val="tx1"/>
            </w14:solidFill>
          </w14:textFill>
        </w:rPr>
        <w:t>0</w:t>
      </w:r>
      <w:r>
        <w:rPr>
          <w:rFonts w:hint="eastAsia" w:ascii="仿宋" w:hAnsi="仿宋" w:eastAsia="仿宋"/>
          <w:color w:val="000000" w:themeColor="text1"/>
          <w:sz w:val="24"/>
          <w:szCs w:val="24"/>
          <w:highlight w:val="none"/>
          <w14:textFill>
            <w14:solidFill>
              <w14:schemeClr w14:val="tx1"/>
            </w14:solidFill>
          </w14:textFill>
        </w:rPr>
        <w:t>万元，占</w:t>
      </w:r>
      <w:r>
        <w:rPr>
          <w:rFonts w:hint="eastAsia" w:ascii="仿宋" w:hAnsi="仿宋" w:eastAsia="仿宋"/>
          <w:color w:val="000000" w:themeColor="text1"/>
          <w:sz w:val="24"/>
          <w:szCs w:val="24"/>
          <w:highlight w:val="none"/>
          <w:lang w:val="en-US" w:eastAsia="zh-CN"/>
          <w14:textFill>
            <w14:solidFill>
              <w14:schemeClr w14:val="tx1"/>
            </w14:solidFill>
          </w14:textFill>
        </w:rPr>
        <w:t>0.00</w:t>
      </w:r>
      <w:r>
        <w:rPr>
          <w:rFonts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。具体情况如下：</w:t>
      </w:r>
    </w:p>
    <w:p>
      <w:pPr>
        <w:spacing w:line="600" w:lineRule="exact"/>
        <w:outlineLvl w:val="9"/>
        <w:rPr>
          <w:rFonts w:hint="eastAsia" w:ascii="仿宋" w:hAnsi="仿宋" w:eastAsia="仿宋"/>
          <w:color w:val="00B0F0"/>
          <w:sz w:val="24"/>
          <w:szCs w:val="24"/>
          <w:highlight w:val="none"/>
        </w:rPr>
      </w:pPr>
      <w:r>
        <w:rPr>
          <w:rFonts w:ascii="仿宋" w:hAnsi="仿宋" w:eastAsia="仿宋"/>
          <w:color w:val="00B0F0"/>
          <w:sz w:val="24"/>
          <w:szCs w:val="24"/>
        </w:rPr>
        <w:drawing>
          <wp:anchor distT="0" distB="0" distL="114300" distR="114300" simplePos="0" relativeHeight="251664384" behindDoc="0" locked="0" layoutInCell="1" allowOverlap="1">
            <wp:simplePos x="0" y="0"/>
            <wp:positionH relativeFrom="column">
              <wp:posOffset>610870</wp:posOffset>
            </wp:positionH>
            <wp:positionV relativeFrom="paragraph">
              <wp:posOffset>114935</wp:posOffset>
            </wp:positionV>
            <wp:extent cx="4561205" cy="1715135"/>
            <wp:effectExtent l="4445" t="4445" r="6350" b="7620"/>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0"/>
        <w:outlineLvl w:val="9"/>
        <w:rPr>
          <w:rFonts w:hint="eastAsia" w:ascii="仿宋" w:hAnsi="仿宋" w:eastAsia="仿宋"/>
          <w:color w:val="00B0F0"/>
          <w:sz w:val="32"/>
          <w:szCs w:val="32"/>
          <w:highlight w:val="none"/>
        </w:rPr>
      </w:pPr>
    </w:p>
    <w:p>
      <w:pPr>
        <w:spacing w:line="600" w:lineRule="exact"/>
        <w:ind w:firstLine="640"/>
        <w:outlineLvl w:val="9"/>
        <w:rPr>
          <w:rFonts w:hint="eastAsia" w:ascii="仿宋" w:hAnsi="仿宋" w:eastAsia="仿宋"/>
          <w:color w:val="00B0F0"/>
          <w:sz w:val="32"/>
          <w:szCs w:val="32"/>
          <w:highlight w:val="none"/>
        </w:rPr>
      </w:pPr>
    </w:p>
    <w:p>
      <w:pPr>
        <w:spacing w:line="600" w:lineRule="exact"/>
        <w:ind w:firstLine="640"/>
        <w:outlineLvl w:val="9"/>
        <w:rPr>
          <w:rFonts w:hint="eastAsia" w:ascii="仿宋" w:hAnsi="仿宋" w:eastAsia="仿宋"/>
          <w:color w:val="00B0F0"/>
          <w:sz w:val="32"/>
          <w:szCs w:val="32"/>
          <w:highlight w:val="none"/>
        </w:rPr>
      </w:pPr>
    </w:p>
    <w:p>
      <w:pPr>
        <w:spacing w:line="600" w:lineRule="exact"/>
        <w:ind w:firstLine="640"/>
        <w:outlineLvl w:val="9"/>
        <w:rPr>
          <w:rFonts w:hint="eastAsia" w:ascii="仿宋" w:hAnsi="仿宋" w:eastAsia="仿宋"/>
          <w:color w:val="00B0F0"/>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00" w:lineRule="exact"/>
        <w:ind w:firstLine="1440" w:firstLineChars="600"/>
        <w:jc w:val="both"/>
        <w:textAlignment w:val="auto"/>
        <w:outlineLvl w:val="1"/>
        <w:rPr>
          <w:rFonts w:ascii="仿宋" w:hAnsi="仿宋" w:eastAsia="仿宋"/>
          <w:color w:val="000000" w:themeColor="text1"/>
          <w:sz w:val="32"/>
          <w:szCs w:val="32"/>
          <w:highlight w:val="none"/>
          <w14:textFill>
            <w14:solidFill>
              <w14:schemeClr w14:val="tx1"/>
            </w14:solidFill>
          </w14:textFill>
        </w:rPr>
      </w:pPr>
      <w:bookmarkStart w:id="47" w:name="_Toc1682"/>
      <w:r>
        <w:rPr>
          <w:rFonts w:hint="eastAsia" w:ascii="仿宋" w:hAnsi="仿宋" w:eastAsia="仿宋"/>
          <w:color w:val="000000" w:themeColor="text1"/>
          <w:sz w:val="24"/>
          <w:szCs w:val="24"/>
          <w:highlight w:val="none"/>
          <w14:textFill>
            <w14:solidFill>
              <w14:schemeClr w14:val="tx1"/>
            </w14:solidFill>
          </w14:textFill>
        </w:rPr>
        <w:t>（图</w:t>
      </w:r>
      <w:r>
        <w:rPr>
          <w:rFonts w:hint="eastAsia" w:ascii="仿宋" w:hAnsi="仿宋" w:eastAsia="仿宋"/>
          <w:color w:val="000000" w:themeColor="text1"/>
          <w:sz w:val="24"/>
          <w:szCs w:val="24"/>
          <w:highlight w:val="none"/>
          <w:lang w:val="en-US" w:eastAsia="zh-CN"/>
          <w14:textFill>
            <w14:solidFill>
              <w14:schemeClr w14:val="tx1"/>
            </w14:solidFill>
          </w14:textFill>
        </w:rPr>
        <w:t>6</w:t>
      </w:r>
      <w:r>
        <w:rPr>
          <w:rFonts w:hint="eastAsia" w:ascii="仿宋" w:hAnsi="仿宋" w:eastAsia="仿宋"/>
          <w:color w:val="000000" w:themeColor="text1"/>
          <w:sz w:val="24"/>
          <w:szCs w:val="24"/>
          <w:highlight w:val="none"/>
          <w14:textFill>
            <w14:solidFill>
              <w14:schemeClr w14:val="tx1"/>
            </w14:solidFill>
          </w14:textFill>
        </w:rPr>
        <w:t>：“三公”经费财政拨款支出结构）（饼状图）</w:t>
      </w:r>
      <w:bookmarkEnd w:id="47"/>
    </w:p>
    <w:p>
      <w:pPr>
        <w:keepNext w:val="0"/>
        <w:keepLines w:val="0"/>
        <w:pageBreakBefore w:val="0"/>
        <w:widowControl w:val="0"/>
        <w:numPr>
          <w:ilvl w:val="0"/>
          <w:numId w:val="0"/>
        </w:numPr>
        <w:kinsoku/>
        <w:wordWrap/>
        <w:overflowPunct/>
        <w:topLinePunct w:val="0"/>
        <w:bidi w:val="0"/>
        <w:snapToGrid/>
        <w:spacing w:line="560" w:lineRule="exact"/>
        <w:ind w:firstLine="482" w:firstLineChars="200"/>
        <w:textAlignment w:val="auto"/>
        <w:outlineLvl w:val="2"/>
        <w:rPr>
          <w:rFonts w:ascii="仿宋_GB2312" w:eastAsia="仿宋_GB2312"/>
          <w:b/>
          <w:color w:val="000000" w:themeColor="text1"/>
          <w:sz w:val="24"/>
          <w:szCs w:val="24"/>
          <w:highlight w:val="none"/>
          <w14:textFill>
            <w14:solidFill>
              <w14:schemeClr w14:val="tx1"/>
            </w14:solidFill>
          </w14:textFill>
        </w:rPr>
      </w:pPr>
      <w:r>
        <w:rPr>
          <w:rFonts w:ascii="仿宋_GB2312" w:eastAsia="仿宋_GB2312"/>
          <w:b/>
          <w:color w:val="000000" w:themeColor="text1"/>
          <w:sz w:val="24"/>
          <w:szCs w:val="24"/>
          <w:highlight w:val="none"/>
          <w14:textFill>
            <w14:solidFill>
              <w14:schemeClr w14:val="tx1"/>
            </w14:solidFill>
          </w14:textFill>
        </w:rPr>
        <w:t>1.</w:t>
      </w:r>
      <w:r>
        <w:rPr>
          <w:rFonts w:hint="eastAsia" w:ascii="仿宋_GB2312" w:eastAsia="仿宋_GB2312"/>
          <w:b/>
          <w:color w:val="000000" w:themeColor="text1"/>
          <w:sz w:val="24"/>
          <w:szCs w:val="24"/>
          <w:highlight w:val="none"/>
          <w14:textFill>
            <w14:solidFill>
              <w14:schemeClr w14:val="tx1"/>
            </w14:solidFill>
          </w14:textFill>
        </w:rPr>
        <w:t>因公出国（境）经费支出</w:t>
      </w:r>
      <w:r>
        <w:rPr>
          <w:rFonts w:hint="eastAsia" w:ascii="仿宋_GB2312" w:eastAsia="仿宋_GB2312"/>
          <w:color w:val="000000" w:themeColor="text1"/>
          <w:sz w:val="24"/>
          <w:szCs w:val="24"/>
          <w:highlight w:val="none"/>
          <w:lang w:val="en-US" w:eastAsia="zh-CN"/>
          <w14:textFill>
            <w14:solidFill>
              <w14:schemeClr w14:val="tx1"/>
            </w14:solidFill>
          </w14:textFill>
        </w:rPr>
        <w:t>0.00</w:t>
      </w:r>
      <w:r>
        <w:rPr>
          <w:rFonts w:hint="eastAsia" w:ascii="仿宋_GB2312" w:eastAsia="仿宋_GB2312"/>
          <w:color w:val="000000" w:themeColor="text1"/>
          <w:sz w:val="24"/>
          <w:szCs w:val="24"/>
          <w:highlight w:val="none"/>
          <w14:textFill>
            <w14:solidFill>
              <w14:schemeClr w14:val="tx1"/>
            </w14:solidFill>
          </w14:textFill>
        </w:rPr>
        <w:t>万元，</w:t>
      </w:r>
      <w:r>
        <w:rPr>
          <w:rStyle w:val="16"/>
          <w:rFonts w:hint="eastAsia" w:ascii="仿宋" w:hAnsi="仿宋" w:eastAsia="仿宋"/>
          <w:b w:val="0"/>
          <w:bCs/>
          <w:color w:val="000000" w:themeColor="text1"/>
          <w:sz w:val="24"/>
          <w:szCs w:val="24"/>
          <w:highlight w:val="none"/>
          <w14:textFill>
            <w14:solidFill>
              <w14:schemeClr w14:val="tx1"/>
            </w14:solidFill>
          </w14:textFill>
        </w:rPr>
        <w:t>完成预算</w:t>
      </w:r>
      <w:r>
        <w:rPr>
          <w:rFonts w:hint="eastAsia" w:ascii="仿宋_GB2312" w:eastAsia="仿宋_GB2312"/>
          <w:color w:val="000000" w:themeColor="text1"/>
          <w:sz w:val="24"/>
          <w:szCs w:val="24"/>
          <w:highlight w:val="none"/>
          <w:lang w:val="en-US" w:eastAsia="zh-CN"/>
          <w14:textFill>
            <w14:solidFill>
              <w14:schemeClr w14:val="tx1"/>
            </w14:solidFill>
          </w14:textFill>
        </w:rPr>
        <w:t>0.00</w:t>
      </w:r>
      <w:r>
        <w:rPr>
          <w:rStyle w:val="16"/>
          <w:rFonts w:ascii="仿宋" w:hAnsi="仿宋" w:eastAsia="仿宋"/>
          <w:b w:val="0"/>
          <w:bCs/>
          <w:color w:val="000000" w:themeColor="text1"/>
          <w:sz w:val="24"/>
          <w:szCs w:val="24"/>
          <w:highlight w:val="none"/>
          <w14:textFill>
            <w14:solidFill>
              <w14:schemeClr w14:val="tx1"/>
            </w14:solidFill>
          </w14:textFill>
        </w:rPr>
        <w:t>%</w:t>
      </w:r>
      <w:r>
        <w:rPr>
          <w:rStyle w:val="16"/>
          <w:rFonts w:hint="eastAsia" w:ascii="仿宋" w:hAnsi="仿宋" w:eastAsia="仿宋"/>
          <w:b w:val="0"/>
          <w:bCs/>
          <w:color w:val="000000" w:themeColor="text1"/>
          <w:sz w:val="24"/>
          <w:szCs w:val="24"/>
          <w:highlight w:val="none"/>
          <w14:textFill>
            <w14:solidFill>
              <w14:schemeClr w14:val="tx1"/>
            </w14:solidFill>
          </w14:textFill>
        </w:rPr>
        <w:t>。</w:t>
      </w:r>
      <w:r>
        <w:rPr>
          <w:rFonts w:hint="eastAsia" w:ascii="仿宋_GB2312" w:eastAsia="仿宋_GB2312"/>
          <w:color w:val="000000" w:themeColor="text1"/>
          <w:sz w:val="24"/>
          <w:szCs w:val="24"/>
          <w:highlight w:val="none"/>
          <w14:textFill>
            <w14:solidFill>
              <w14:schemeClr w14:val="tx1"/>
            </w14:solidFill>
          </w14:textFill>
        </w:rPr>
        <w:t>全年安排因公出国（境）团组</w:t>
      </w:r>
      <w:r>
        <w:rPr>
          <w:rFonts w:hint="eastAsia" w:ascii="仿宋_GB2312" w:eastAsia="仿宋_GB2312"/>
          <w:color w:val="000000" w:themeColor="text1"/>
          <w:sz w:val="24"/>
          <w:szCs w:val="24"/>
          <w:highlight w:val="none"/>
          <w:lang w:val="en-US" w:eastAsia="zh-CN"/>
          <w14:textFill>
            <w14:solidFill>
              <w14:schemeClr w14:val="tx1"/>
            </w14:solidFill>
          </w14:textFill>
        </w:rPr>
        <w:t>0</w:t>
      </w:r>
      <w:r>
        <w:rPr>
          <w:rFonts w:hint="eastAsia" w:ascii="仿宋_GB2312" w:eastAsia="仿宋_GB2312"/>
          <w:color w:val="000000" w:themeColor="text1"/>
          <w:sz w:val="24"/>
          <w:szCs w:val="24"/>
          <w:highlight w:val="none"/>
          <w14:textFill>
            <w14:solidFill>
              <w14:schemeClr w14:val="tx1"/>
            </w14:solidFill>
          </w14:textFill>
        </w:rPr>
        <w:t>次，出国（境）</w:t>
      </w:r>
      <w:r>
        <w:rPr>
          <w:rFonts w:hint="eastAsia" w:ascii="仿宋_GB2312" w:eastAsia="仿宋_GB2312"/>
          <w:color w:val="000000" w:themeColor="text1"/>
          <w:sz w:val="24"/>
          <w:szCs w:val="24"/>
          <w:highlight w:val="none"/>
          <w:lang w:val="en-US" w:eastAsia="zh-CN"/>
          <w14:textFill>
            <w14:solidFill>
              <w14:schemeClr w14:val="tx1"/>
            </w14:solidFill>
          </w14:textFill>
        </w:rPr>
        <w:t>0</w:t>
      </w:r>
      <w:r>
        <w:rPr>
          <w:rFonts w:hint="eastAsia" w:ascii="仿宋_GB2312" w:eastAsia="仿宋_GB2312"/>
          <w:color w:val="000000" w:themeColor="text1"/>
          <w:sz w:val="24"/>
          <w:szCs w:val="24"/>
          <w:highlight w:val="none"/>
          <w14:textFill>
            <w14:solidFill>
              <w14:schemeClr w14:val="tx1"/>
            </w14:solidFill>
          </w14:textFill>
        </w:rPr>
        <w:t>人。因公出国（境）支出决算比</w:t>
      </w:r>
      <w:r>
        <w:rPr>
          <w:rFonts w:ascii="仿宋_GB2312" w:eastAsia="仿宋_GB2312"/>
          <w:color w:val="000000" w:themeColor="text1"/>
          <w:sz w:val="24"/>
          <w:szCs w:val="24"/>
          <w:highlight w:val="none"/>
          <w14:textFill>
            <w14:solidFill>
              <w14:schemeClr w14:val="tx1"/>
            </w14:solidFill>
          </w14:textFill>
        </w:rPr>
        <w:t>20</w:t>
      </w:r>
      <w:r>
        <w:rPr>
          <w:rFonts w:hint="eastAsia" w:ascii="仿宋_GB2312" w:eastAsia="仿宋_GB2312"/>
          <w:color w:val="000000" w:themeColor="text1"/>
          <w:sz w:val="24"/>
          <w:szCs w:val="24"/>
          <w:highlight w:val="none"/>
          <w:lang w:val="en-US" w:eastAsia="zh-CN"/>
          <w14:textFill>
            <w14:solidFill>
              <w14:schemeClr w14:val="tx1"/>
            </w14:solidFill>
          </w14:textFill>
        </w:rPr>
        <w:t>21</w:t>
      </w:r>
      <w:r>
        <w:rPr>
          <w:rFonts w:hint="eastAsia" w:ascii="仿宋_GB2312" w:eastAsia="仿宋_GB2312"/>
          <w:color w:val="000000" w:themeColor="text1"/>
          <w:sz w:val="24"/>
          <w:szCs w:val="24"/>
          <w:highlight w:val="none"/>
          <w14:textFill>
            <w14:solidFill>
              <w14:schemeClr w14:val="tx1"/>
            </w14:solidFill>
          </w14:textFill>
        </w:rPr>
        <w:t>年增加</w:t>
      </w:r>
      <w:r>
        <w:rPr>
          <w:rFonts w:ascii="仿宋_GB2312" w:eastAsia="仿宋_GB2312"/>
          <w:color w:val="000000" w:themeColor="text1"/>
          <w:sz w:val="24"/>
          <w:szCs w:val="24"/>
          <w:highlight w:val="none"/>
          <w14:textFill>
            <w14:solidFill>
              <w14:schemeClr w14:val="tx1"/>
            </w14:solidFill>
          </w14:textFill>
        </w:rPr>
        <w:t>/</w:t>
      </w:r>
      <w:r>
        <w:rPr>
          <w:rFonts w:hint="eastAsia" w:ascii="仿宋_GB2312" w:eastAsia="仿宋_GB2312"/>
          <w:color w:val="000000" w:themeColor="text1"/>
          <w:sz w:val="24"/>
          <w:szCs w:val="24"/>
          <w:highlight w:val="none"/>
          <w14:textFill>
            <w14:solidFill>
              <w14:schemeClr w14:val="tx1"/>
            </w14:solidFill>
          </w14:textFill>
        </w:rPr>
        <w:t>减少</w:t>
      </w:r>
      <w:r>
        <w:rPr>
          <w:rFonts w:hint="eastAsia" w:ascii="仿宋_GB2312" w:eastAsia="仿宋_GB2312"/>
          <w:color w:val="000000" w:themeColor="text1"/>
          <w:sz w:val="24"/>
          <w:szCs w:val="24"/>
          <w:highlight w:val="none"/>
          <w:lang w:val="en-US" w:eastAsia="zh-CN"/>
          <w14:textFill>
            <w14:solidFill>
              <w14:schemeClr w14:val="tx1"/>
            </w14:solidFill>
          </w14:textFill>
        </w:rPr>
        <w:t>0.00</w:t>
      </w:r>
      <w:r>
        <w:rPr>
          <w:rFonts w:hint="eastAsia" w:ascii="仿宋_GB2312" w:eastAsia="仿宋_GB2312"/>
          <w:color w:val="000000" w:themeColor="text1"/>
          <w:sz w:val="24"/>
          <w:szCs w:val="24"/>
          <w:highlight w:val="none"/>
          <w14:textFill>
            <w14:solidFill>
              <w14:schemeClr w14:val="tx1"/>
            </w14:solidFill>
          </w14:textFill>
        </w:rPr>
        <w:t>万元，增长</w:t>
      </w:r>
      <w:r>
        <w:rPr>
          <w:rFonts w:ascii="仿宋_GB2312" w:eastAsia="仿宋_GB2312"/>
          <w:color w:val="000000" w:themeColor="text1"/>
          <w:sz w:val="24"/>
          <w:szCs w:val="24"/>
          <w:highlight w:val="none"/>
          <w14:textFill>
            <w14:solidFill>
              <w14:schemeClr w14:val="tx1"/>
            </w14:solidFill>
          </w14:textFill>
        </w:rPr>
        <w:t>/</w:t>
      </w:r>
      <w:r>
        <w:rPr>
          <w:rFonts w:hint="eastAsia" w:ascii="仿宋_GB2312" w:eastAsia="仿宋_GB2312"/>
          <w:color w:val="000000" w:themeColor="text1"/>
          <w:sz w:val="24"/>
          <w:szCs w:val="24"/>
          <w:highlight w:val="none"/>
          <w14:textFill>
            <w14:solidFill>
              <w14:schemeClr w14:val="tx1"/>
            </w14:solidFill>
          </w14:textFill>
        </w:rPr>
        <w:t>下降</w:t>
      </w:r>
      <w:r>
        <w:rPr>
          <w:rFonts w:hint="eastAsia" w:ascii="仿宋_GB2312" w:eastAsia="仿宋_GB2312"/>
          <w:color w:val="000000" w:themeColor="text1"/>
          <w:sz w:val="24"/>
          <w:szCs w:val="24"/>
          <w:highlight w:val="none"/>
          <w:lang w:val="en-US" w:eastAsia="zh-CN"/>
          <w14:textFill>
            <w14:solidFill>
              <w14:schemeClr w14:val="tx1"/>
            </w14:solidFill>
          </w14:textFill>
        </w:rPr>
        <w:t>0.00</w:t>
      </w:r>
      <w:r>
        <w:rPr>
          <w:rFonts w:ascii="仿宋_GB2312" w:eastAsia="仿宋_GB2312"/>
          <w:color w:val="000000" w:themeColor="text1"/>
          <w:sz w:val="24"/>
          <w:szCs w:val="24"/>
          <w:highlight w:val="none"/>
          <w14:textFill>
            <w14:solidFill>
              <w14:schemeClr w14:val="tx1"/>
            </w14:solidFill>
          </w14:textFill>
        </w:rPr>
        <w:t>%</w:t>
      </w:r>
      <w:r>
        <w:rPr>
          <w:rFonts w:hint="eastAsia" w:ascii="仿宋_GB2312" w:eastAsia="仿宋_GB2312"/>
          <w:color w:val="000000" w:themeColor="text1"/>
          <w:sz w:val="24"/>
          <w:szCs w:val="24"/>
          <w:highlight w:val="none"/>
          <w14:textFill>
            <w14:solidFill>
              <w14:schemeClr w14:val="tx1"/>
            </w14:solidFill>
          </w14:textFill>
        </w:rPr>
        <w:t>。</w:t>
      </w:r>
      <w:r>
        <w:rPr>
          <w:rStyle w:val="16"/>
          <w:rFonts w:hint="eastAsia" w:ascii="仿宋" w:hAnsi="仿宋" w:eastAsia="仿宋"/>
          <w:b w:val="0"/>
          <w:bCs/>
          <w:color w:val="auto"/>
          <w:sz w:val="24"/>
          <w:szCs w:val="24"/>
          <w:highlight w:val="none"/>
          <w:lang w:val="en-US" w:eastAsia="zh-CN"/>
        </w:rPr>
        <w:t>与2021年持平</w:t>
      </w:r>
      <w:r>
        <w:rPr>
          <w:rStyle w:val="16"/>
          <w:rFonts w:hint="eastAsia" w:ascii="仿宋" w:hAnsi="仿宋" w:eastAsia="仿宋"/>
          <w:b w:val="0"/>
          <w:bCs/>
          <w:color w:val="auto"/>
          <w:sz w:val="24"/>
          <w:szCs w:val="24"/>
          <w:highlight w:val="none"/>
        </w:rPr>
        <w:t>。</w:t>
      </w:r>
      <w:r>
        <w:rPr>
          <w:rFonts w:hint="eastAsia" w:ascii="仿宋_GB2312" w:eastAsia="仿宋_GB2312"/>
          <w:color w:val="000000" w:themeColor="text1"/>
          <w:sz w:val="24"/>
          <w:szCs w:val="24"/>
          <w:highlight w:val="none"/>
          <w14:textFill>
            <w14:solidFill>
              <w14:schemeClr w14:val="tx1"/>
            </w14:solidFill>
          </w14:textFill>
        </w:rPr>
        <w:t>主要原因是</w:t>
      </w:r>
      <w:r>
        <w:rPr>
          <w:rFonts w:hint="eastAsia" w:ascii="仿宋_GB2312" w:eastAsia="仿宋_GB2312"/>
          <w:color w:val="000000" w:themeColor="text1"/>
          <w:sz w:val="24"/>
          <w:szCs w:val="24"/>
          <w:highlight w:val="none"/>
          <w:lang w:val="en-US" w:eastAsia="zh-CN"/>
          <w14:textFill>
            <w14:solidFill>
              <w14:schemeClr w14:val="tx1"/>
            </w14:solidFill>
          </w14:textFill>
        </w:rPr>
        <w:t>2022年未安排因公出国（境）支出预算，无因公出国（境）支出</w:t>
      </w:r>
      <w:r>
        <w:rPr>
          <w:rFonts w:hint="eastAsia" w:ascii="仿宋_GB2312" w:eastAsia="仿宋_GB2312"/>
          <w:color w:val="000000" w:themeColor="text1"/>
          <w:sz w:val="24"/>
          <w:szCs w:val="24"/>
          <w:highlight w:val="none"/>
          <w14:textFill>
            <w14:solidFill>
              <w14:schemeClr w14:val="tx1"/>
            </w14:solidFill>
          </w14:textFill>
        </w:rPr>
        <w:t>。</w:t>
      </w:r>
    </w:p>
    <w:p>
      <w:pPr>
        <w:keepNext w:val="0"/>
        <w:keepLines w:val="0"/>
        <w:pageBreakBefore w:val="0"/>
        <w:widowControl w:val="0"/>
        <w:numPr>
          <w:ilvl w:val="0"/>
          <w:numId w:val="3"/>
        </w:numPr>
        <w:kinsoku/>
        <w:wordWrap/>
        <w:overflowPunct/>
        <w:topLinePunct w:val="0"/>
        <w:bidi w:val="0"/>
        <w:snapToGrid/>
        <w:spacing w:line="560" w:lineRule="exact"/>
        <w:ind w:firstLine="640"/>
        <w:textAlignment w:val="auto"/>
        <w:outlineLvl w:val="2"/>
        <w:rPr>
          <w:rFonts w:hint="eastAsia"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b/>
          <w:color w:val="000000" w:themeColor="text1"/>
          <w:sz w:val="24"/>
          <w:szCs w:val="24"/>
          <w:highlight w:val="none"/>
          <w14:textFill>
            <w14:solidFill>
              <w14:schemeClr w14:val="tx1"/>
            </w14:solidFill>
          </w14:textFill>
        </w:rPr>
        <w:t>公务用车购置及运行维护费支出</w:t>
      </w:r>
      <w:r>
        <w:rPr>
          <w:rFonts w:hint="eastAsia" w:ascii="仿宋_GB2312" w:eastAsia="仿宋_GB2312"/>
          <w:color w:val="000000" w:themeColor="text1"/>
          <w:sz w:val="24"/>
          <w:szCs w:val="24"/>
          <w:highlight w:val="none"/>
          <w:lang w:val="en-US" w:eastAsia="zh-CN"/>
          <w14:textFill>
            <w14:solidFill>
              <w14:schemeClr w14:val="tx1"/>
            </w14:solidFill>
          </w14:textFill>
        </w:rPr>
        <w:t>0.00</w:t>
      </w:r>
      <w:r>
        <w:rPr>
          <w:rFonts w:hint="eastAsia" w:ascii="仿宋_GB2312" w:eastAsia="仿宋_GB2312"/>
          <w:color w:val="000000" w:themeColor="text1"/>
          <w:sz w:val="24"/>
          <w:szCs w:val="24"/>
          <w:highlight w:val="none"/>
          <w14:textFill>
            <w14:solidFill>
              <w14:schemeClr w14:val="tx1"/>
            </w14:solidFill>
          </w14:textFill>
        </w:rPr>
        <w:t>万元,</w:t>
      </w:r>
      <w:r>
        <w:rPr>
          <w:rStyle w:val="16"/>
          <w:rFonts w:hint="eastAsia" w:ascii="仿宋" w:hAnsi="仿宋" w:eastAsia="仿宋"/>
          <w:b w:val="0"/>
          <w:bCs/>
          <w:color w:val="000000" w:themeColor="text1"/>
          <w:sz w:val="24"/>
          <w:szCs w:val="24"/>
          <w:highlight w:val="none"/>
          <w14:textFill>
            <w14:solidFill>
              <w14:schemeClr w14:val="tx1"/>
            </w14:solidFill>
          </w14:textFill>
        </w:rPr>
        <w:t>完成预算</w:t>
      </w:r>
      <w:r>
        <w:rPr>
          <w:rStyle w:val="16"/>
          <w:rFonts w:hint="eastAsia" w:ascii="仿宋" w:hAnsi="仿宋" w:eastAsia="仿宋"/>
          <w:b w:val="0"/>
          <w:bCs/>
          <w:color w:val="000000" w:themeColor="text1"/>
          <w:sz w:val="24"/>
          <w:szCs w:val="24"/>
          <w:highlight w:val="none"/>
          <w:lang w:val="en-US" w:eastAsia="zh-CN"/>
          <w14:textFill>
            <w14:solidFill>
              <w14:schemeClr w14:val="tx1"/>
            </w14:solidFill>
          </w14:textFill>
        </w:rPr>
        <w:t>0.00</w:t>
      </w:r>
      <w:r>
        <w:rPr>
          <w:rStyle w:val="16"/>
          <w:rFonts w:ascii="仿宋" w:hAnsi="仿宋" w:eastAsia="仿宋"/>
          <w:b w:val="0"/>
          <w:bCs/>
          <w:color w:val="000000" w:themeColor="text1"/>
          <w:sz w:val="24"/>
          <w:szCs w:val="24"/>
          <w:highlight w:val="none"/>
          <w14:textFill>
            <w14:solidFill>
              <w14:schemeClr w14:val="tx1"/>
            </w14:solidFill>
          </w14:textFill>
        </w:rPr>
        <w:t>%</w:t>
      </w:r>
      <w:r>
        <w:rPr>
          <w:rStyle w:val="16"/>
          <w:rFonts w:hint="eastAsia" w:ascii="仿宋" w:hAnsi="仿宋" w:eastAsia="仿宋"/>
          <w:b w:val="0"/>
          <w:bCs/>
          <w:color w:val="000000" w:themeColor="text1"/>
          <w:sz w:val="24"/>
          <w:szCs w:val="24"/>
          <w:highlight w:val="none"/>
          <w14:textFill>
            <w14:solidFill>
              <w14:schemeClr w14:val="tx1"/>
            </w14:solidFill>
          </w14:textFill>
        </w:rPr>
        <w:t>。</w:t>
      </w:r>
      <w:r>
        <w:rPr>
          <w:rFonts w:hint="eastAsia" w:ascii="仿宋_GB2312" w:eastAsia="仿宋_GB2312"/>
          <w:color w:val="000000" w:themeColor="text1"/>
          <w:sz w:val="24"/>
          <w:szCs w:val="24"/>
          <w:highlight w:val="none"/>
          <w14:textFill>
            <w14:solidFill>
              <w14:schemeClr w14:val="tx1"/>
            </w14:solidFill>
          </w14:textFill>
        </w:rPr>
        <w:t>公务用车购置及运行维护费支出决算比</w:t>
      </w:r>
      <w:r>
        <w:rPr>
          <w:rFonts w:ascii="仿宋_GB2312" w:eastAsia="仿宋_GB2312"/>
          <w:color w:val="000000" w:themeColor="text1"/>
          <w:sz w:val="24"/>
          <w:szCs w:val="24"/>
          <w:highlight w:val="none"/>
          <w14:textFill>
            <w14:solidFill>
              <w14:schemeClr w14:val="tx1"/>
            </w14:solidFill>
          </w14:textFill>
        </w:rPr>
        <w:t>20</w:t>
      </w:r>
      <w:r>
        <w:rPr>
          <w:rFonts w:hint="eastAsia" w:ascii="仿宋_GB2312" w:eastAsia="仿宋_GB2312"/>
          <w:color w:val="000000" w:themeColor="text1"/>
          <w:sz w:val="24"/>
          <w:szCs w:val="24"/>
          <w:highlight w:val="none"/>
          <w:lang w:val="en-US" w:eastAsia="zh-CN"/>
          <w14:textFill>
            <w14:solidFill>
              <w14:schemeClr w14:val="tx1"/>
            </w14:solidFill>
          </w14:textFill>
        </w:rPr>
        <w:t>21</w:t>
      </w:r>
      <w:r>
        <w:rPr>
          <w:rFonts w:hint="eastAsia" w:ascii="仿宋_GB2312" w:eastAsia="仿宋_GB2312"/>
          <w:color w:val="000000" w:themeColor="text1"/>
          <w:sz w:val="24"/>
          <w:szCs w:val="24"/>
          <w:highlight w:val="none"/>
          <w14:textFill>
            <w14:solidFill>
              <w14:schemeClr w14:val="tx1"/>
            </w14:solidFill>
          </w14:textFill>
        </w:rPr>
        <w:t>年增加</w:t>
      </w:r>
      <w:r>
        <w:rPr>
          <w:rFonts w:ascii="仿宋_GB2312" w:eastAsia="仿宋_GB2312"/>
          <w:color w:val="000000" w:themeColor="text1"/>
          <w:sz w:val="24"/>
          <w:szCs w:val="24"/>
          <w:highlight w:val="none"/>
          <w14:textFill>
            <w14:solidFill>
              <w14:schemeClr w14:val="tx1"/>
            </w14:solidFill>
          </w14:textFill>
        </w:rPr>
        <w:t>/</w:t>
      </w:r>
      <w:r>
        <w:rPr>
          <w:rFonts w:hint="eastAsia" w:ascii="仿宋_GB2312" w:eastAsia="仿宋_GB2312"/>
          <w:color w:val="000000" w:themeColor="text1"/>
          <w:sz w:val="24"/>
          <w:szCs w:val="24"/>
          <w:highlight w:val="none"/>
          <w14:textFill>
            <w14:solidFill>
              <w14:schemeClr w14:val="tx1"/>
            </w14:solidFill>
          </w14:textFill>
        </w:rPr>
        <w:t>减少</w:t>
      </w:r>
      <w:r>
        <w:rPr>
          <w:rFonts w:hint="eastAsia" w:ascii="仿宋_GB2312" w:eastAsia="仿宋_GB2312"/>
          <w:color w:val="000000" w:themeColor="text1"/>
          <w:sz w:val="24"/>
          <w:szCs w:val="24"/>
          <w:highlight w:val="none"/>
          <w:lang w:val="en-US" w:eastAsia="zh-CN"/>
          <w14:textFill>
            <w14:solidFill>
              <w14:schemeClr w14:val="tx1"/>
            </w14:solidFill>
          </w14:textFill>
        </w:rPr>
        <w:t>0.00</w:t>
      </w:r>
      <w:r>
        <w:rPr>
          <w:rFonts w:hint="eastAsia" w:ascii="仿宋_GB2312" w:eastAsia="仿宋_GB2312"/>
          <w:color w:val="000000" w:themeColor="text1"/>
          <w:sz w:val="24"/>
          <w:szCs w:val="24"/>
          <w:highlight w:val="none"/>
          <w14:textFill>
            <w14:solidFill>
              <w14:schemeClr w14:val="tx1"/>
            </w14:solidFill>
          </w14:textFill>
        </w:rPr>
        <w:t>万元，增长</w:t>
      </w:r>
      <w:r>
        <w:rPr>
          <w:rFonts w:ascii="仿宋_GB2312" w:eastAsia="仿宋_GB2312"/>
          <w:color w:val="000000" w:themeColor="text1"/>
          <w:sz w:val="24"/>
          <w:szCs w:val="24"/>
          <w:highlight w:val="none"/>
          <w14:textFill>
            <w14:solidFill>
              <w14:schemeClr w14:val="tx1"/>
            </w14:solidFill>
          </w14:textFill>
        </w:rPr>
        <w:t>/</w:t>
      </w:r>
      <w:r>
        <w:rPr>
          <w:rFonts w:hint="eastAsia" w:ascii="仿宋_GB2312" w:eastAsia="仿宋_GB2312"/>
          <w:color w:val="000000" w:themeColor="text1"/>
          <w:sz w:val="24"/>
          <w:szCs w:val="24"/>
          <w:highlight w:val="none"/>
          <w14:textFill>
            <w14:solidFill>
              <w14:schemeClr w14:val="tx1"/>
            </w14:solidFill>
          </w14:textFill>
        </w:rPr>
        <w:t>下降</w:t>
      </w:r>
      <w:r>
        <w:rPr>
          <w:rFonts w:hint="eastAsia" w:ascii="仿宋_GB2312" w:eastAsia="仿宋_GB2312"/>
          <w:color w:val="000000" w:themeColor="text1"/>
          <w:sz w:val="24"/>
          <w:szCs w:val="24"/>
          <w:highlight w:val="none"/>
          <w:lang w:val="en-US" w:eastAsia="zh-CN"/>
          <w14:textFill>
            <w14:solidFill>
              <w14:schemeClr w14:val="tx1"/>
            </w14:solidFill>
          </w14:textFill>
        </w:rPr>
        <w:t>0.00</w:t>
      </w:r>
      <w:r>
        <w:rPr>
          <w:rFonts w:ascii="仿宋_GB2312" w:eastAsia="仿宋_GB2312"/>
          <w:color w:val="000000" w:themeColor="text1"/>
          <w:sz w:val="24"/>
          <w:szCs w:val="24"/>
          <w:highlight w:val="none"/>
          <w14:textFill>
            <w14:solidFill>
              <w14:schemeClr w14:val="tx1"/>
            </w14:solidFill>
          </w14:textFill>
        </w:rPr>
        <w:t>%</w:t>
      </w:r>
      <w:r>
        <w:rPr>
          <w:rFonts w:hint="eastAsia" w:ascii="仿宋_GB2312" w:eastAsia="仿宋_GB2312"/>
          <w:color w:val="000000" w:themeColor="text1"/>
          <w:sz w:val="24"/>
          <w:szCs w:val="24"/>
          <w:highlight w:val="none"/>
          <w14:textFill>
            <w14:solidFill>
              <w14:schemeClr w14:val="tx1"/>
            </w14:solidFill>
          </w14:textFill>
        </w:rPr>
        <w:t>。主要原因是</w:t>
      </w:r>
      <w:r>
        <w:rPr>
          <w:rFonts w:hint="eastAsia" w:ascii="仿宋_GB2312" w:eastAsia="仿宋_GB2312"/>
          <w:color w:val="000000" w:themeColor="text1"/>
          <w:sz w:val="24"/>
          <w:szCs w:val="24"/>
          <w:highlight w:val="none"/>
          <w:lang w:val="en-US" w:eastAsia="zh-CN"/>
          <w14:textFill>
            <w14:solidFill>
              <w14:schemeClr w14:val="tx1"/>
            </w14:solidFill>
          </w14:textFill>
        </w:rPr>
        <w:t>我校在2022年未安排公务用车购置及运行维护费支出预算，无公务用车购置及运行维护费支出</w:t>
      </w:r>
      <w:r>
        <w:rPr>
          <w:rFonts w:hint="eastAsia" w:ascii="仿宋_GB2312" w:eastAsia="仿宋_GB2312"/>
          <w:color w:val="000000" w:themeColor="text1"/>
          <w:sz w:val="24"/>
          <w:szCs w:val="24"/>
          <w:highlight w:val="none"/>
          <w14:textFill>
            <w14:solidFill>
              <w14:schemeClr w14:val="tx1"/>
            </w14:solidFill>
          </w14:textFill>
        </w:rPr>
        <w:t>。</w:t>
      </w:r>
    </w:p>
    <w:p>
      <w:pPr>
        <w:keepNext w:val="0"/>
        <w:keepLines w:val="0"/>
        <w:pageBreakBefore w:val="0"/>
        <w:widowControl w:val="0"/>
        <w:numPr>
          <w:ilvl w:val="0"/>
          <w:numId w:val="0"/>
        </w:numPr>
        <w:kinsoku/>
        <w:wordWrap/>
        <w:overflowPunct/>
        <w:topLinePunct w:val="0"/>
        <w:bidi w:val="0"/>
        <w:snapToGrid/>
        <w:spacing w:line="560" w:lineRule="exact"/>
        <w:ind w:firstLine="480" w:firstLineChars="200"/>
        <w:textAlignment w:val="auto"/>
        <w:outlineLvl w:val="2"/>
        <w:rPr>
          <w:rFonts w:hint="eastAsia" w:ascii="仿宋_GB2312" w:eastAsia="仿宋_GB2312"/>
          <w:color w:val="auto"/>
          <w:sz w:val="24"/>
          <w:szCs w:val="24"/>
          <w:highlight w:val="none"/>
        </w:rPr>
      </w:pPr>
      <w:r>
        <w:rPr>
          <w:rFonts w:hint="eastAsia" w:ascii="仿宋_GB2312" w:eastAsia="仿宋_GB2312"/>
          <w:color w:val="000000" w:themeColor="text1"/>
          <w:sz w:val="24"/>
          <w:szCs w:val="24"/>
          <w:highlight w:val="none"/>
          <w:lang w:val="en-US" w:eastAsia="zh-CN"/>
          <w14:textFill>
            <w14:solidFill>
              <w14:schemeClr w14:val="tx1"/>
            </w14:solidFill>
          </w14:textFill>
        </w:rPr>
        <w:t xml:space="preserve">   </w:t>
      </w:r>
      <w:r>
        <w:rPr>
          <w:rFonts w:hint="eastAsia" w:ascii="仿宋_GB2312" w:eastAsia="仿宋_GB2312"/>
          <w:b/>
          <w:color w:val="auto"/>
          <w:sz w:val="24"/>
          <w:szCs w:val="24"/>
          <w:highlight w:val="none"/>
        </w:rPr>
        <w:t>公务用车运行维护费支出</w:t>
      </w:r>
      <w:r>
        <w:rPr>
          <w:rFonts w:hint="eastAsia" w:ascii="仿宋_GB2312" w:eastAsia="仿宋_GB2312"/>
          <w:b/>
          <w:color w:val="auto"/>
          <w:sz w:val="24"/>
          <w:szCs w:val="24"/>
          <w:highlight w:val="none"/>
          <w:lang w:val="en-US" w:eastAsia="zh-CN"/>
        </w:rPr>
        <w:t>0</w:t>
      </w:r>
      <w:r>
        <w:rPr>
          <w:rFonts w:hint="eastAsia" w:ascii="仿宋_GB2312" w:eastAsia="仿宋_GB2312"/>
          <w:color w:val="auto"/>
          <w:sz w:val="24"/>
          <w:szCs w:val="24"/>
          <w:highlight w:val="none"/>
        </w:rPr>
        <w:t>万元</w:t>
      </w:r>
      <w:r>
        <w:rPr>
          <w:rFonts w:hint="eastAsia" w:ascii="仿宋_GB2312" w:eastAsia="仿宋_GB2312"/>
          <w:color w:val="auto"/>
          <w:sz w:val="24"/>
          <w:szCs w:val="24"/>
          <w:highlight w:val="none"/>
          <w:lang w:val="en-US" w:eastAsia="zh-CN"/>
        </w:rPr>
        <w:t>,</w:t>
      </w:r>
      <w:r>
        <w:rPr>
          <w:rStyle w:val="16"/>
          <w:rFonts w:hint="eastAsia" w:ascii="仿宋" w:hAnsi="仿宋" w:eastAsia="仿宋"/>
          <w:b w:val="0"/>
          <w:bCs/>
          <w:color w:val="auto"/>
          <w:sz w:val="24"/>
          <w:szCs w:val="24"/>
          <w:highlight w:val="none"/>
          <w:lang w:val="en-US" w:eastAsia="zh-CN"/>
        </w:rPr>
        <w:t>与2021年持平</w:t>
      </w:r>
      <w:r>
        <w:rPr>
          <w:rStyle w:val="16"/>
          <w:rFonts w:hint="eastAsia" w:ascii="仿宋" w:hAnsi="仿宋" w:eastAsia="仿宋"/>
          <w:b w:val="0"/>
          <w:bCs/>
          <w:color w:val="auto"/>
          <w:sz w:val="24"/>
          <w:szCs w:val="24"/>
          <w:highlight w:val="none"/>
        </w:rPr>
        <w:t>。</w:t>
      </w:r>
    </w:p>
    <w:p>
      <w:pPr>
        <w:keepNext w:val="0"/>
        <w:keepLines w:val="0"/>
        <w:pageBreakBefore w:val="0"/>
        <w:widowControl w:val="0"/>
        <w:numPr>
          <w:ilvl w:val="0"/>
          <w:numId w:val="0"/>
        </w:numPr>
        <w:kinsoku/>
        <w:wordWrap/>
        <w:overflowPunct/>
        <w:topLinePunct w:val="0"/>
        <w:bidi w:val="0"/>
        <w:snapToGrid/>
        <w:spacing w:line="560" w:lineRule="exact"/>
        <w:ind w:firstLine="482" w:firstLineChars="200"/>
        <w:textAlignment w:val="auto"/>
        <w:outlineLvl w:val="2"/>
        <w:rPr>
          <w:rFonts w:hint="default" w:ascii="仿宋_GB2312" w:eastAsia="仿宋_GB2312"/>
          <w:color w:val="000000" w:themeColor="text1"/>
          <w:sz w:val="24"/>
          <w:szCs w:val="24"/>
          <w:highlight w:val="none"/>
          <w:lang w:val="en-US" w:eastAsia="zh-CN"/>
          <w14:textFill>
            <w14:solidFill>
              <w14:schemeClr w14:val="tx1"/>
            </w14:solidFill>
          </w14:textFill>
        </w:rPr>
      </w:pPr>
      <w:r>
        <w:rPr>
          <w:rFonts w:ascii="仿宋_GB2312" w:eastAsia="仿宋_GB2312"/>
          <w:b/>
          <w:color w:val="auto"/>
          <w:sz w:val="24"/>
          <w:szCs w:val="24"/>
          <w:highlight w:val="none"/>
        </w:rPr>
        <w:t>3.</w:t>
      </w:r>
      <w:r>
        <w:rPr>
          <w:rFonts w:hint="eastAsia" w:ascii="仿宋_GB2312" w:eastAsia="仿宋_GB2312"/>
          <w:b/>
          <w:color w:val="auto"/>
          <w:sz w:val="24"/>
          <w:szCs w:val="24"/>
          <w:highlight w:val="none"/>
        </w:rPr>
        <w:t>公务接待费支出</w:t>
      </w:r>
      <w:r>
        <w:rPr>
          <w:rFonts w:hint="eastAsia" w:ascii="仿宋" w:hAnsi="仿宋" w:eastAsia="仿宋"/>
          <w:color w:val="auto"/>
          <w:sz w:val="24"/>
          <w:szCs w:val="24"/>
          <w:highlight w:val="none"/>
          <w:lang w:val="en-US" w:eastAsia="zh-CN"/>
        </w:rPr>
        <w:t>0.00</w:t>
      </w:r>
      <w:r>
        <w:rPr>
          <w:rFonts w:hint="eastAsia" w:ascii="仿宋_GB2312" w:eastAsia="仿宋_GB2312"/>
          <w:color w:val="auto"/>
          <w:sz w:val="24"/>
          <w:szCs w:val="24"/>
          <w:highlight w:val="none"/>
        </w:rPr>
        <w:t>万元，</w:t>
      </w:r>
      <w:r>
        <w:rPr>
          <w:rStyle w:val="16"/>
          <w:rFonts w:hint="eastAsia" w:ascii="仿宋" w:hAnsi="仿宋" w:eastAsia="仿宋"/>
          <w:b w:val="0"/>
          <w:bCs/>
          <w:color w:val="auto"/>
          <w:sz w:val="24"/>
          <w:szCs w:val="24"/>
          <w:highlight w:val="none"/>
        </w:rPr>
        <w:t>完成预算</w:t>
      </w:r>
      <w:r>
        <w:rPr>
          <w:rFonts w:hint="eastAsia" w:ascii="仿宋" w:hAnsi="仿宋" w:eastAsia="仿宋"/>
          <w:color w:val="auto"/>
          <w:sz w:val="24"/>
          <w:szCs w:val="24"/>
          <w:highlight w:val="none"/>
          <w:lang w:val="en-US" w:eastAsia="zh-CN"/>
        </w:rPr>
        <w:t>0.00</w:t>
      </w:r>
      <w:r>
        <w:rPr>
          <w:rStyle w:val="16"/>
          <w:rFonts w:ascii="仿宋" w:hAnsi="仿宋" w:eastAsia="仿宋"/>
          <w:b w:val="0"/>
          <w:bCs/>
          <w:color w:val="auto"/>
          <w:sz w:val="24"/>
          <w:szCs w:val="24"/>
          <w:highlight w:val="none"/>
        </w:rPr>
        <w:t>%</w:t>
      </w:r>
      <w:r>
        <w:rPr>
          <w:rStyle w:val="16"/>
          <w:rFonts w:hint="eastAsia" w:ascii="仿宋" w:hAnsi="仿宋" w:eastAsia="仿宋"/>
          <w:b w:val="0"/>
          <w:bCs/>
          <w:color w:val="auto"/>
          <w:sz w:val="24"/>
          <w:szCs w:val="24"/>
          <w:highlight w:val="none"/>
          <w:lang w:eastAsia="zh-CN"/>
        </w:rPr>
        <w:t>，</w:t>
      </w:r>
      <w:r>
        <w:rPr>
          <w:rStyle w:val="16"/>
          <w:rFonts w:hint="eastAsia" w:ascii="仿宋" w:hAnsi="仿宋" w:eastAsia="仿宋"/>
          <w:b w:val="0"/>
          <w:bCs/>
          <w:color w:val="auto"/>
          <w:sz w:val="24"/>
          <w:szCs w:val="24"/>
          <w:highlight w:val="none"/>
          <w:lang w:val="en-US" w:eastAsia="zh-CN"/>
        </w:rPr>
        <w:t>与2021年持平</w:t>
      </w:r>
      <w:r>
        <w:rPr>
          <w:rStyle w:val="16"/>
          <w:rFonts w:hint="eastAsia" w:ascii="仿宋" w:hAnsi="仿宋" w:eastAsia="仿宋"/>
          <w:b w:val="0"/>
          <w:bCs/>
          <w:color w:val="auto"/>
          <w:sz w:val="24"/>
          <w:szCs w:val="24"/>
          <w:highlight w:val="none"/>
        </w:rPr>
        <w:t>。</w:t>
      </w:r>
    </w:p>
    <w:p>
      <w:pPr>
        <w:keepNext w:val="0"/>
        <w:keepLines w:val="0"/>
        <w:pageBreakBefore w:val="0"/>
        <w:widowControl w:val="0"/>
        <w:numPr>
          <w:ilvl w:val="0"/>
          <w:numId w:val="0"/>
        </w:numPr>
        <w:kinsoku/>
        <w:wordWrap/>
        <w:overflowPunct/>
        <w:topLinePunct w:val="0"/>
        <w:bidi w:val="0"/>
        <w:snapToGrid/>
        <w:spacing w:line="560" w:lineRule="exact"/>
        <w:ind w:firstLine="482" w:firstLineChars="200"/>
        <w:textAlignment w:val="auto"/>
        <w:outlineLvl w:val="2"/>
        <w:rPr>
          <w:rFonts w:ascii="仿宋_GB2312" w:eastAsia="仿宋_GB2312"/>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外事接待支出</w:t>
      </w:r>
      <w:r>
        <w:rPr>
          <w:rFonts w:hint="eastAsia" w:ascii="仿宋" w:hAnsi="仿宋" w:eastAsia="仿宋"/>
          <w:color w:val="000000" w:themeColor="text1"/>
          <w:sz w:val="24"/>
          <w:szCs w:val="24"/>
          <w:highlight w:val="none"/>
          <w:lang w:val="en-US" w:eastAsia="zh-CN"/>
          <w14:textFill>
            <w14:solidFill>
              <w14:schemeClr w14:val="tx1"/>
            </w14:solidFill>
          </w14:textFill>
        </w:rPr>
        <w:t>0.00</w:t>
      </w:r>
      <w:r>
        <w:rPr>
          <w:rFonts w:hint="eastAsia" w:ascii="仿宋_GB2312" w:eastAsia="仿宋_GB2312"/>
          <w:color w:val="000000" w:themeColor="text1"/>
          <w:sz w:val="24"/>
          <w:szCs w:val="24"/>
          <w:highlight w:val="none"/>
          <w14:textFill>
            <w14:solidFill>
              <w14:schemeClr w14:val="tx1"/>
            </w14:solidFill>
          </w14:textFill>
        </w:rPr>
        <w:t>万元，</w:t>
      </w:r>
      <w:r>
        <w:rPr>
          <w:rStyle w:val="16"/>
          <w:rFonts w:hint="eastAsia" w:ascii="仿宋" w:hAnsi="仿宋" w:eastAsia="仿宋"/>
          <w:b w:val="0"/>
          <w:bCs/>
          <w:color w:val="auto"/>
          <w:sz w:val="24"/>
          <w:szCs w:val="24"/>
          <w:highlight w:val="none"/>
        </w:rPr>
        <w:t>。</w:t>
      </w:r>
    </w:p>
    <w:p>
      <w:pPr>
        <w:keepNext w:val="0"/>
        <w:keepLines w:val="0"/>
        <w:pageBreakBefore w:val="0"/>
        <w:widowControl w:val="0"/>
        <w:kinsoku/>
        <w:wordWrap/>
        <w:overflowPunct/>
        <w:topLinePunct w:val="0"/>
        <w:bidi w:val="0"/>
        <w:snapToGrid/>
        <w:spacing w:line="560" w:lineRule="exact"/>
        <w:ind w:firstLine="640"/>
        <w:textAlignment w:val="auto"/>
        <w:outlineLvl w:val="1"/>
        <w:rPr>
          <w:rStyle w:val="27"/>
          <w:rFonts w:ascii="黑体" w:hAnsi="黑体" w:eastAsia="黑体"/>
          <w:color w:val="000000" w:themeColor="text1"/>
          <w:highlight w:val="none"/>
          <w14:textFill>
            <w14:solidFill>
              <w14:schemeClr w14:val="tx1"/>
            </w14:solidFill>
          </w14:textFill>
        </w:rPr>
      </w:pPr>
      <w:bookmarkStart w:id="48" w:name="_Toc21094"/>
      <w:bookmarkStart w:id="49" w:name="_Toc15377218"/>
      <w:bookmarkStart w:id="50" w:name="_Toc15396610"/>
      <w:r>
        <w:rPr>
          <w:rFonts w:hint="eastAsia" w:ascii="黑体" w:eastAsia="黑体"/>
          <w:color w:val="000000" w:themeColor="text1"/>
          <w:sz w:val="32"/>
          <w:szCs w:val="32"/>
          <w:highlight w:val="none"/>
          <w14:textFill>
            <w14:solidFill>
              <w14:schemeClr w14:val="tx1"/>
            </w14:solidFill>
          </w14:textFill>
        </w:rPr>
        <w:t>八、</w:t>
      </w:r>
      <w:r>
        <w:rPr>
          <w:rStyle w:val="27"/>
          <w:rFonts w:hint="eastAsia" w:ascii="黑体" w:hAnsi="黑体" w:eastAsia="黑体"/>
          <w:b w:val="0"/>
          <w:color w:val="000000" w:themeColor="text1"/>
          <w:highlight w:val="none"/>
          <w14:textFill>
            <w14:solidFill>
              <w14:schemeClr w14:val="tx1"/>
            </w14:solidFill>
          </w14:textFill>
        </w:rPr>
        <w:t>政府性基金预算支出决算情况说明</w:t>
      </w:r>
      <w:bookmarkEnd w:id="48"/>
      <w:bookmarkEnd w:id="49"/>
      <w:bookmarkEnd w:id="50"/>
    </w:p>
    <w:p>
      <w:pPr>
        <w:keepNext w:val="0"/>
        <w:keepLines w:val="0"/>
        <w:pageBreakBefore w:val="0"/>
        <w:widowControl w:val="0"/>
        <w:kinsoku/>
        <w:wordWrap/>
        <w:overflowPunct/>
        <w:topLinePunct w:val="0"/>
        <w:bidi w:val="0"/>
        <w:snapToGrid/>
        <w:spacing w:line="560" w:lineRule="exact"/>
        <w:ind w:firstLine="640"/>
        <w:textAlignment w:val="auto"/>
        <w:outlineLvl w:val="2"/>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24"/>
          <w:szCs w:val="24"/>
          <w:highlight w:val="none"/>
          <w14:textFill>
            <w14:solidFill>
              <w14:schemeClr w14:val="tx1"/>
            </w14:solidFill>
          </w14:textFill>
        </w:rPr>
        <w:t>20</w:t>
      </w:r>
      <w:r>
        <w:rPr>
          <w:rFonts w:hint="eastAsia" w:ascii="仿宋_GB2312" w:eastAsia="仿宋_GB2312"/>
          <w:color w:val="000000" w:themeColor="text1"/>
          <w:sz w:val="24"/>
          <w:szCs w:val="24"/>
          <w:highlight w:val="none"/>
          <w:lang w:val="en-US" w:eastAsia="zh-CN"/>
          <w14:textFill>
            <w14:solidFill>
              <w14:schemeClr w14:val="tx1"/>
            </w14:solidFill>
          </w14:textFill>
        </w:rPr>
        <w:t>22</w:t>
      </w:r>
      <w:r>
        <w:rPr>
          <w:rFonts w:hint="eastAsia" w:ascii="仿宋_GB2312" w:eastAsia="仿宋_GB2312"/>
          <w:color w:val="000000" w:themeColor="text1"/>
          <w:sz w:val="24"/>
          <w:szCs w:val="24"/>
          <w:highlight w:val="none"/>
          <w14:textFill>
            <w14:solidFill>
              <w14:schemeClr w14:val="tx1"/>
            </w14:solidFill>
          </w14:textFill>
        </w:rPr>
        <w:t>年政府性基金预算</w:t>
      </w:r>
      <w:r>
        <w:rPr>
          <w:rFonts w:hint="eastAsia" w:ascii="仿宋_GB2312" w:eastAsia="仿宋_GB2312"/>
          <w:color w:val="000000" w:themeColor="text1"/>
          <w:sz w:val="24"/>
          <w:szCs w:val="24"/>
          <w:highlight w:val="none"/>
          <w:lang w:eastAsia="zh-CN"/>
          <w14:textFill>
            <w14:solidFill>
              <w14:schemeClr w14:val="tx1"/>
            </w14:solidFill>
          </w14:textFill>
        </w:rPr>
        <w:t>财政</w:t>
      </w:r>
      <w:r>
        <w:rPr>
          <w:rFonts w:hint="eastAsia" w:ascii="仿宋_GB2312" w:eastAsia="仿宋_GB2312"/>
          <w:color w:val="000000" w:themeColor="text1"/>
          <w:sz w:val="24"/>
          <w:szCs w:val="24"/>
          <w:highlight w:val="none"/>
          <w14:textFill>
            <w14:solidFill>
              <w14:schemeClr w14:val="tx1"/>
            </w14:solidFill>
          </w14:textFill>
        </w:rPr>
        <w:t>拨款支出</w:t>
      </w:r>
      <w:r>
        <w:rPr>
          <w:rFonts w:hint="eastAsia" w:ascii="仿宋_GB2312" w:eastAsia="仿宋_GB2312"/>
          <w:color w:val="000000" w:themeColor="text1"/>
          <w:sz w:val="24"/>
          <w:szCs w:val="24"/>
          <w:highlight w:val="none"/>
          <w:lang w:val="en-US" w:eastAsia="zh-CN"/>
          <w14:textFill>
            <w14:solidFill>
              <w14:schemeClr w14:val="tx1"/>
            </w14:solidFill>
          </w14:textFill>
        </w:rPr>
        <w:t>0.00</w:t>
      </w:r>
      <w:r>
        <w:rPr>
          <w:rFonts w:hint="eastAsia" w:ascii="仿宋_GB2312" w:eastAsia="仿宋_GB2312"/>
          <w:color w:val="000000" w:themeColor="text1"/>
          <w:sz w:val="24"/>
          <w:szCs w:val="24"/>
          <w:highlight w:val="none"/>
          <w14:textFill>
            <w14:solidFill>
              <w14:schemeClr w14:val="tx1"/>
            </w14:solidFill>
          </w14:textFill>
        </w:rPr>
        <w:t>万元。</w:t>
      </w:r>
    </w:p>
    <w:p>
      <w:pPr>
        <w:keepNext w:val="0"/>
        <w:keepLines w:val="0"/>
        <w:pageBreakBefore w:val="0"/>
        <w:widowControl w:val="0"/>
        <w:numPr>
          <w:ilvl w:val="0"/>
          <w:numId w:val="4"/>
        </w:numPr>
        <w:kinsoku/>
        <w:wordWrap/>
        <w:overflowPunct/>
        <w:topLinePunct w:val="0"/>
        <w:bidi w:val="0"/>
        <w:snapToGrid/>
        <w:spacing w:line="560" w:lineRule="exact"/>
        <w:ind w:firstLine="640"/>
        <w:textAlignment w:val="auto"/>
        <w:outlineLvl w:val="1"/>
        <w:rPr>
          <w:rStyle w:val="27"/>
          <w:rFonts w:ascii="黑体" w:hAnsi="黑体" w:eastAsia="黑体"/>
          <w:b w:val="0"/>
          <w:color w:val="000000" w:themeColor="text1"/>
          <w:highlight w:val="none"/>
          <w14:textFill>
            <w14:solidFill>
              <w14:schemeClr w14:val="tx1"/>
            </w14:solidFill>
          </w14:textFill>
        </w:rPr>
      </w:pPr>
      <w:bookmarkStart w:id="51" w:name="_Toc15396611"/>
      <w:bookmarkStart w:id="52" w:name="_Toc15377219"/>
      <w:bookmarkStart w:id="53" w:name="_Toc4469"/>
      <w:r>
        <w:rPr>
          <w:rStyle w:val="27"/>
          <w:rFonts w:hint="eastAsia" w:ascii="黑体" w:hAnsi="黑体" w:eastAsia="黑体"/>
          <w:b w:val="0"/>
          <w:color w:val="000000" w:themeColor="text1"/>
          <w:highlight w:val="none"/>
          <w14:textFill>
            <w14:solidFill>
              <w14:schemeClr w14:val="tx1"/>
            </w14:solidFill>
          </w14:textFill>
        </w:rPr>
        <w:t>国有资本经营预算支出决算情况说明</w:t>
      </w:r>
      <w:bookmarkEnd w:id="51"/>
      <w:bookmarkEnd w:id="52"/>
      <w:bookmarkEnd w:id="53"/>
    </w:p>
    <w:p>
      <w:pPr>
        <w:keepNext w:val="0"/>
        <w:keepLines w:val="0"/>
        <w:pageBreakBefore w:val="0"/>
        <w:widowControl w:val="0"/>
        <w:kinsoku/>
        <w:wordWrap/>
        <w:overflowPunct/>
        <w:topLinePunct w:val="0"/>
        <w:bidi w:val="0"/>
        <w:snapToGrid/>
        <w:spacing w:line="560" w:lineRule="exact"/>
        <w:ind w:firstLine="640"/>
        <w:textAlignment w:val="auto"/>
        <w:outlineLvl w:val="2"/>
        <w:rPr>
          <w:rFonts w:ascii="仿宋_GB2312" w:eastAsia="仿宋_GB2312"/>
          <w:color w:val="00B0F0"/>
          <w:sz w:val="24"/>
          <w:szCs w:val="24"/>
          <w:highlight w:val="none"/>
        </w:rPr>
      </w:pPr>
      <w:r>
        <w:rPr>
          <w:rFonts w:ascii="仿宋_GB2312" w:eastAsia="仿宋_GB2312"/>
          <w:color w:val="000000" w:themeColor="text1"/>
          <w:sz w:val="24"/>
          <w:szCs w:val="24"/>
          <w:highlight w:val="none"/>
          <w14:textFill>
            <w14:solidFill>
              <w14:schemeClr w14:val="tx1"/>
            </w14:solidFill>
          </w14:textFill>
        </w:rPr>
        <w:t>20</w:t>
      </w:r>
      <w:r>
        <w:rPr>
          <w:rFonts w:hint="eastAsia" w:ascii="仿宋_GB2312" w:eastAsia="仿宋_GB2312"/>
          <w:color w:val="000000" w:themeColor="text1"/>
          <w:sz w:val="24"/>
          <w:szCs w:val="24"/>
          <w:highlight w:val="none"/>
          <w:lang w:val="en-US" w:eastAsia="zh-CN"/>
          <w14:textFill>
            <w14:solidFill>
              <w14:schemeClr w14:val="tx1"/>
            </w14:solidFill>
          </w14:textFill>
        </w:rPr>
        <w:t>22</w:t>
      </w:r>
      <w:r>
        <w:rPr>
          <w:rFonts w:hint="eastAsia" w:ascii="仿宋_GB2312" w:eastAsia="仿宋_GB2312"/>
          <w:color w:val="000000" w:themeColor="text1"/>
          <w:sz w:val="24"/>
          <w:szCs w:val="24"/>
          <w:highlight w:val="none"/>
          <w14:textFill>
            <w14:solidFill>
              <w14:schemeClr w14:val="tx1"/>
            </w14:solidFill>
          </w14:textFill>
        </w:rPr>
        <w:t>年国有资本经营预算</w:t>
      </w:r>
      <w:r>
        <w:rPr>
          <w:rFonts w:hint="eastAsia" w:ascii="仿宋_GB2312" w:eastAsia="仿宋_GB2312"/>
          <w:color w:val="000000" w:themeColor="text1"/>
          <w:sz w:val="24"/>
          <w:szCs w:val="24"/>
          <w:highlight w:val="none"/>
          <w:lang w:eastAsia="zh-CN"/>
          <w14:textFill>
            <w14:solidFill>
              <w14:schemeClr w14:val="tx1"/>
            </w14:solidFill>
          </w14:textFill>
        </w:rPr>
        <w:t>财政</w:t>
      </w:r>
      <w:r>
        <w:rPr>
          <w:rFonts w:hint="eastAsia" w:ascii="仿宋_GB2312" w:eastAsia="仿宋_GB2312"/>
          <w:color w:val="000000" w:themeColor="text1"/>
          <w:sz w:val="24"/>
          <w:szCs w:val="24"/>
          <w:highlight w:val="none"/>
          <w14:textFill>
            <w14:solidFill>
              <w14:schemeClr w14:val="tx1"/>
            </w14:solidFill>
          </w14:textFill>
        </w:rPr>
        <w:t>拨款支出</w:t>
      </w:r>
      <w:r>
        <w:rPr>
          <w:rFonts w:hint="eastAsia" w:ascii="仿宋_GB2312" w:eastAsia="仿宋_GB2312"/>
          <w:color w:val="000000" w:themeColor="text1"/>
          <w:sz w:val="24"/>
          <w:szCs w:val="24"/>
          <w:highlight w:val="none"/>
          <w:lang w:val="en-US" w:eastAsia="zh-CN"/>
          <w14:textFill>
            <w14:solidFill>
              <w14:schemeClr w14:val="tx1"/>
            </w14:solidFill>
          </w14:textFill>
        </w:rPr>
        <w:t>0.00</w:t>
      </w:r>
      <w:r>
        <w:rPr>
          <w:rFonts w:hint="eastAsia" w:ascii="仿宋_GB2312" w:eastAsia="仿宋_GB2312"/>
          <w:color w:val="000000" w:themeColor="text1"/>
          <w:sz w:val="24"/>
          <w:szCs w:val="24"/>
          <w:highlight w:val="none"/>
          <w14:textFill>
            <w14:solidFill>
              <w14:schemeClr w14:val="tx1"/>
            </w14:solidFill>
          </w14:textFill>
        </w:rPr>
        <w:t>万元。</w:t>
      </w:r>
    </w:p>
    <w:p>
      <w:pPr>
        <w:keepNext w:val="0"/>
        <w:keepLines w:val="0"/>
        <w:pageBreakBefore w:val="0"/>
        <w:widowControl w:val="0"/>
        <w:numPr>
          <w:ilvl w:val="0"/>
          <w:numId w:val="4"/>
        </w:numPr>
        <w:kinsoku/>
        <w:wordWrap/>
        <w:overflowPunct/>
        <w:topLinePunct w:val="0"/>
        <w:bidi w:val="0"/>
        <w:snapToGrid/>
        <w:spacing w:line="560" w:lineRule="exact"/>
        <w:ind w:firstLine="640"/>
        <w:textAlignment w:val="auto"/>
        <w:outlineLvl w:val="1"/>
        <w:rPr>
          <w:rStyle w:val="27"/>
          <w:rFonts w:hint="eastAsia" w:ascii="黑体" w:hAnsi="黑体" w:eastAsia="黑体"/>
          <w:b w:val="0"/>
          <w:color w:val="000000" w:themeColor="text1"/>
          <w:highlight w:val="none"/>
          <w14:textFill>
            <w14:solidFill>
              <w14:schemeClr w14:val="tx1"/>
            </w14:solidFill>
          </w14:textFill>
        </w:rPr>
      </w:pPr>
      <w:bookmarkStart w:id="54" w:name="_Toc15377221"/>
      <w:bookmarkStart w:id="55" w:name="_Toc10003"/>
      <w:bookmarkStart w:id="56" w:name="_Toc15396612"/>
      <w:r>
        <w:rPr>
          <w:rStyle w:val="27"/>
          <w:rFonts w:hint="eastAsia" w:ascii="黑体" w:hAnsi="黑体" w:eastAsia="黑体"/>
          <w:b w:val="0"/>
          <w:color w:val="000000" w:themeColor="text1"/>
          <w:highlight w:val="none"/>
          <w14:textFill>
            <w14:solidFill>
              <w14:schemeClr w14:val="tx1"/>
            </w14:solidFill>
          </w14:textFill>
        </w:rPr>
        <w:t>其他重要事项的情况说明</w:t>
      </w:r>
      <w:bookmarkEnd w:id="54"/>
      <w:bookmarkEnd w:id="55"/>
      <w:bookmarkEnd w:id="56"/>
    </w:p>
    <w:p>
      <w:pPr>
        <w:keepNext w:val="0"/>
        <w:keepLines w:val="0"/>
        <w:pageBreakBefore w:val="0"/>
        <w:widowControl w:val="0"/>
        <w:kinsoku/>
        <w:wordWrap/>
        <w:overflowPunct/>
        <w:topLinePunct w:val="0"/>
        <w:bidi w:val="0"/>
        <w:snapToGrid/>
        <w:spacing w:line="560" w:lineRule="exact"/>
        <w:ind w:firstLine="640" w:firstLineChars="200"/>
        <w:textAlignment w:val="auto"/>
        <w:outlineLvl w:val="2"/>
        <w:rPr>
          <w:rFonts w:hint="eastAsia" w:ascii="楷体" w:hAnsi="楷体" w:eastAsia="楷体" w:cs="楷体"/>
          <w:b w:val="0"/>
          <w:bCs/>
          <w:color w:val="000000" w:themeColor="text1"/>
          <w:sz w:val="32"/>
          <w:szCs w:val="32"/>
          <w:highlight w:val="none"/>
          <w14:textFill>
            <w14:solidFill>
              <w14:schemeClr w14:val="tx1"/>
            </w14:solidFill>
          </w14:textFill>
        </w:rPr>
      </w:pPr>
      <w:bookmarkStart w:id="57" w:name="_Toc15377222"/>
      <w:r>
        <w:rPr>
          <w:rFonts w:hint="eastAsia" w:ascii="楷体" w:hAnsi="楷体" w:eastAsia="楷体" w:cs="楷体"/>
          <w:b w:val="0"/>
          <w:bCs/>
          <w:color w:val="000000" w:themeColor="text1"/>
          <w:sz w:val="32"/>
          <w:szCs w:val="32"/>
          <w:highlight w:val="none"/>
          <w14:textFill>
            <w14:solidFill>
              <w14:schemeClr w14:val="tx1"/>
            </w14:solidFill>
          </w14:textFill>
        </w:rPr>
        <w:t>（一）机关运行经费支出情况</w:t>
      </w:r>
      <w:bookmarkEnd w:id="57"/>
    </w:p>
    <w:p>
      <w:pPr>
        <w:keepNext w:val="0"/>
        <w:keepLines w:val="0"/>
        <w:pageBreakBefore w:val="0"/>
        <w:widowControl w:val="0"/>
        <w:kinsoku/>
        <w:wordWrap/>
        <w:overflowPunct/>
        <w:topLinePunct w:val="0"/>
        <w:bidi w:val="0"/>
        <w:snapToGrid/>
        <w:spacing w:line="560" w:lineRule="exact"/>
        <w:ind w:firstLine="480" w:firstLineChars="200"/>
        <w:textAlignment w:val="auto"/>
        <w:outlineLvl w:val="2"/>
        <w:rPr>
          <w:rFonts w:hint="eastAsia" w:ascii="仿宋_GB2312" w:eastAsia="仿宋_GB2312"/>
          <w:color w:val="auto"/>
          <w:sz w:val="24"/>
          <w:szCs w:val="24"/>
          <w:highlight w:val="none"/>
          <w:lang w:val="en-US" w:eastAsia="zh-CN"/>
        </w:rPr>
      </w:pPr>
      <w:r>
        <w:rPr>
          <w:rFonts w:ascii="仿宋_GB2312" w:eastAsia="仿宋_GB2312"/>
          <w:color w:val="auto"/>
          <w:sz w:val="24"/>
          <w:szCs w:val="24"/>
          <w:highlight w:val="none"/>
        </w:rPr>
        <w:t>20</w:t>
      </w:r>
      <w:r>
        <w:rPr>
          <w:rFonts w:hint="eastAsia" w:ascii="仿宋_GB2312" w:eastAsia="仿宋_GB2312"/>
          <w:color w:val="auto"/>
          <w:sz w:val="24"/>
          <w:szCs w:val="24"/>
          <w:highlight w:val="none"/>
          <w:lang w:val="en-US" w:eastAsia="zh-CN"/>
        </w:rPr>
        <w:t>22</w:t>
      </w:r>
      <w:r>
        <w:rPr>
          <w:rFonts w:hint="eastAsia" w:ascii="仿宋_GB2312" w:eastAsia="仿宋_GB2312"/>
          <w:color w:val="auto"/>
          <w:sz w:val="24"/>
          <w:szCs w:val="24"/>
          <w:highlight w:val="none"/>
        </w:rPr>
        <w:t>年，</w:t>
      </w:r>
      <w:r>
        <w:rPr>
          <w:rFonts w:hint="eastAsia" w:ascii="仿宋_GB2312" w:eastAsia="仿宋_GB2312"/>
          <w:color w:val="auto"/>
          <w:sz w:val="24"/>
          <w:szCs w:val="24"/>
          <w:highlight w:val="none"/>
          <w:lang w:val="en-US" w:eastAsia="zh-CN"/>
        </w:rPr>
        <w:t>广元市利州区宝轮第四小学</w:t>
      </w:r>
      <w:r>
        <w:rPr>
          <w:rFonts w:hint="eastAsia" w:ascii="仿宋_GB2312" w:eastAsia="仿宋_GB2312"/>
          <w:color w:val="auto"/>
          <w:sz w:val="24"/>
          <w:szCs w:val="24"/>
          <w:highlight w:val="none"/>
        </w:rPr>
        <w:t>运行经费支出</w:t>
      </w:r>
      <w:r>
        <w:rPr>
          <w:rFonts w:hint="eastAsia" w:ascii="仿宋" w:hAnsi="仿宋" w:eastAsia="仿宋"/>
          <w:color w:val="auto"/>
          <w:sz w:val="24"/>
          <w:szCs w:val="24"/>
          <w:highlight w:val="none"/>
          <w:lang w:val="en-US" w:eastAsia="zh-CN"/>
        </w:rPr>
        <w:t>0.00</w:t>
      </w:r>
      <w:r>
        <w:rPr>
          <w:rFonts w:hint="eastAsia" w:ascii="仿宋_GB2312" w:eastAsia="仿宋_GB2312"/>
          <w:color w:val="auto"/>
          <w:sz w:val="24"/>
          <w:szCs w:val="24"/>
          <w:highlight w:val="none"/>
        </w:rPr>
        <w:t>万元</w:t>
      </w:r>
      <w:r>
        <w:rPr>
          <w:rFonts w:hint="eastAsia" w:ascii="仿宋_GB2312" w:eastAsia="仿宋_GB2312"/>
          <w:color w:val="auto"/>
          <w:sz w:val="24"/>
          <w:szCs w:val="24"/>
          <w:highlight w:val="none"/>
          <w:lang w:val="en-US" w:eastAsia="zh-CN"/>
        </w:rPr>
        <w:t>。</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2"/>
        <w:rPr>
          <w:rFonts w:hint="eastAsia" w:ascii="楷体" w:hAnsi="楷体" w:eastAsia="楷体" w:cs="楷体"/>
          <w:b w:val="0"/>
          <w:bCs/>
          <w:color w:val="000000" w:themeColor="text1"/>
          <w:sz w:val="32"/>
          <w:szCs w:val="32"/>
          <w:highlight w:val="none"/>
          <w14:textFill>
            <w14:solidFill>
              <w14:schemeClr w14:val="tx1"/>
            </w14:solidFill>
          </w14:textFill>
        </w:rPr>
      </w:pPr>
      <w:bookmarkStart w:id="58" w:name="_Toc15377223"/>
      <w:r>
        <w:rPr>
          <w:rFonts w:hint="eastAsia" w:ascii="楷体" w:hAnsi="楷体" w:eastAsia="楷体" w:cs="楷体"/>
          <w:b w:val="0"/>
          <w:bCs/>
          <w:color w:val="000000" w:themeColor="text1"/>
          <w:sz w:val="32"/>
          <w:szCs w:val="32"/>
          <w:highlight w:val="none"/>
          <w14:textFill>
            <w14:solidFill>
              <w14:schemeClr w14:val="tx1"/>
            </w14:solidFill>
          </w14:textFill>
        </w:rPr>
        <w:t>（二）政府采购支出情况</w:t>
      </w:r>
      <w:bookmarkEnd w:id="58"/>
    </w:p>
    <w:p>
      <w:pPr>
        <w:keepNext w:val="0"/>
        <w:keepLines w:val="0"/>
        <w:pageBreakBefore w:val="0"/>
        <w:widowControl w:val="0"/>
        <w:kinsoku/>
        <w:wordWrap/>
        <w:overflowPunct/>
        <w:topLinePunct w:val="0"/>
        <w:bidi w:val="0"/>
        <w:snapToGrid/>
        <w:spacing w:line="560" w:lineRule="exact"/>
        <w:ind w:firstLine="480" w:firstLineChars="200"/>
        <w:textAlignment w:val="auto"/>
        <w:outlineLvl w:val="2"/>
        <w:rPr>
          <w:rFonts w:ascii="仿宋_GB2312" w:eastAsia="仿宋_GB2312"/>
          <w:color w:val="000000" w:themeColor="text1"/>
          <w:sz w:val="24"/>
          <w:szCs w:val="24"/>
          <w:highlight w:val="none"/>
          <w14:textFill>
            <w14:solidFill>
              <w14:schemeClr w14:val="tx1"/>
            </w14:solidFill>
          </w14:textFill>
        </w:rPr>
      </w:pPr>
      <w:r>
        <w:rPr>
          <w:rFonts w:ascii="仿宋_GB2312" w:eastAsia="仿宋_GB2312"/>
          <w:color w:val="000000" w:themeColor="text1"/>
          <w:sz w:val="24"/>
          <w:szCs w:val="24"/>
          <w:highlight w:val="none"/>
          <w14:textFill>
            <w14:solidFill>
              <w14:schemeClr w14:val="tx1"/>
            </w14:solidFill>
          </w14:textFill>
        </w:rPr>
        <w:t>20</w:t>
      </w:r>
      <w:r>
        <w:rPr>
          <w:rFonts w:hint="eastAsia" w:ascii="仿宋_GB2312" w:eastAsia="仿宋_GB2312"/>
          <w:color w:val="000000" w:themeColor="text1"/>
          <w:sz w:val="24"/>
          <w:szCs w:val="24"/>
          <w:highlight w:val="none"/>
          <w:lang w:val="en-US" w:eastAsia="zh-CN"/>
          <w14:textFill>
            <w14:solidFill>
              <w14:schemeClr w14:val="tx1"/>
            </w14:solidFill>
          </w14:textFill>
        </w:rPr>
        <w:t>22</w:t>
      </w:r>
      <w:r>
        <w:rPr>
          <w:rFonts w:hint="eastAsia" w:ascii="仿宋_GB2312" w:eastAsia="仿宋_GB2312"/>
          <w:color w:val="000000" w:themeColor="text1"/>
          <w:sz w:val="24"/>
          <w:szCs w:val="24"/>
          <w:highlight w:val="none"/>
          <w14:textFill>
            <w14:solidFill>
              <w14:schemeClr w14:val="tx1"/>
            </w14:solidFill>
          </w14:textFill>
        </w:rPr>
        <w:t>年，</w:t>
      </w:r>
      <w:r>
        <w:rPr>
          <w:rFonts w:hint="eastAsia" w:ascii="仿宋_GB2312" w:eastAsia="仿宋_GB2312"/>
          <w:color w:val="auto"/>
          <w:sz w:val="24"/>
          <w:szCs w:val="24"/>
          <w:highlight w:val="none"/>
          <w:lang w:val="en-US" w:eastAsia="zh-CN"/>
        </w:rPr>
        <w:t>广元市利州区宝轮第四小学</w:t>
      </w:r>
      <w:r>
        <w:rPr>
          <w:rFonts w:hint="eastAsia" w:ascii="仿宋_GB2312" w:eastAsia="仿宋_GB2312"/>
          <w:color w:val="auto"/>
          <w:sz w:val="24"/>
          <w:szCs w:val="24"/>
          <w:highlight w:val="none"/>
        </w:rPr>
        <w:t>政府采购支出总额</w:t>
      </w:r>
      <w:r>
        <w:rPr>
          <w:rFonts w:hint="eastAsia" w:ascii="仿宋_GB2312" w:eastAsia="仿宋_GB2312"/>
          <w:color w:val="auto"/>
          <w:sz w:val="24"/>
          <w:szCs w:val="24"/>
          <w:highlight w:val="none"/>
          <w:lang w:val="en-US" w:eastAsia="zh-CN"/>
        </w:rPr>
        <w:t>0.00</w:t>
      </w:r>
      <w:r>
        <w:rPr>
          <w:rFonts w:hint="eastAsia" w:ascii="仿宋_GB2312" w:eastAsia="仿宋_GB2312"/>
          <w:color w:val="auto"/>
          <w:sz w:val="24"/>
          <w:szCs w:val="24"/>
          <w:highlight w:val="none"/>
        </w:rPr>
        <w:t>万元</w:t>
      </w:r>
      <w:r>
        <w:rPr>
          <w:rFonts w:hint="eastAsia" w:ascii="仿宋_GB2312" w:eastAsia="仿宋_GB2312"/>
          <w:color w:val="auto"/>
          <w:sz w:val="24"/>
          <w:szCs w:val="24"/>
          <w:highlight w:val="none"/>
          <w:lang w:eastAsia="zh-CN"/>
        </w:rPr>
        <w:t>。</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2"/>
        <w:rPr>
          <w:rFonts w:hint="eastAsia" w:ascii="楷体" w:hAnsi="楷体" w:eastAsia="楷体" w:cs="楷体"/>
          <w:b w:val="0"/>
          <w:bCs/>
          <w:color w:val="000000" w:themeColor="text1"/>
          <w:sz w:val="32"/>
          <w:szCs w:val="32"/>
          <w:highlight w:val="none"/>
          <w14:textFill>
            <w14:solidFill>
              <w14:schemeClr w14:val="tx1"/>
            </w14:solidFill>
          </w14:textFill>
        </w:rPr>
      </w:pPr>
      <w:bookmarkStart w:id="59" w:name="_Toc15377224"/>
      <w:r>
        <w:rPr>
          <w:rFonts w:hint="eastAsia" w:ascii="楷体" w:hAnsi="楷体" w:eastAsia="楷体" w:cs="楷体"/>
          <w:b w:val="0"/>
          <w:bCs/>
          <w:color w:val="000000" w:themeColor="text1"/>
          <w:sz w:val="32"/>
          <w:szCs w:val="32"/>
          <w:highlight w:val="none"/>
          <w14:textFill>
            <w14:solidFill>
              <w14:schemeClr w14:val="tx1"/>
            </w14:solidFill>
          </w14:textFill>
        </w:rPr>
        <w:t>（三）国有资产占有使用情况</w:t>
      </w:r>
      <w:bookmarkEnd w:id="59"/>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outlineLvl w:val="2"/>
        <w:rPr>
          <w:rFonts w:ascii="仿宋" w:hAnsi="仿宋" w:eastAsia="仿宋"/>
          <w:b/>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截至</w:t>
      </w:r>
      <w:r>
        <w:rPr>
          <w:rFonts w:ascii="仿宋_GB2312" w:eastAsia="仿宋_GB2312"/>
          <w:color w:val="000000" w:themeColor="text1"/>
          <w:sz w:val="24"/>
          <w:szCs w:val="24"/>
          <w:highlight w:val="none"/>
          <w14:textFill>
            <w14:solidFill>
              <w14:schemeClr w14:val="tx1"/>
            </w14:solidFill>
          </w14:textFill>
        </w:rPr>
        <w:t>20</w:t>
      </w:r>
      <w:r>
        <w:rPr>
          <w:rFonts w:hint="eastAsia" w:ascii="仿宋_GB2312" w:eastAsia="仿宋_GB2312"/>
          <w:color w:val="000000" w:themeColor="text1"/>
          <w:sz w:val="24"/>
          <w:szCs w:val="24"/>
          <w:highlight w:val="none"/>
          <w:lang w:val="en-US" w:eastAsia="zh-CN"/>
          <w14:textFill>
            <w14:solidFill>
              <w14:schemeClr w14:val="tx1"/>
            </w14:solidFill>
          </w14:textFill>
        </w:rPr>
        <w:t>22</w:t>
      </w:r>
      <w:r>
        <w:rPr>
          <w:rFonts w:hint="eastAsia" w:ascii="仿宋_GB2312" w:eastAsia="仿宋_GB2312"/>
          <w:color w:val="000000" w:themeColor="text1"/>
          <w:sz w:val="24"/>
          <w:szCs w:val="24"/>
          <w:highlight w:val="none"/>
          <w14:textFill>
            <w14:solidFill>
              <w14:schemeClr w14:val="tx1"/>
            </w14:solidFill>
          </w14:textFill>
        </w:rPr>
        <w:t>年</w:t>
      </w:r>
      <w:r>
        <w:rPr>
          <w:rFonts w:ascii="仿宋_GB2312" w:eastAsia="仿宋_GB2312"/>
          <w:color w:val="000000" w:themeColor="text1"/>
          <w:sz w:val="24"/>
          <w:szCs w:val="24"/>
          <w:highlight w:val="none"/>
          <w14:textFill>
            <w14:solidFill>
              <w14:schemeClr w14:val="tx1"/>
            </w14:solidFill>
          </w14:textFill>
        </w:rPr>
        <w:t>12</w:t>
      </w:r>
      <w:r>
        <w:rPr>
          <w:rFonts w:hint="eastAsia" w:ascii="仿宋_GB2312" w:eastAsia="仿宋_GB2312"/>
          <w:color w:val="000000" w:themeColor="text1"/>
          <w:sz w:val="24"/>
          <w:szCs w:val="24"/>
          <w:highlight w:val="none"/>
          <w14:textFill>
            <w14:solidFill>
              <w14:schemeClr w14:val="tx1"/>
            </w14:solidFill>
          </w14:textFill>
        </w:rPr>
        <w:t>月</w:t>
      </w:r>
      <w:r>
        <w:rPr>
          <w:rFonts w:ascii="仿宋_GB2312" w:eastAsia="仿宋_GB2312"/>
          <w:color w:val="000000" w:themeColor="text1"/>
          <w:sz w:val="24"/>
          <w:szCs w:val="24"/>
          <w:highlight w:val="none"/>
          <w14:textFill>
            <w14:solidFill>
              <w14:schemeClr w14:val="tx1"/>
            </w14:solidFill>
          </w14:textFill>
        </w:rPr>
        <w:t>31</w:t>
      </w:r>
      <w:r>
        <w:rPr>
          <w:rFonts w:hint="eastAsia" w:ascii="仿宋_GB2312" w:eastAsia="仿宋_GB2312"/>
          <w:color w:val="000000" w:themeColor="text1"/>
          <w:sz w:val="24"/>
          <w:szCs w:val="24"/>
          <w:highlight w:val="none"/>
          <w14:textFill>
            <w14:solidFill>
              <w14:schemeClr w14:val="tx1"/>
            </w14:solidFill>
          </w14:textFill>
        </w:rPr>
        <w:t>日，</w:t>
      </w:r>
      <w:r>
        <w:rPr>
          <w:rFonts w:hint="eastAsia" w:ascii="仿宋_GB2312" w:eastAsia="仿宋_GB2312"/>
          <w:color w:val="auto"/>
          <w:sz w:val="24"/>
          <w:szCs w:val="24"/>
          <w:highlight w:val="none"/>
          <w:lang w:val="en-US" w:eastAsia="zh-CN"/>
        </w:rPr>
        <w:t>广元市利州区宝轮第四小学</w:t>
      </w:r>
      <w:r>
        <w:rPr>
          <w:rFonts w:hint="eastAsia" w:ascii="仿宋_GB2312" w:eastAsia="仿宋_GB2312"/>
          <w:color w:val="000000" w:themeColor="text1"/>
          <w:sz w:val="24"/>
          <w:szCs w:val="24"/>
          <w:highlight w:val="none"/>
          <w14:textFill>
            <w14:solidFill>
              <w14:schemeClr w14:val="tx1"/>
            </w14:solidFill>
          </w14:textFill>
        </w:rPr>
        <w:t>共有车辆</w:t>
      </w:r>
      <w:r>
        <w:rPr>
          <w:rFonts w:hint="eastAsia" w:ascii="仿宋_GB2312" w:eastAsia="仿宋_GB2312"/>
          <w:color w:val="000000" w:themeColor="text1"/>
          <w:sz w:val="24"/>
          <w:szCs w:val="24"/>
          <w:highlight w:val="none"/>
          <w:lang w:val="en-US" w:eastAsia="zh-CN"/>
          <w14:textFill>
            <w14:solidFill>
              <w14:schemeClr w14:val="tx1"/>
            </w14:solidFill>
          </w14:textFill>
        </w:rPr>
        <w:t>0</w:t>
      </w:r>
      <w:r>
        <w:rPr>
          <w:rFonts w:hint="eastAsia" w:ascii="仿宋_GB2312" w:eastAsia="仿宋_GB2312"/>
          <w:color w:val="000000" w:themeColor="text1"/>
          <w:sz w:val="24"/>
          <w:szCs w:val="24"/>
          <w:highlight w:val="none"/>
          <w14:textFill>
            <w14:solidFill>
              <w14:schemeClr w14:val="tx1"/>
            </w14:solidFill>
          </w14:textFill>
        </w:rPr>
        <w:t>辆</w:t>
      </w:r>
      <w:r>
        <w:rPr>
          <w:rFonts w:hint="eastAsia" w:ascii="仿宋_GB2312" w:eastAsia="仿宋_GB2312"/>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2"/>
        <w:rPr>
          <w:rFonts w:hint="eastAsia" w:ascii="楷体" w:hAnsi="楷体" w:eastAsia="楷体" w:cs="楷体"/>
          <w:b w:val="0"/>
          <w:bCs/>
          <w:color w:val="000000" w:themeColor="text1"/>
          <w:sz w:val="32"/>
          <w:szCs w:val="32"/>
          <w:highlight w:val="none"/>
          <w:lang w:eastAsia="zh-CN"/>
          <w14:textFill>
            <w14:solidFill>
              <w14:schemeClr w14:val="tx1"/>
            </w14:solidFill>
          </w14:textFill>
        </w:rPr>
      </w:pPr>
      <w:r>
        <w:rPr>
          <w:rFonts w:hint="eastAsia" w:ascii="楷体" w:hAnsi="楷体" w:eastAsia="楷体" w:cs="楷体"/>
          <w:b w:val="0"/>
          <w:bCs/>
          <w:color w:val="000000" w:themeColor="text1"/>
          <w:sz w:val="32"/>
          <w:szCs w:val="32"/>
          <w:highlight w:val="none"/>
          <w14:textFill>
            <w14:solidFill>
              <w14:schemeClr w14:val="tx1"/>
            </w14:solidFill>
          </w14:textFill>
        </w:rPr>
        <w:t>（四）预算绩效管理情况</w:t>
      </w:r>
    </w:p>
    <w:p>
      <w:pPr>
        <w:keepNext w:val="0"/>
        <w:keepLines w:val="0"/>
        <w:pageBreakBefore w:val="0"/>
        <w:widowControl w:val="0"/>
        <w:kinsoku/>
        <w:wordWrap/>
        <w:overflowPunct/>
        <w:topLinePunct w:val="0"/>
        <w:bidi w:val="0"/>
        <w:snapToGrid/>
        <w:spacing w:line="560" w:lineRule="exact"/>
        <w:ind w:firstLine="480" w:firstLineChars="200"/>
        <w:textAlignment w:val="auto"/>
        <w:outlineLvl w:val="2"/>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根据预算绩效管理要求，本单位在</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2022年度</w:t>
      </w:r>
      <w:r>
        <w:rPr>
          <w:rFonts w:hint="eastAsia" w:ascii="仿宋_GB2312" w:hAnsi="仿宋_GB2312" w:eastAsia="仿宋_GB2312" w:cs="仿宋_GB2312"/>
          <w:color w:val="000000" w:themeColor="text1"/>
          <w:sz w:val="24"/>
          <w:szCs w:val="24"/>
          <w:highlight w:val="none"/>
          <w14:textFill>
            <w14:solidFill>
              <w14:schemeClr w14:val="tx1"/>
            </w14:solidFill>
          </w14:textFill>
        </w:rPr>
        <w:t>预算编制阶段，组织对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学前减免保教费、营养餐补助</w:t>
      </w:r>
      <w:r>
        <w:rPr>
          <w:rFonts w:hint="eastAsia" w:ascii="仿宋_GB2312" w:hAnsi="仿宋_GB2312" w:eastAsia="仿宋_GB2312" w:cs="仿宋_GB2312"/>
          <w:color w:val="000000" w:themeColor="text1"/>
          <w:sz w:val="24"/>
          <w:szCs w:val="24"/>
          <w:highlight w:val="none"/>
          <w14:textFill>
            <w14:solidFill>
              <w14:schemeClr w14:val="tx1"/>
            </w14:solidFill>
          </w14:textFill>
        </w:rPr>
        <w:t>项目</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等</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24个项目</w:t>
      </w:r>
      <w:r>
        <w:rPr>
          <w:rFonts w:hint="eastAsia" w:ascii="仿宋_GB2312" w:hAnsi="仿宋_GB2312" w:eastAsia="仿宋_GB2312" w:cs="仿宋_GB2312"/>
          <w:color w:val="000000" w:themeColor="text1"/>
          <w:sz w:val="24"/>
          <w:szCs w:val="24"/>
          <w:highlight w:val="none"/>
          <w14:textFill>
            <w14:solidFill>
              <w14:schemeClr w14:val="tx1"/>
            </w14:solidFill>
          </w14:textFill>
        </w:rPr>
        <w:t>开展了预算事前绩效评估，对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24</w:t>
      </w:r>
      <w:r>
        <w:rPr>
          <w:rFonts w:hint="eastAsia" w:ascii="仿宋_GB2312" w:hAnsi="仿宋_GB2312" w:eastAsia="仿宋_GB2312" w:cs="仿宋_GB2312"/>
          <w:color w:val="000000" w:themeColor="text1"/>
          <w:sz w:val="24"/>
          <w:szCs w:val="24"/>
          <w:highlight w:val="none"/>
          <w14:textFill>
            <w14:solidFill>
              <w14:schemeClr w14:val="tx1"/>
            </w14:solidFill>
          </w14:textFill>
        </w:rPr>
        <w:t>个项目编制了绩效目标，预算执行过程中，选取</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24</w:t>
      </w:r>
      <w:r>
        <w:rPr>
          <w:rFonts w:hint="eastAsia" w:ascii="仿宋_GB2312" w:hAnsi="仿宋_GB2312" w:eastAsia="仿宋_GB2312" w:cs="仿宋_GB2312"/>
          <w:color w:val="000000" w:themeColor="text1"/>
          <w:sz w:val="24"/>
          <w:szCs w:val="24"/>
          <w:highlight w:val="none"/>
          <w14:textFill>
            <w14:solidFill>
              <w14:schemeClr w14:val="tx1"/>
            </w14:solidFill>
          </w14:textFill>
        </w:rPr>
        <w:t>个项目开展绩效监控，年终执行完毕后，对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24</w:t>
      </w:r>
      <w:r>
        <w:rPr>
          <w:rFonts w:hint="eastAsia" w:ascii="仿宋_GB2312" w:hAnsi="仿宋_GB2312" w:eastAsia="仿宋_GB2312" w:cs="仿宋_GB2312"/>
          <w:color w:val="000000" w:themeColor="text1"/>
          <w:sz w:val="24"/>
          <w:szCs w:val="24"/>
          <w:highlight w:val="none"/>
          <w14:textFill>
            <w14:solidFill>
              <w14:schemeClr w14:val="tx1"/>
            </w14:solidFill>
          </w14:textFill>
        </w:rPr>
        <w:t>个项目开展了绩效自评</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2022年特定目标类部门预算项目绩效目标自评表见附件（第四部分）</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bidi w:val="0"/>
        <w:snapToGrid/>
        <w:spacing w:line="560" w:lineRule="exact"/>
        <w:textAlignment w:val="auto"/>
        <w:outlineLvl w:val="2"/>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numPr>
          <w:ilvl w:val="0"/>
          <w:numId w:val="5"/>
        </w:numPr>
        <w:spacing w:line="600" w:lineRule="exact"/>
        <w:ind w:firstLine="660" w:firstLineChars="150"/>
        <w:jc w:val="center"/>
        <w:outlineLvl w:val="0"/>
        <w:rPr>
          <w:rStyle w:val="26"/>
          <w:rFonts w:ascii="黑体" w:hAnsi="黑体" w:eastAsia="黑体"/>
          <w:b w:val="0"/>
          <w:color w:val="000000" w:themeColor="text1"/>
          <w:highlight w:val="none"/>
          <w14:textFill>
            <w14:solidFill>
              <w14:schemeClr w14:val="tx1"/>
            </w14:solidFill>
          </w14:textFill>
        </w:rPr>
      </w:pPr>
      <w:bookmarkStart w:id="60" w:name="_Toc32389"/>
      <w:bookmarkStart w:id="61" w:name="_Toc15396613"/>
      <w:bookmarkStart w:id="62" w:name="_Toc15377225"/>
      <w:r>
        <w:rPr>
          <w:rFonts w:hint="eastAsia" w:ascii="黑体" w:hAnsi="黑体" w:eastAsia="黑体"/>
          <w:color w:val="000000" w:themeColor="text1"/>
          <w:sz w:val="44"/>
          <w:szCs w:val="44"/>
          <w:highlight w:val="none"/>
          <w14:textFill>
            <w14:solidFill>
              <w14:schemeClr w14:val="tx1"/>
            </w14:solidFill>
          </w14:textFill>
        </w:rPr>
        <w:t>名</w:t>
      </w:r>
      <w:r>
        <w:rPr>
          <w:rStyle w:val="26"/>
          <w:rFonts w:hint="eastAsia" w:ascii="黑体" w:hAnsi="黑体" w:eastAsia="黑体"/>
          <w:b w:val="0"/>
          <w:color w:val="000000" w:themeColor="text1"/>
          <w:highlight w:val="none"/>
          <w14:textFill>
            <w14:solidFill>
              <w14:schemeClr w14:val="tx1"/>
            </w14:solidFill>
          </w14:textFill>
        </w:rPr>
        <w:t>词解释</w:t>
      </w:r>
      <w:bookmarkEnd w:id="60"/>
      <w:bookmarkEnd w:id="61"/>
      <w:bookmarkEnd w:id="62"/>
    </w:p>
    <w:p>
      <w:pPr>
        <w:keepNext w:val="0"/>
        <w:keepLines w:val="0"/>
        <w:pageBreakBefore w:val="0"/>
        <w:widowControl w:val="0"/>
        <w:kinsoku/>
        <w:wordWrap/>
        <w:overflowPunct/>
        <w:topLinePunct w:val="0"/>
        <w:bidi w:val="0"/>
        <w:snapToGrid w:val="0"/>
        <w:spacing w:line="560" w:lineRule="exact"/>
        <w:jc w:val="left"/>
        <w:textAlignment w:val="auto"/>
        <w:outlineLvl w:val="9"/>
        <w:rPr>
          <w:rFonts w:ascii="宋体"/>
          <w:b/>
          <w:color w:val="000000" w:themeColor="text1"/>
          <w:sz w:val="44"/>
          <w:szCs w:val="44"/>
          <w:highlight w:val="none"/>
          <w14:textFill>
            <w14:solidFill>
              <w14:schemeClr w14:val="tx1"/>
            </w14:solidFill>
          </w14:textFill>
        </w:rPr>
      </w:pPr>
    </w:p>
    <w:p>
      <w:pPr>
        <w:pStyle w:val="24"/>
        <w:keepNext w:val="0"/>
        <w:keepLines w:val="0"/>
        <w:pageBreakBefore w:val="0"/>
        <w:widowControl w:val="0"/>
        <w:kinsoku/>
        <w:wordWrap/>
        <w:overflowPunct/>
        <w:topLinePunct w:val="0"/>
        <w:bidi w:val="0"/>
        <w:snapToGrid w:val="0"/>
        <w:spacing w:line="560" w:lineRule="exact"/>
        <w:ind w:firstLine="480" w:firstLineChars="200"/>
        <w:textAlignment w:val="auto"/>
        <w:outlineLvl w:val="1"/>
        <w:rPr>
          <w:rFonts w:ascii="仿宋_GB2312" w:eastAsia="仿宋_GB2312"/>
          <w:color w:val="000000" w:themeColor="text1"/>
          <w:sz w:val="24"/>
          <w:szCs w:val="24"/>
          <w14:textFill>
            <w14:solidFill>
              <w14:schemeClr w14:val="tx1"/>
            </w14:solidFill>
          </w14:textFill>
        </w:rPr>
      </w:pPr>
      <w:bookmarkStart w:id="63" w:name="_Toc15680"/>
      <w:r>
        <w:rPr>
          <w:rFonts w:hint="eastAsia" w:ascii="仿宋_GB2312" w:eastAsia="仿宋_GB2312"/>
          <w:color w:val="000000" w:themeColor="text1"/>
          <w:sz w:val="24"/>
          <w:szCs w:val="24"/>
          <w:lang w:val="en-US" w:eastAsia="zh-CN"/>
          <w14:textFill>
            <w14:solidFill>
              <w14:schemeClr w14:val="tx1"/>
            </w14:solidFill>
          </w14:textFill>
        </w:rPr>
        <w:t>1</w:t>
      </w:r>
      <w:r>
        <w:rPr>
          <w:rFonts w:hint="eastAsia" w:ascii="仿宋_GB2312" w:eastAsia="仿宋_GB2312"/>
          <w:color w:val="000000" w:themeColor="text1"/>
          <w:sz w:val="24"/>
          <w:szCs w:val="24"/>
          <w14:textFill>
            <w14:solidFill>
              <w14:schemeClr w14:val="tx1"/>
            </w14:solidFill>
          </w14:textFill>
        </w:rPr>
        <w:t>.财</w:t>
      </w:r>
      <w:r>
        <w:rPr>
          <w:rFonts w:hint="eastAsia" w:ascii="仿宋_GB2312" w:eastAsia="仿宋_GB2312"/>
          <w:color w:val="000000" w:themeColor="text1"/>
          <w:spacing w:val="-6"/>
          <w:sz w:val="24"/>
          <w:szCs w:val="24"/>
          <w14:textFill>
            <w14:solidFill>
              <w14:schemeClr w14:val="tx1"/>
            </w14:solidFill>
          </w14:textFill>
        </w:rPr>
        <w:t>政拨款收入：指单位从同级财政部门取得的财政预算资金</w:t>
      </w:r>
      <w:r>
        <w:rPr>
          <w:rFonts w:hint="eastAsia" w:ascii="仿宋_GB2312" w:eastAsia="仿宋_GB2312"/>
          <w:color w:val="000000" w:themeColor="text1"/>
          <w:sz w:val="24"/>
          <w:szCs w:val="24"/>
          <w14:textFill>
            <w14:solidFill>
              <w14:schemeClr w14:val="tx1"/>
            </w14:solidFill>
          </w14:textFill>
        </w:rPr>
        <w:t>。</w:t>
      </w:r>
      <w:bookmarkEnd w:id="63"/>
    </w:p>
    <w:p>
      <w:pPr>
        <w:pStyle w:val="24"/>
        <w:keepNext w:val="0"/>
        <w:keepLines w:val="0"/>
        <w:pageBreakBefore w:val="0"/>
        <w:widowControl w:val="0"/>
        <w:kinsoku/>
        <w:wordWrap/>
        <w:overflowPunct/>
        <w:topLinePunct w:val="0"/>
        <w:bidi w:val="0"/>
        <w:snapToGrid w:val="0"/>
        <w:spacing w:line="560" w:lineRule="exact"/>
        <w:ind w:firstLine="480" w:firstLineChars="200"/>
        <w:textAlignment w:val="auto"/>
        <w:outlineLvl w:val="1"/>
        <w:rPr>
          <w:rFonts w:ascii="仿宋_GB2312" w:eastAsia="仿宋_GB2312"/>
          <w:color w:val="000000" w:themeColor="text1"/>
          <w:sz w:val="24"/>
          <w:szCs w:val="24"/>
          <w14:textFill>
            <w14:solidFill>
              <w14:schemeClr w14:val="tx1"/>
            </w14:solidFill>
          </w14:textFill>
        </w:rPr>
      </w:pPr>
      <w:bookmarkStart w:id="64" w:name="_Toc18447"/>
      <w:r>
        <w:rPr>
          <w:rFonts w:hint="eastAsia" w:ascii="仿宋_GB2312" w:eastAsia="仿宋_GB2312"/>
          <w:color w:val="000000" w:themeColor="text1"/>
          <w:sz w:val="24"/>
          <w:szCs w:val="24"/>
          <w14:textFill>
            <w14:solidFill>
              <w14:schemeClr w14:val="tx1"/>
            </w14:solidFill>
          </w14:textFill>
        </w:rPr>
        <w:t>2.事业收入：指事业单位开展专业业务活动及辅助活动取得的收入。</w:t>
      </w:r>
      <w:bookmarkEnd w:id="64"/>
    </w:p>
    <w:p>
      <w:pPr>
        <w:pStyle w:val="24"/>
        <w:keepNext w:val="0"/>
        <w:keepLines w:val="0"/>
        <w:pageBreakBefore w:val="0"/>
        <w:widowControl w:val="0"/>
        <w:kinsoku/>
        <w:wordWrap/>
        <w:overflowPunct/>
        <w:topLinePunct w:val="0"/>
        <w:bidi w:val="0"/>
        <w:snapToGrid w:val="0"/>
        <w:spacing w:line="560" w:lineRule="exact"/>
        <w:ind w:firstLine="480" w:firstLineChars="200"/>
        <w:textAlignment w:val="auto"/>
        <w:outlineLvl w:val="2"/>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3</w:t>
      </w:r>
      <w:r>
        <w:rPr>
          <w:rFonts w:hint="eastAsia" w:ascii="仿宋_GB2312" w:eastAsia="仿宋_GB2312"/>
          <w:color w:val="000000" w:themeColor="text1"/>
          <w:sz w:val="24"/>
          <w:szCs w:val="24"/>
          <w14:textFill>
            <w14:solidFill>
              <w14:schemeClr w14:val="tx1"/>
            </w14:solidFill>
          </w14:textFill>
        </w:rPr>
        <w:t xml:space="preserve">.其他收入：指单位取得的除上述收入以外的各项收入。主要是学前教育保育教育费收入、银行存款利息收入等。 </w:t>
      </w:r>
    </w:p>
    <w:p>
      <w:pPr>
        <w:pStyle w:val="24"/>
        <w:keepNext w:val="0"/>
        <w:keepLines w:val="0"/>
        <w:pageBreakBefore w:val="0"/>
        <w:widowControl w:val="0"/>
        <w:kinsoku/>
        <w:wordWrap/>
        <w:overflowPunct/>
        <w:topLinePunct w:val="0"/>
        <w:bidi w:val="0"/>
        <w:snapToGrid w:val="0"/>
        <w:spacing w:line="560" w:lineRule="exact"/>
        <w:ind w:firstLine="480" w:firstLineChars="200"/>
        <w:textAlignment w:val="auto"/>
        <w:outlineLvl w:val="2"/>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w:t>
      </w:r>
      <w:r>
        <w:rPr>
          <w:rFonts w:hint="eastAsia" w:ascii="仿宋_GB2312" w:eastAsia="仿宋_GB2312"/>
          <w:color w:val="000000" w:themeColor="text1"/>
          <w:sz w:val="24"/>
          <w:szCs w:val="24"/>
          <w14:textFill>
            <w14:solidFill>
              <w14:schemeClr w14:val="tx1"/>
            </w14:solidFill>
          </w14:textFill>
        </w:rPr>
        <w:t>. 教育支出（类）教育管理事务（款）其它教育管理事务支出（项）:反映除上述项目以外其它用户教育管理事务方面的支出。</w:t>
      </w:r>
    </w:p>
    <w:p>
      <w:pPr>
        <w:pStyle w:val="24"/>
        <w:keepNext w:val="0"/>
        <w:keepLines w:val="0"/>
        <w:pageBreakBefore w:val="0"/>
        <w:widowControl w:val="0"/>
        <w:kinsoku/>
        <w:wordWrap/>
        <w:overflowPunct/>
        <w:topLinePunct w:val="0"/>
        <w:bidi w:val="0"/>
        <w:snapToGrid w:val="0"/>
        <w:spacing w:line="560" w:lineRule="exact"/>
        <w:ind w:firstLine="480" w:firstLineChars="200"/>
        <w:textAlignment w:val="auto"/>
        <w:outlineLvl w:val="2"/>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5</w:t>
      </w:r>
      <w:r>
        <w:rPr>
          <w:rFonts w:hint="eastAsia" w:ascii="仿宋_GB2312" w:eastAsia="仿宋_GB2312"/>
          <w:color w:val="000000" w:themeColor="text1"/>
          <w:sz w:val="24"/>
          <w:szCs w:val="24"/>
          <w14:textFill>
            <w14:solidFill>
              <w14:schemeClr w14:val="tx1"/>
            </w14:solidFill>
          </w14:textFill>
        </w:rPr>
        <w:t>. 教育支出（类）普通教育（款）学前教育（项）:反映各部门举办的学前教育支出。</w:t>
      </w:r>
    </w:p>
    <w:p>
      <w:pPr>
        <w:pStyle w:val="24"/>
        <w:keepNext w:val="0"/>
        <w:keepLines w:val="0"/>
        <w:pageBreakBefore w:val="0"/>
        <w:widowControl w:val="0"/>
        <w:kinsoku/>
        <w:wordWrap/>
        <w:overflowPunct/>
        <w:topLinePunct w:val="0"/>
        <w:bidi w:val="0"/>
        <w:snapToGrid w:val="0"/>
        <w:spacing w:line="560" w:lineRule="exact"/>
        <w:ind w:firstLine="480" w:firstLineChars="200"/>
        <w:textAlignment w:val="auto"/>
        <w:outlineLvl w:val="2"/>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6</w:t>
      </w:r>
      <w:r>
        <w:rPr>
          <w:rFonts w:hint="eastAsia" w:ascii="仿宋_GB2312" w:eastAsia="仿宋_GB2312"/>
          <w:color w:val="000000" w:themeColor="text1"/>
          <w:sz w:val="24"/>
          <w:szCs w:val="24"/>
          <w14:textFill>
            <w14:solidFill>
              <w14:schemeClr w14:val="tx1"/>
            </w14:solidFill>
          </w14:textFill>
        </w:rPr>
        <w:t>. 教育支出（类）普通教育（款）小学教育（项）:反映各部门举办的小学教育支出。政府各部门对社会中介组织等举办的小学的资助，如各类捐赠、补贴等，也在本科目中反映。</w:t>
      </w:r>
    </w:p>
    <w:p>
      <w:pPr>
        <w:pStyle w:val="24"/>
        <w:keepNext w:val="0"/>
        <w:keepLines w:val="0"/>
        <w:pageBreakBefore w:val="0"/>
        <w:widowControl w:val="0"/>
        <w:kinsoku/>
        <w:wordWrap/>
        <w:overflowPunct/>
        <w:topLinePunct w:val="0"/>
        <w:bidi w:val="0"/>
        <w:snapToGrid w:val="0"/>
        <w:spacing w:line="560" w:lineRule="exact"/>
        <w:ind w:firstLine="480" w:firstLineChars="200"/>
        <w:textAlignment w:val="auto"/>
        <w:outlineLvl w:val="2"/>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7</w:t>
      </w:r>
      <w:r>
        <w:rPr>
          <w:rFonts w:hint="eastAsia" w:ascii="仿宋_GB2312" w:eastAsia="仿宋_GB2312"/>
          <w:color w:val="000000" w:themeColor="text1"/>
          <w:sz w:val="24"/>
          <w:szCs w:val="24"/>
          <w14:textFill>
            <w14:solidFill>
              <w14:schemeClr w14:val="tx1"/>
            </w14:solidFill>
          </w14:textFill>
        </w:rPr>
        <w:t>. 教育支出（类）普通教育（款）其它普通教育（项）: 反映除上述项目以外其他用于普通教育方面的支出。</w:t>
      </w:r>
    </w:p>
    <w:p>
      <w:pPr>
        <w:pStyle w:val="24"/>
        <w:keepNext w:val="0"/>
        <w:keepLines w:val="0"/>
        <w:pageBreakBefore w:val="0"/>
        <w:widowControl w:val="0"/>
        <w:kinsoku/>
        <w:wordWrap/>
        <w:overflowPunct/>
        <w:topLinePunct w:val="0"/>
        <w:bidi w:val="0"/>
        <w:snapToGrid w:val="0"/>
        <w:spacing w:line="560" w:lineRule="exact"/>
        <w:ind w:firstLine="480" w:firstLineChars="200"/>
        <w:textAlignment w:val="auto"/>
        <w:outlineLvl w:val="2"/>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8</w:t>
      </w:r>
      <w:r>
        <w:rPr>
          <w:rFonts w:hint="eastAsia" w:ascii="仿宋_GB2312" w:eastAsia="仿宋_GB2312"/>
          <w:color w:val="000000" w:themeColor="text1"/>
          <w:sz w:val="24"/>
          <w:szCs w:val="24"/>
          <w14:textFill>
            <w14:solidFill>
              <w14:schemeClr w14:val="tx1"/>
            </w14:solidFill>
          </w14:textFill>
        </w:rPr>
        <w:t>. 教育支出（类）教育附加费安排的支出（款）农村中小学校舍建设（项）:反映教育附加费安排用于农村中小学校舍新建、改建、修缮和维护的支出。</w:t>
      </w:r>
    </w:p>
    <w:p>
      <w:pPr>
        <w:pStyle w:val="24"/>
        <w:keepNext w:val="0"/>
        <w:keepLines w:val="0"/>
        <w:pageBreakBefore w:val="0"/>
        <w:widowControl w:val="0"/>
        <w:kinsoku/>
        <w:wordWrap/>
        <w:overflowPunct/>
        <w:topLinePunct w:val="0"/>
        <w:bidi w:val="0"/>
        <w:snapToGrid w:val="0"/>
        <w:spacing w:line="560" w:lineRule="exact"/>
        <w:ind w:firstLine="480" w:firstLineChars="200"/>
        <w:textAlignment w:val="auto"/>
        <w:outlineLvl w:val="2"/>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9</w:t>
      </w:r>
      <w:r>
        <w:rPr>
          <w:rFonts w:hint="eastAsia" w:ascii="仿宋_GB2312" w:eastAsia="仿宋_GB2312"/>
          <w:color w:val="000000" w:themeColor="text1"/>
          <w:sz w:val="24"/>
          <w:szCs w:val="24"/>
          <w14:textFill>
            <w14:solidFill>
              <w14:schemeClr w14:val="tx1"/>
            </w14:solidFill>
          </w14:textFill>
        </w:rPr>
        <w:t>. 教育支出（类）教育附加费安排的支出（款）其它教育附加费安排的支出（项）: 指除上述项目以外的教育附加费支出。</w:t>
      </w:r>
    </w:p>
    <w:p>
      <w:pPr>
        <w:pStyle w:val="24"/>
        <w:keepNext w:val="0"/>
        <w:keepLines w:val="0"/>
        <w:pageBreakBefore w:val="0"/>
        <w:widowControl w:val="0"/>
        <w:kinsoku/>
        <w:wordWrap/>
        <w:overflowPunct/>
        <w:topLinePunct w:val="0"/>
        <w:bidi w:val="0"/>
        <w:snapToGrid w:val="0"/>
        <w:spacing w:line="560" w:lineRule="exact"/>
        <w:ind w:firstLine="480" w:firstLineChars="200"/>
        <w:textAlignment w:val="auto"/>
        <w:outlineLvl w:val="2"/>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10</w:t>
      </w:r>
      <w:r>
        <w:rPr>
          <w:rFonts w:hint="eastAsia" w:ascii="仿宋_GB2312" w:eastAsia="仿宋_GB2312"/>
          <w:color w:val="000000" w:themeColor="text1"/>
          <w:sz w:val="24"/>
          <w:szCs w:val="24"/>
          <w14:textFill>
            <w14:solidFill>
              <w14:schemeClr w14:val="tx1"/>
            </w14:solidFill>
          </w14:textFill>
        </w:rPr>
        <w:t>. 教育支出（类）其它教育支出（款）其他教育支出（项）: 指上述项目以外其他用于教育方面的支出。</w:t>
      </w:r>
    </w:p>
    <w:p>
      <w:pPr>
        <w:pStyle w:val="24"/>
        <w:keepNext w:val="0"/>
        <w:keepLines w:val="0"/>
        <w:pageBreakBefore w:val="0"/>
        <w:widowControl w:val="0"/>
        <w:kinsoku/>
        <w:wordWrap/>
        <w:overflowPunct/>
        <w:topLinePunct w:val="0"/>
        <w:bidi w:val="0"/>
        <w:snapToGrid w:val="0"/>
        <w:spacing w:line="560" w:lineRule="exact"/>
        <w:ind w:firstLine="480" w:firstLineChars="200"/>
        <w:textAlignment w:val="auto"/>
        <w:outlineLvl w:val="2"/>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11</w:t>
      </w:r>
      <w:r>
        <w:rPr>
          <w:rFonts w:hint="eastAsia" w:ascii="仿宋_GB2312" w:eastAsia="仿宋_GB2312"/>
          <w:color w:val="000000" w:themeColor="text1"/>
          <w:sz w:val="24"/>
          <w:szCs w:val="24"/>
          <w14:textFill>
            <w14:solidFill>
              <w14:schemeClr w14:val="tx1"/>
            </w14:solidFill>
          </w14:textFill>
        </w:rPr>
        <w:t>. 社会保障和就业支出（类）行政事业单位离退休（款）机关事业单位基本养老保险缴费支出（项）: 指机关事业单位实施养老保险制度由单位缴纳的基本养老保险费支出。</w:t>
      </w:r>
    </w:p>
    <w:p>
      <w:pPr>
        <w:pStyle w:val="24"/>
        <w:keepNext w:val="0"/>
        <w:keepLines w:val="0"/>
        <w:pageBreakBefore w:val="0"/>
        <w:widowControl w:val="0"/>
        <w:kinsoku/>
        <w:wordWrap/>
        <w:overflowPunct/>
        <w:topLinePunct w:val="0"/>
        <w:bidi w:val="0"/>
        <w:snapToGrid w:val="0"/>
        <w:spacing w:line="560" w:lineRule="exact"/>
        <w:ind w:firstLine="480" w:firstLineChars="200"/>
        <w:textAlignment w:val="auto"/>
        <w:outlineLvl w:val="2"/>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12</w:t>
      </w:r>
      <w:r>
        <w:rPr>
          <w:rFonts w:hint="eastAsia" w:ascii="仿宋_GB2312" w:eastAsia="仿宋_GB2312"/>
          <w:color w:val="000000" w:themeColor="text1"/>
          <w:sz w:val="24"/>
          <w:szCs w:val="24"/>
          <w14:textFill>
            <w14:solidFill>
              <w14:schemeClr w14:val="tx1"/>
            </w14:solidFill>
          </w14:textFill>
        </w:rPr>
        <w:t>. 社会保障和就业支出（类）行政事业单位离退休（款）机关事业单位职业年金缴费支出（项）: 指机关事业单位实施养老保险制度由单位实际缴纳的职业年金支出。</w:t>
      </w:r>
    </w:p>
    <w:p>
      <w:pPr>
        <w:pStyle w:val="24"/>
        <w:keepNext w:val="0"/>
        <w:keepLines w:val="0"/>
        <w:pageBreakBefore w:val="0"/>
        <w:widowControl w:val="0"/>
        <w:kinsoku/>
        <w:wordWrap/>
        <w:overflowPunct/>
        <w:topLinePunct w:val="0"/>
        <w:bidi w:val="0"/>
        <w:snapToGrid w:val="0"/>
        <w:spacing w:line="560" w:lineRule="exact"/>
        <w:ind w:firstLine="480" w:firstLineChars="200"/>
        <w:textAlignment w:val="auto"/>
        <w:outlineLvl w:val="2"/>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13</w:t>
      </w:r>
      <w:r>
        <w:rPr>
          <w:rFonts w:hint="eastAsia" w:ascii="仿宋_GB2312" w:eastAsia="仿宋_GB2312"/>
          <w:color w:val="000000" w:themeColor="text1"/>
          <w:sz w:val="24"/>
          <w:szCs w:val="24"/>
          <w14:textFill>
            <w14:solidFill>
              <w14:schemeClr w14:val="tx1"/>
            </w14:solidFill>
          </w14:textFill>
        </w:rPr>
        <w:t>. 社会保障和就业支出（类）抚恤（款）死亡抚恤（项）: 指按规定用于烈士和牺牲、病故人员家属的一次性和定期抚恤金以及丧葬补助费。</w:t>
      </w:r>
    </w:p>
    <w:p>
      <w:pPr>
        <w:pStyle w:val="24"/>
        <w:keepNext w:val="0"/>
        <w:keepLines w:val="0"/>
        <w:pageBreakBefore w:val="0"/>
        <w:widowControl w:val="0"/>
        <w:kinsoku/>
        <w:wordWrap/>
        <w:overflowPunct/>
        <w:topLinePunct w:val="0"/>
        <w:bidi w:val="0"/>
        <w:snapToGrid w:val="0"/>
        <w:spacing w:line="560" w:lineRule="exact"/>
        <w:ind w:firstLine="480" w:firstLineChars="200"/>
        <w:textAlignment w:val="auto"/>
        <w:outlineLvl w:val="2"/>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14</w:t>
      </w:r>
      <w:r>
        <w:rPr>
          <w:rFonts w:hint="eastAsia" w:ascii="仿宋_GB2312" w:eastAsia="仿宋_GB2312"/>
          <w:color w:val="000000" w:themeColor="text1"/>
          <w:sz w:val="24"/>
          <w:szCs w:val="24"/>
          <w14:textFill>
            <w14:solidFill>
              <w14:schemeClr w14:val="tx1"/>
            </w14:solidFill>
          </w14:textFill>
        </w:rPr>
        <w:t>. 医疗卫生与计划生育（类）行政事业单位医疗（款）事业单位医疗（项）: 指财政部门安排的事业单位基本医疗保险缴费经费，未参加医疗保险的事业单位的公费医疗经费，按国家规定享受离休人员待遇的医疗经费。</w:t>
      </w:r>
    </w:p>
    <w:p>
      <w:pPr>
        <w:pStyle w:val="24"/>
        <w:keepNext w:val="0"/>
        <w:keepLines w:val="0"/>
        <w:pageBreakBefore w:val="0"/>
        <w:widowControl w:val="0"/>
        <w:kinsoku/>
        <w:wordWrap/>
        <w:overflowPunct/>
        <w:topLinePunct w:val="0"/>
        <w:bidi w:val="0"/>
        <w:snapToGrid w:val="0"/>
        <w:spacing w:line="560" w:lineRule="exact"/>
        <w:ind w:firstLine="480" w:firstLineChars="200"/>
        <w:textAlignment w:val="auto"/>
        <w:outlineLvl w:val="2"/>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15</w:t>
      </w:r>
      <w:r>
        <w:rPr>
          <w:rFonts w:hint="eastAsia" w:ascii="仿宋_GB2312" w:eastAsia="仿宋_GB2312"/>
          <w:color w:val="000000" w:themeColor="text1"/>
          <w:sz w:val="24"/>
          <w:szCs w:val="24"/>
          <w14:textFill>
            <w14:solidFill>
              <w14:schemeClr w14:val="tx1"/>
            </w14:solidFill>
          </w14:textFill>
        </w:rPr>
        <w:t>. 住房保障支出（类）住房改革支出（款）住房公积金（项）: 指行政事业单位按人力资源和社会保障部、财政部规定的基本工资和津贴补贴以及规定比例为职工缴纳的住房公积金。</w:t>
      </w:r>
    </w:p>
    <w:p>
      <w:pPr>
        <w:pStyle w:val="24"/>
        <w:keepNext w:val="0"/>
        <w:keepLines w:val="0"/>
        <w:pageBreakBefore w:val="0"/>
        <w:widowControl w:val="0"/>
        <w:kinsoku/>
        <w:wordWrap/>
        <w:overflowPunct/>
        <w:topLinePunct w:val="0"/>
        <w:bidi w:val="0"/>
        <w:snapToGrid w:val="0"/>
        <w:spacing w:line="560" w:lineRule="exact"/>
        <w:ind w:firstLine="480" w:firstLineChars="200"/>
        <w:textAlignment w:val="auto"/>
        <w:outlineLvl w:val="2"/>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16</w:t>
      </w:r>
      <w:r>
        <w:rPr>
          <w:rFonts w:hint="eastAsia" w:ascii="仿宋_GB2312" w:eastAsia="仿宋_GB2312"/>
          <w:color w:val="000000" w:themeColor="text1"/>
          <w:sz w:val="24"/>
          <w:szCs w:val="24"/>
          <w14:textFill>
            <w14:solidFill>
              <w14:schemeClr w14:val="tx1"/>
            </w14:solidFill>
          </w14:textFill>
        </w:rPr>
        <w:t>. 其他支出（类）其他支出（款）其他支出（项）: 指上述项目以外其他不能划分到具体功能科目中的支出项目。</w:t>
      </w:r>
    </w:p>
    <w:p>
      <w:pPr>
        <w:pStyle w:val="24"/>
        <w:keepNext w:val="0"/>
        <w:keepLines w:val="0"/>
        <w:pageBreakBefore w:val="0"/>
        <w:widowControl w:val="0"/>
        <w:kinsoku/>
        <w:wordWrap/>
        <w:overflowPunct/>
        <w:topLinePunct w:val="0"/>
        <w:bidi w:val="0"/>
        <w:snapToGrid w:val="0"/>
        <w:spacing w:line="560" w:lineRule="exact"/>
        <w:ind w:firstLine="480" w:firstLineChars="200"/>
        <w:textAlignment w:val="auto"/>
        <w:outlineLvl w:val="2"/>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17</w:t>
      </w:r>
      <w:r>
        <w:rPr>
          <w:rFonts w:hint="eastAsia" w:ascii="仿宋_GB2312" w:eastAsia="仿宋_GB2312"/>
          <w:color w:val="000000" w:themeColor="text1"/>
          <w:sz w:val="24"/>
          <w:szCs w:val="24"/>
          <w14:textFill>
            <w14:solidFill>
              <w14:schemeClr w14:val="tx1"/>
            </w14:solidFill>
          </w14:textFill>
        </w:rPr>
        <w:t>.</w:t>
      </w:r>
      <w:r>
        <w:rPr>
          <w:rFonts w:hint="eastAsia" w:ascii="仿宋_GB2312" w:eastAsia="仿宋_GB2312"/>
          <w:color w:val="000000" w:themeColor="text1"/>
          <w:sz w:val="24"/>
          <w:szCs w:val="24"/>
          <w:lang w:val="en-US" w:eastAsia="zh-CN"/>
          <w14:textFill>
            <w14:solidFill>
              <w14:schemeClr w14:val="tx1"/>
            </w14:solidFill>
          </w14:textFill>
        </w:rPr>
        <w:t xml:space="preserve"> </w:t>
      </w:r>
      <w:r>
        <w:rPr>
          <w:rFonts w:hint="eastAsia" w:ascii="仿宋_GB2312" w:eastAsia="仿宋_GB2312"/>
          <w:color w:val="000000" w:themeColor="text1"/>
          <w:sz w:val="24"/>
          <w:szCs w:val="24"/>
          <w14:textFill>
            <w14:solidFill>
              <w14:schemeClr w14:val="tx1"/>
            </w14:solidFill>
          </w14:textFill>
        </w:rPr>
        <w:t>基本支出：指为保障机构正常运转、完成日常工作任务而发生的人员支出和公用支出。</w:t>
      </w:r>
    </w:p>
    <w:p>
      <w:pPr>
        <w:pStyle w:val="24"/>
        <w:keepNext w:val="0"/>
        <w:keepLines w:val="0"/>
        <w:pageBreakBefore w:val="0"/>
        <w:widowControl w:val="0"/>
        <w:kinsoku/>
        <w:wordWrap/>
        <w:overflowPunct/>
        <w:topLinePunct w:val="0"/>
        <w:bidi w:val="0"/>
        <w:snapToGrid w:val="0"/>
        <w:spacing w:line="560" w:lineRule="exact"/>
        <w:ind w:firstLine="480" w:firstLineChars="200"/>
        <w:textAlignment w:val="auto"/>
        <w:outlineLvl w:val="2"/>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18</w:t>
      </w:r>
      <w:r>
        <w:rPr>
          <w:rFonts w:hint="eastAsia" w:ascii="仿宋_GB2312" w:eastAsia="仿宋_GB2312"/>
          <w:color w:val="000000" w:themeColor="text1"/>
          <w:sz w:val="24"/>
          <w:szCs w:val="24"/>
          <w14:textFill>
            <w14:solidFill>
              <w14:schemeClr w14:val="tx1"/>
            </w14:solidFill>
          </w14:textFill>
        </w:rPr>
        <w:t>.</w:t>
      </w:r>
      <w:r>
        <w:rPr>
          <w:rFonts w:hint="eastAsia" w:ascii="仿宋_GB2312" w:eastAsia="仿宋_GB2312"/>
          <w:color w:val="000000" w:themeColor="text1"/>
          <w:sz w:val="24"/>
          <w:szCs w:val="24"/>
          <w:lang w:val="en-US" w:eastAsia="zh-CN"/>
          <w14:textFill>
            <w14:solidFill>
              <w14:schemeClr w14:val="tx1"/>
            </w14:solidFill>
          </w14:textFill>
        </w:rPr>
        <w:t xml:space="preserve"> </w:t>
      </w:r>
      <w:r>
        <w:rPr>
          <w:rFonts w:hint="eastAsia" w:ascii="仿宋_GB2312" w:eastAsia="仿宋_GB2312"/>
          <w:color w:val="000000" w:themeColor="text1"/>
          <w:sz w:val="24"/>
          <w:szCs w:val="24"/>
          <w14:textFill>
            <w14:solidFill>
              <w14:schemeClr w14:val="tx1"/>
            </w14:solidFill>
          </w14:textFill>
        </w:rPr>
        <w:t xml:space="preserve">项目支出：指在基本支出之外为完成特定行政任务和事业发展目标所发生的支出。 </w:t>
      </w:r>
    </w:p>
    <w:p>
      <w:pPr>
        <w:pStyle w:val="24"/>
        <w:keepNext w:val="0"/>
        <w:keepLines w:val="0"/>
        <w:pageBreakBefore w:val="0"/>
        <w:widowControl w:val="0"/>
        <w:kinsoku/>
        <w:wordWrap/>
        <w:overflowPunct/>
        <w:topLinePunct w:val="0"/>
        <w:bidi w:val="0"/>
        <w:snapToGrid w:val="0"/>
        <w:spacing w:line="560" w:lineRule="exact"/>
        <w:ind w:firstLine="480" w:firstLineChars="200"/>
        <w:textAlignment w:val="auto"/>
        <w:outlineLvl w:val="2"/>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19</w:t>
      </w:r>
      <w:r>
        <w:rPr>
          <w:rFonts w:hint="eastAsia" w:ascii="仿宋_GB2312" w:eastAsia="仿宋_GB2312"/>
          <w:color w:val="000000" w:themeColor="text1"/>
          <w:sz w:val="24"/>
          <w:szCs w:val="24"/>
          <w14:textFill>
            <w14:solidFill>
              <w14:schemeClr w14:val="tx1"/>
            </w14:solidFill>
          </w14:textFill>
        </w:rPr>
        <w:t>.</w:t>
      </w:r>
      <w:r>
        <w:rPr>
          <w:rFonts w:hint="eastAsia" w:ascii="仿宋_GB2312" w:eastAsia="仿宋_GB2312"/>
          <w:color w:val="000000" w:themeColor="text1"/>
          <w:sz w:val="24"/>
          <w:szCs w:val="24"/>
          <w:lang w:val="en-US" w:eastAsia="zh-CN"/>
          <w14:textFill>
            <w14:solidFill>
              <w14:schemeClr w14:val="tx1"/>
            </w14:solidFill>
          </w14:textFill>
        </w:rPr>
        <w:t xml:space="preserve"> </w:t>
      </w:r>
      <w:r>
        <w:rPr>
          <w:rFonts w:hint="eastAsia" w:ascii="仿宋_GB2312" w:eastAsia="仿宋_GB2312"/>
          <w:color w:val="000000" w:themeColor="text1"/>
          <w:sz w:val="24"/>
          <w:szCs w:val="24"/>
          <w14:textFill>
            <w14:solidFill>
              <w14:schemeClr w14:val="tx1"/>
            </w14:solidFill>
          </w14:textFill>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numPr>
          <w:ilvl w:val="0"/>
          <w:numId w:val="5"/>
        </w:numPr>
        <w:spacing w:line="600" w:lineRule="exact"/>
        <w:ind w:left="0" w:leftChars="0" w:firstLine="0" w:firstLineChars="0"/>
        <w:jc w:val="center"/>
        <w:outlineLvl w:val="0"/>
        <w:rPr>
          <w:rStyle w:val="26"/>
          <w:rFonts w:hint="eastAsia" w:ascii="黑体" w:hAnsi="黑体" w:eastAsia="黑体"/>
          <w:b w:val="0"/>
          <w:color w:val="000000" w:themeColor="text1"/>
          <w:highlight w:val="none"/>
          <w14:textFill>
            <w14:solidFill>
              <w14:schemeClr w14:val="tx1"/>
            </w14:solidFill>
          </w14:textFill>
        </w:rPr>
      </w:pPr>
      <w:bookmarkStart w:id="65" w:name="_Toc15377226"/>
      <w:r>
        <w:rPr>
          <w:rFonts w:ascii="宋体"/>
          <w:b/>
          <w:color w:val="00B0F0"/>
          <w:sz w:val="44"/>
          <w:szCs w:val="44"/>
          <w:highlight w:val="none"/>
        </w:rPr>
        <w:br w:type="page"/>
      </w:r>
      <w:bookmarkStart w:id="66" w:name="_Toc24843"/>
      <w:bookmarkStart w:id="67" w:name="_Toc15396614"/>
      <w:r>
        <w:rPr>
          <w:rStyle w:val="26"/>
          <w:rFonts w:hint="eastAsia" w:ascii="黑体" w:hAnsi="黑体" w:eastAsia="黑体"/>
          <w:b w:val="0"/>
          <w:color w:val="000000" w:themeColor="text1"/>
          <w:highlight w:val="none"/>
          <w14:textFill>
            <w14:solidFill>
              <w14:schemeClr w14:val="tx1"/>
            </w14:solidFill>
          </w14:textFill>
        </w:rPr>
        <w:t>附件</w:t>
      </w:r>
      <w:bookmarkEnd w:id="66"/>
      <w:bookmarkEnd w:id="67"/>
    </w:p>
    <w:p>
      <w:pPr>
        <w:rPr>
          <w:rFonts w:hint="eastAsia" w:ascii="黑体" w:hAnsi="黑体" w:eastAsia="黑体"/>
          <w:color w:val="auto"/>
          <w:sz w:val="44"/>
          <w:szCs w:val="44"/>
          <w:highlight w:val="none"/>
        </w:rPr>
      </w:pPr>
      <w:bookmarkStart w:id="68" w:name="_Toc15396618"/>
      <w:bookmarkStart w:id="69" w:name="_Toc25694"/>
    </w:p>
    <w:p>
      <w:pPr>
        <w:spacing w:line="600" w:lineRule="exact"/>
        <w:jc w:val="center"/>
        <w:outlineLvl w:val="0"/>
        <w:rPr>
          <w:rFonts w:hint="eastAsia" w:ascii="黑体" w:hAnsi="黑体" w:eastAsia="黑体"/>
          <w:color w:val="auto"/>
          <w:sz w:val="44"/>
          <w:szCs w:val="44"/>
          <w:highlight w:val="none"/>
        </w:rPr>
      </w:pPr>
      <w:r>
        <w:rPr>
          <w:rFonts w:hint="eastAsia" w:ascii="宋体" w:hAnsi="宋体" w:eastAsia="宋体" w:cs="宋体"/>
          <w:color w:val="auto"/>
          <w:kern w:val="0"/>
          <w:sz w:val="32"/>
          <w:szCs w:val="32"/>
          <w:highlight w:val="none"/>
          <w:lang w:val="en-US" w:eastAsia="zh-CN" w:bidi="ar-SA"/>
        </w:rPr>
        <w:t>部门预算项目支出绩效自评表（2022年度）</w:t>
      </w: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五部分 附表</w:t>
      </w:r>
      <w:bookmarkEnd w:id="65"/>
      <w:bookmarkEnd w:id="68"/>
      <w:bookmarkEnd w:id="69"/>
      <w:bookmarkStart w:id="70" w:name="_Toc15396619"/>
    </w:p>
    <w:p>
      <w:pPr>
        <w:pStyle w:val="4"/>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 w:hAnsi="仿宋" w:eastAsia="仿宋"/>
          <w:b w:val="0"/>
          <w:color w:val="auto"/>
          <w:highlight w:val="none"/>
        </w:rPr>
      </w:pPr>
    </w:p>
    <w:p>
      <w:pPr>
        <w:pStyle w:val="4"/>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color w:val="auto"/>
          <w:highlight w:val="none"/>
        </w:rPr>
      </w:pPr>
      <w:bookmarkStart w:id="71" w:name="_Toc5019"/>
      <w:r>
        <w:rPr>
          <w:rFonts w:hint="eastAsia" w:ascii="仿宋" w:hAnsi="仿宋" w:eastAsia="仿宋"/>
          <w:b w:val="0"/>
          <w:color w:val="auto"/>
          <w:highlight w:val="none"/>
        </w:rPr>
        <w:t>一、收</w:t>
      </w:r>
      <w:r>
        <w:rPr>
          <w:rStyle w:val="27"/>
          <w:rFonts w:hint="eastAsia" w:ascii="仿宋" w:hAnsi="仿宋" w:eastAsia="仿宋"/>
          <w:b w:val="0"/>
          <w:bCs w:val="0"/>
          <w:color w:val="auto"/>
          <w:highlight w:val="none"/>
        </w:rPr>
        <w:t>入支出决算总表</w:t>
      </w:r>
      <w:bookmarkEnd w:id="70"/>
      <w:bookmarkEnd w:id="71"/>
    </w:p>
    <w:p>
      <w:pPr>
        <w:pStyle w:val="4"/>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color w:val="auto"/>
          <w:highlight w:val="none"/>
        </w:rPr>
      </w:pPr>
      <w:bookmarkStart w:id="72" w:name="_Toc19794"/>
      <w:bookmarkStart w:id="73" w:name="_Toc15396620"/>
      <w:r>
        <w:rPr>
          <w:rFonts w:hint="eastAsia" w:ascii="仿宋" w:hAnsi="仿宋" w:eastAsia="仿宋"/>
          <w:b w:val="0"/>
          <w:color w:val="auto"/>
          <w:highlight w:val="none"/>
        </w:rPr>
        <w:t>二、收</w:t>
      </w:r>
      <w:r>
        <w:rPr>
          <w:rStyle w:val="27"/>
          <w:rFonts w:hint="eastAsia" w:ascii="仿宋" w:hAnsi="仿宋" w:eastAsia="仿宋"/>
          <w:b w:val="0"/>
          <w:bCs w:val="0"/>
          <w:color w:val="auto"/>
          <w:highlight w:val="none"/>
        </w:rPr>
        <w:t>入决算表</w:t>
      </w:r>
      <w:bookmarkEnd w:id="72"/>
      <w:bookmarkEnd w:id="73"/>
    </w:p>
    <w:p>
      <w:pPr>
        <w:pStyle w:val="4"/>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color w:val="auto"/>
          <w:highlight w:val="none"/>
        </w:rPr>
      </w:pPr>
      <w:bookmarkStart w:id="74" w:name="_Toc1814"/>
      <w:bookmarkStart w:id="75" w:name="_Toc15396621"/>
      <w:r>
        <w:rPr>
          <w:rStyle w:val="27"/>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7"/>
          <w:rFonts w:hint="eastAsia" w:ascii="仿宋" w:hAnsi="仿宋" w:eastAsia="仿宋"/>
          <w:b w:val="0"/>
          <w:bCs w:val="0"/>
          <w:color w:val="auto"/>
          <w:highlight w:val="none"/>
        </w:rPr>
        <w:t>出决算表</w:t>
      </w:r>
      <w:bookmarkEnd w:id="74"/>
      <w:bookmarkEnd w:id="75"/>
    </w:p>
    <w:p>
      <w:pPr>
        <w:pStyle w:val="4"/>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b w:val="0"/>
          <w:color w:val="auto"/>
          <w:highlight w:val="none"/>
        </w:rPr>
      </w:pPr>
      <w:bookmarkStart w:id="76" w:name="_Toc15396622"/>
      <w:bookmarkStart w:id="77" w:name="_Toc11652"/>
      <w:r>
        <w:rPr>
          <w:rStyle w:val="27"/>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政拨款收入支出决算总表</w:t>
      </w:r>
      <w:bookmarkEnd w:id="76"/>
      <w:bookmarkEnd w:id="77"/>
    </w:p>
    <w:p>
      <w:pPr>
        <w:pStyle w:val="4"/>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Style w:val="27"/>
          <w:rFonts w:ascii="仿宋" w:hAnsi="仿宋" w:eastAsia="仿宋"/>
          <w:b w:val="0"/>
          <w:bCs w:val="0"/>
          <w:color w:val="auto"/>
          <w:highlight w:val="none"/>
        </w:rPr>
      </w:pPr>
      <w:bookmarkStart w:id="78" w:name="_Toc26044"/>
      <w:bookmarkStart w:id="79" w:name="_Toc15396623"/>
      <w:r>
        <w:rPr>
          <w:rStyle w:val="27"/>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政拨款支出决算明细表</w:t>
      </w:r>
      <w:bookmarkEnd w:id="78"/>
      <w:bookmarkEnd w:id="79"/>
      <w:bookmarkStart w:id="80" w:name="_Toc15396624"/>
    </w:p>
    <w:p>
      <w:pPr>
        <w:pStyle w:val="4"/>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color w:val="auto"/>
          <w:highlight w:val="none"/>
        </w:rPr>
      </w:pPr>
      <w:bookmarkStart w:id="81" w:name="_Toc1662"/>
      <w:r>
        <w:rPr>
          <w:rStyle w:val="27"/>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般公共预算财政拨款支出决算表</w:t>
      </w:r>
      <w:bookmarkEnd w:id="80"/>
      <w:bookmarkEnd w:id="81"/>
    </w:p>
    <w:p>
      <w:pPr>
        <w:pStyle w:val="4"/>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color w:val="auto"/>
          <w:highlight w:val="none"/>
        </w:rPr>
      </w:pPr>
      <w:bookmarkStart w:id="82" w:name="_Toc15396625"/>
      <w:bookmarkStart w:id="83" w:name="_Toc9260"/>
      <w:r>
        <w:rPr>
          <w:rStyle w:val="27"/>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般公共预算财政拨款支出决算明细表</w:t>
      </w:r>
      <w:bookmarkEnd w:id="82"/>
      <w:bookmarkEnd w:id="83"/>
    </w:p>
    <w:p>
      <w:pPr>
        <w:pStyle w:val="4"/>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color w:val="auto"/>
          <w:highlight w:val="none"/>
        </w:rPr>
      </w:pPr>
      <w:bookmarkStart w:id="84" w:name="_Toc30388"/>
      <w:bookmarkStart w:id="85" w:name="_Toc15396626"/>
      <w:r>
        <w:rPr>
          <w:rStyle w:val="27"/>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般公共预算财政拨款基本支出决算表</w:t>
      </w:r>
      <w:bookmarkEnd w:id="84"/>
      <w:bookmarkEnd w:id="85"/>
    </w:p>
    <w:p>
      <w:pPr>
        <w:pStyle w:val="4"/>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color w:val="auto"/>
          <w:highlight w:val="none"/>
        </w:rPr>
      </w:pPr>
      <w:bookmarkStart w:id="86" w:name="_Toc15396627"/>
      <w:bookmarkStart w:id="87" w:name="_Toc14865"/>
      <w:r>
        <w:rPr>
          <w:rStyle w:val="27"/>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般公共预算财政拨款项目支出决算表</w:t>
      </w:r>
      <w:bookmarkEnd w:id="86"/>
      <w:bookmarkEnd w:id="87"/>
    </w:p>
    <w:p>
      <w:pPr>
        <w:pStyle w:val="4"/>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color w:val="auto"/>
          <w:highlight w:val="none"/>
        </w:rPr>
      </w:pPr>
      <w:bookmarkStart w:id="88" w:name="_Toc17930"/>
      <w:bookmarkStart w:id="89" w:name="_Toc15396628"/>
      <w:r>
        <w:rPr>
          <w:rStyle w:val="27"/>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般公共预算财政拨款“三公”经费支出决算表</w:t>
      </w:r>
      <w:bookmarkEnd w:id="88"/>
      <w:bookmarkEnd w:id="89"/>
    </w:p>
    <w:p>
      <w:pPr>
        <w:pStyle w:val="4"/>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color w:val="auto"/>
          <w:highlight w:val="none"/>
        </w:rPr>
      </w:pPr>
      <w:bookmarkStart w:id="90" w:name="_Toc19228"/>
      <w:bookmarkStart w:id="91" w:name="_Toc15396629"/>
      <w:r>
        <w:rPr>
          <w:rStyle w:val="27"/>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府性基金预算财政拨款收入支出决算表</w:t>
      </w:r>
      <w:bookmarkEnd w:id="90"/>
      <w:bookmarkEnd w:id="91"/>
    </w:p>
    <w:p>
      <w:pPr>
        <w:pStyle w:val="4"/>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color w:val="auto"/>
          <w:highlight w:val="none"/>
        </w:rPr>
      </w:pPr>
      <w:bookmarkStart w:id="92" w:name="_Toc15396630"/>
      <w:bookmarkStart w:id="93" w:name="_Toc32608"/>
      <w:r>
        <w:rPr>
          <w:rStyle w:val="27"/>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府性基金预算财政拨款“三公”经费支出决算表</w:t>
      </w:r>
      <w:bookmarkEnd w:id="92"/>
      <w:bookmarkEnd w:id="93"/>
    </w:p>
    <w:p>
      <w:pPr>
        <w:pStyle w:val="4"/>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Style w:val="27"/>
          <w:rFonts w:hint="eastAsia" w:ascii="仿宋" w:hAnsi="仿宋" w:eastAsia="仿宋"/>
          <w:b w:val="0"/>
          <w:bCs w:val="0"/>
          <w:color w:val="auto"/>
          <w:highlight w:val="none"/>
        </w:rPr>
      </w:pPr>
      <w:bookmarkStart w:id="94" w:name="_Toc15396631"/>
      <w:bookmarkStart w:id="95" w:name="_Toc7384"/>
      <w:r>
        <w:rPr>
          <w:rStyle w:val="27"/>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7"/>
          <w:rFonts w:hint="eastAsia" w:ascii="仿宋" w:hAnsi="仿宋" w:eastAsia="仿宋"/>
          <w:b w:val="0"/>
          <w:bCs w:val="0"/>
          <w:color w:val="auto"/>
          <w:highlight w:val="none"/>
        </w:rPr>
        <w:t>有资本经营预算</w:t>
      </w:r>
      <w:r>
        <w:rPr>
          <w:rStyle w:val="27"/>
          <w:rFonts w:hint="eastAsia" w:ascii="仿宋" w:hAnsi="仿宋" w:eastAsia="仿宋"/>
          <w:b w:val="0"/>
          <w:bCs w:val="0"/>
          <w:color w:val="auto"/>
          <w:highlight w:val="none"/>
          <w:lang w:eastAsia="zh-CN"/>
        </w:rPr>
        <w:t>财政拨款收入</w:t>
      </w:r>
      <w:r>
        <w:rPr>
          <w:rStyle w:val="27"/>
          <w:rFonts w:hint="eastAsia" w:ascii="仿宋" w:hAnsi="仿宋" w:eastAsia="仿宋"/>
          <w:b w:val="0"/>
          <w:bCs w:val="0"/>
          <w:color w:val="auto"/>
          <w:highlight w:val="none"/>
        </w:rPr>
        <w:t>支出决算表</w:t>
      </w:r>
      <w:bookmarkEnd w:id="94"/>
      <w:bookmarkEnd w:id="95"/>
    </w:p>
    <w:p>
      <w:pPr>
        <w:pageBreakBefore w:val="0"/>
        <w:widowControl w:val="0"/>
        <w:kinsoku/>
        <w:wordWrap/>
        <w:overflowPunct/>
        <w:topLinePunct w:val="0"/>
        <w:autoSpaceDE/>
        <w:autoSpaceDN/>
        <w:bidi w:val="0"/>
        <w:adjustRightInd/>
        <w:snapToGrid w:val="0"/>
        <w:spacing w:line="620" w:lineRule="exact"/>
        <w:ind w:firstLine="640" w:firstLineChars="200"/>
        <w:textAlignment w:val="auto"/>
        <w:outlineLvl w:val="1"/>
        <w:rPr>
          <w:rFonts w:hint="eastAsia" w:eastAsia="仿宋"/>
          <w:color w:val="auto"/>
          <w:highlight w:val="none"/>
          <w:lang w:eastAsia="zh-CN"/>
        </w:rPr>
      </w:pPr>
      <w:bookmarkStart w:id="96" w:name="_Toc18325"/>
      <w:r>
        <w:rPr>
          <w:rStyle w:val="27"/>
          <w:rFonts w:hint="eastAsia" w:ascii="仿宋" w:hAnsi="仿宋" w:eastAsia="仿宋"/>
          <w:b w:val="0"/>
          <w:bCs w:val="0"/>
          <w:color w:val="auto"/>
          <w:highlight w:val="none"/>
          <w:lang w:eastAsia="zh-CN"/>
        </w:rPr>
        <w:t>十四、国有资本经营预算财政拨款支出决算表</w:t>
      </w:r>
      <w:bookmarkEnd w:id="96"/>
    </w:p>
    <w:sectPr>
      <w:footerReference r:id="rId5" w:type="default"/>
      <w:pgSz w:w="11906" w:h="16838"/>
      <w:pgMar w:top="1701" w:right="1474" w:bottom="1701" w:left="1587" w:header="851" w:footer="130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altName w:val="黑体"/>
    <w:panose1 w:val="02000000000000000000"/>
    <w:charset w:val="86"/>
    <w:family w:val="script"/>
    <w:pitch w:val="default"/>
    <w:sig w:usb0="00000000" w:usb1="00000000" w:usb2="00000012"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3C70E"/>
    <w:multiLevelType w:val="singleLevel"/>
    <w:tmpl w:val="9903C70E"/>
    <w:lvl w:ilvl="0" w:tentative="0">
      <w:start w:val="2"/>
      <w:numFmt w:val="chineseCounting"/>
      <w:suff w:val="space"/>
      <w:lvlText w:val="第%1部分"/>
      <w:lvlJc w:val="left"/>
      <w:pPr>
        <w:ind w:left="1397" w:leftChars="0" w:firstLine="0" w:firstLineChars="0"/>
      </w:pPr>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abstractNum w:abstractNumId="4">
    <w:nsid w:val="3B929107"/>
    <w:multiLevelType w:val="singleLevel"/>
    <w:tmpl w:val="3B929107"/>
    <w:lvl w:ilvl="0" w:tentative="0">
      <w:start w:val="2"/>
      <w:numFmt w:val="decimal"/>
      <w:lvlText w:val="%1."/>
      <w:lvlJc w:val="left"/>
      <w:pPr>
        <w:tabs>
          <w:tab w:val="left" w:pos="312"/>
        </w:tabs>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wZjE2MDM5MWVmMzBhZGFmZGYwOTEzZDZiYWIyZm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1F0B"/>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0E34BC"/>
    <w:rsid w:val="012805FF"/>
    <w:rsid w:val="02D16390"/>
    <w:rsid w:val="03AC55EF"/>
    <w:rsid w:val="061D6D0E"/>
    <w:rsid w:val="07710B04"/>
    <w:rsid w:val="0A2032A3"/>
    <w:rsid w:val="0A2C6D98"/>
    <w:rsid w:val="0A393F15"/>
    <w:rsid w:val="0B8A37D8"/>
    <w:rsid w:val="0C6904DC"/>
    <w:rsid w:val="0CF151AC"/>
    <w:rsid w:val="105941C2"/>
    <w:rsid w:val="10AA0A87"/>
    <w:rsid w:val="10C055FF"/>
    <w:rsid w:val="118107EC"/>
    <w:rsid w:val="11DD6519"/>
    <w:rsid w:val="14B830B7"/>
    <w:rsid w:val="14C96399"/>
    <w:rsid w:val="168E4293"/>
    <w:rsid w:val="16BB723D"/>
    <w:rsid w:val="171419D3"/>
    <w:rsid w:val="17C05B4C"/>
    <w:rsid w:val="18015F3F"/>
    <w:rsid w:val="18A86815"/>
    <w:rsid w:val="18D07C10"/>
    <w:rsid w:val="19F949AE"/>
    <w:rsid w:val="1A2033D0"/>
    <w:rsid w:val="1A3312F4"/>
    <w:rsid w:val="1AB071B4"/>
    <w:rsid w:val="1B041CD2"/>
    <w:rsid w:val="1BE8440E"/>
    <w:rsid w:val="1D155CEE"/>
    <w:rsid w:val="1E2B14E5"/>
    <w:rsid w:val="20F57F95"/>
    <w:rsid w:val="21944F55"/>
    <w:rsid w:val="21A60C8E"/>
    <w:rsid w:val="21BD0168"/>
    <w:rsid w:val="22B36390"/>
    <w:rsid w:val="22C4269D"/>
    <w:rsid w:val="22D507CE"/>
    <w:rsid w:val="23D700A4"/>
    <w:rsid w:val="23EF26A8"/>
    <w:rsid w:val="240371BF"/>
    <w:rsid w:val="25B83F05"/>
    <w:rsid w:val="25C741E6"/>
    <w:rsid w:val="27842671"/>
    <w:rsid w:val="27DD7DE7"/>
    <w:rsid w:val="28724840"/>
    <w:rsid w:val="29C37E40"/>
    <w:rsid w:val="29FD04D3"/>
    <w:rsid w:val="2A097C66"/>
    <w:rsid w:val="2A8F792B"/>
    <w:rsid w:val="2ABE7A3E"/>
    <w:rsid w:val="2C33078A"/>
    <w:rsid w:val="2C89076E"/>
    <w:rsid w:val="2C961D65"/>
    <w:rsid w:val="2EA9088F"/>
    <w:rsid w:val="2EFA178C"/>
    <w:rsid w:val="2FA33193"/>
    <w:rsid w:val="30B46D73"/>
    <w:rsid w:val="31456F95"/>
    <w:rsid w:val="319F7F4E"/>
    <w:rsid w:val="324C7EAF"/>
    <w:rsid w:val="3466001A"/>
    <w:rsid w:val="34EE6F87"/>
    <w:rsid w:val="351367B3"/>
    <w:rsid w:val="35654C75"/>
    <w:rsid w:val="38B15189"/>
    <w:rsid w:val="3997458B"/>
    <w:rsid w:val="39AE70AB"/>
    <w:rsid w:val="39E60773"/>
    <w:rsid w:val="3C0C0783"/>
    <w:rsid w:val="3E6A2D2C"/>
    <w:rsid w:val="3E9C3F6D"/>
    <w:rsid w:val="3E9C5D1B"/>
    <w:rsid w:val="3F2278DF"/>
    <w:rsid w:val="3F324001"/>
    <w:rsid w:val="3F9F3A96"/>
    <w:rsid w:val="3FB931FF"/>
    <w:rsid w:val="41DB1250"/>
    <w:rsid w:val="420B38E3"/>
    <w:rsid w:val="45353093"/>
    <w:rsid w:val="47C71016"/>
    <w:rsid w:val="493C27E9"/>
    <w:rsid w:val="496F39ED"/>
    <w:rsid w:val="499B199C"/>
    <w:rsid w:val="49FF41D3"/>
    <w:rsid w:val="4BE068DB"/>
    <w:rsid w:val="4BF6002B"/>
    <w:rsid w:val="4D3E7CBD"/>
    <w:rsid w:val="4DF711BF"/>
    <w:rsid w:val="4E8C4626"/>
    <w:rsid w:val="4E9E13F5"/>
    <w:rsid w:val="4ECE2238"/>
    <w:rsid w:val="4EDD5E1C"/>
    <w:rsid w:val="4F686676"/>
    <w:rsid w:val="517C7493"/>
    <w:rsid w:val="51B356E0"/>
    <w:rsid w:val="51DB4B86"/>
    <w:rsid w:val="538227E8"/>
    <w:rsid w:val="53F1045F"/>
    <w:rsid w:val="54122FDB"/>
    <w:rsid w:val="55333C3E"/>
    <w:rsid w:val="560B6226"/>
    <w:rsid w:val="563A62EE"/>
    <w:rsid w:val="56FB4F43"/>
    <w:rsid w:val="57390294"/>
    <w:rsid w:val="57EB3E30"/>
    <w:rsid w:val="5850359A"/>
    <w:rsid w:val="595E20F3"/>
    <w:rsid w:val="59A9272A"/>
    <w:rsid w:val="5AFA5E4B"/>
    <w:rsid w:val="5CA93769"/>
    <w:rsid w:val="5CB35466"/>
    <w:rsid w:val="5D936A5B"/>
    <w:rsid w:val="5DFB0E0A"/>
    <w:rsid w:val="5EAE27B4"/>
    <w:rsid w:val="60B56544"/>
    <w:rsid w:val="639E6324"/>
    <w:rsid w:val="647A4C53"/>
    <w:rsid w:val="64AE0E88"/>
    <w:rsid w:val="64CA39A1"/>
    <w:rsid w:val="64E16127"/>
    <w:rsid w:val="6A1C2E07"/>
    <w:rsid w:val="6A2565B6"/>
    <w:rsid w:val="6AB41C2B"/>
    <w:rsid w:val="6C42054C"/>
    <w:rsid w:val="6C4A05C8"/>
    <w:rsid w:val="6D675F7A"/>
    <w:rsid w:val="6E005A16"/>
    <w:rsid w:val="6ECD649B"/>
    <w:rsid w:val="6F871F4B"/>
    <w:rsid w:val="717B34B0"/>
    <w:rsid w:val="72734D90"/>
    <w:rsid w:val="737D6457"/>
    <w:rsid w:val="749B6D65"/>
    <w:rsid w:val="756B7C19"/>
    <w:rsid w:val="76BD6253"/>
    <w:rsid w:val="773C72BE"/>
    <w:rsid w:val="794C1130"/>
    <w:rsid w:val="79D03004"/>
    <w:rsid w:val="79E7B28D"/>
    <w:rsid w:val="79F404BC"/>
    <w:rsid w:val="7BD227A0"/>
    <w:rsid w:val="7D1319B4"/>
    <w:rsid w:val="7DE333A8"/>
    <w:rsid w:val="7E2E22B2"/>
    <w:rsid w:val="7F392B36"/>
    <w:rsid w:val="7F9F20EE"/>
    <w:rsid w:val="7FAA0336"/>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9"/>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8"/>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5"/>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2"/>
    <w:qFormat/>
    <w:uiPriority w:val="9"/>
    <w:rPr>
      <w:rFonts w:ascii="Times New Roman" w:hAnsi="Times New Roman"/>
      <w:b/>
      <w:bCs/>
      <w:kern w:val="44"/>
      <w:sz w:val="44"/>
      <w:szCs w:val="44"/>
    </w:rPr>
  </w:style>
  <w:style w:type="character" w:customStyle="1" w:styleId="27">
    <w:name w:val="标题 2 Char"/>
    <w:basedOn w:val="15"/>
    <w:link w:val="3"/>
    <w:qFormat/>
    <w:uiPriority w:val="9"/>
    <w:rPr>
      <w:rFonts w:asciiTheme="majorHAnsi" w:hAnsiTheme="majorHAnsi" w:eastAsiaTheme="majorEastAsia" w:cstheme="majorBidi"/>
      <w:b/>
      <w:bCs/>
      <w:kern w:val="2"/>
      <w:sz w:val="32"/>
      <w:szCs w:val="32"/>
    </w:rPr>
  </w:style>
  <w:style w:type="paragraph" w:customStyle="1" w:styleId="2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7"/>
    <w:semiHidden/>
    <w:qFormat/>
    <w:uiPriority w:val="99"/>
    <w:rPr>
      <w:rFonts w:ascii="Times New Roman" w:hAnsi="Times New Roman"/>
      <w:kern w:val="2"/>
      <w:sz w:val="18"/>
      <w:szCs w:val="18"/>
    </w:rPr>
  </w:style>
  <w:style w:type="character" w:customStyle="1" w:styleId="30">
    <w:name w:val="标题 3 Char"/>
    <w:basedOn w:val="15"/>
    <w:link w:val="4"/>
    <w:qFormat/>
    <w:uiPriority w:val="9"/>
    <w:rPr>
      <w:rFonts w:ascii="Times New Roman" w:hAnsi="Times New Roman"/>
      <w:b/>
      <w:bCs/>
      <w:kern w:val="2"/>
      <w:sz w:val="32"/>
      <w:szCs w:val="32"/>
    </w:rPr>
  </w:style>
  <w:style w:type="paragraph" w:customStyle="1" w:styleId="31">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四号正文"/>
    <w:basedOn w:val="1"/>
    <w:qFormat/>
    <w:uiPriority w:val="0"/>
    <w:pPr>
      <w:spacing w:line="360" w:lineRule="auto"/>
    </w:pPr>
    <w:rPr>
      <w:rFonts w:ascii="??" w:hAnsi="??" w:eastAsia="Times New Roman"/>
      <w:color w:val="000000"/>
      <w:kern w:val="0"/>
      <w:sz w:val="28"/>
      <w:szCs w:val="21"/>
    </w:rPr>
  </w:style>
  <w:style w:type="paragraph" w:customStyle="1" w:styleId="33">
    <w:name w:val="WPSOffice手动目录 1"/>
    <w:qFormat/>
    <w:uiPriority w:val="0"/>
    <w:pPr>
      <w:ind w:leftChars="0"/>
    </w:pPr>
    <w:rPr>
      <w:rFonts w:asciiTheme="minorHAnsi" w:hAnsiTheme="minorHAnsi" w:eastAsiaTheme="minorEastAsia" w:cstheme="minorBidi"/>
      <w:sz w:val="20"/>
      <w:szCs w:val="20"/>
    </w:rPr>
  </w:style>
  <w:style w:type="paragraph" w:customStyle="1" w:styleId="34">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31180564033696"/>
          <c:y val="0.044437904649794"/>
          <c:w val="0.802166349721575"/>
          <c:h val="0.847475195631506"/>
        </c:manualLayout>
      </c:layout>
      <c:barChart>
        <c:barDir val="col"/>
        <c:grouping val="clustered"/>
        <c:varyColors val="0"/>
        <c:ser>
          <c:idx val="0"/>
          <c:order val="0"/>
          <c:tx>
            <c:strRef>
              <c:f>Sheet1!$B$1</c:f>
              <c:strCache>
                <c:ptCount val="1"/>
                <c:pt idx="0">
                  <c:v>总收入</c:v>
                </c:pt>
              </c:strCache>
            </c:strRef>
          </c:tx>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516.55</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00830179465266756"/>
                  <c:y val="-0.0253090052972337"/>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511.77</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Sheet1!$B$2:$B$3</c:f>
              <c:numCache>
                <c:formatCode>General</c:formatCode>
                <c:ptCount val="2"/>
                <c:pt idx="0">
                  <c:v>516.5</c:v>
                </c:pt>
                <c:pt idx="1">
                  <c:v>511.77</c:v>
                </c:pt>
              </c:numCache>
            </c:numRef>
          </c:val>
        </c:ser>
        <c:dLbls>
          <c:showLegendKey val="0"/>
          <c:showVal val="0"/>
          <c:showCatName val="0"/>
          <c:showSerName val="0"/>
          <c:showPercent val="0"/>
          <c:showBubbleSize val="0"/>
        </c:dLbls>
        <c:gapWidth val="150"/>
        <c:axId val="539953984"/>
        <c:axId val="540276984"/>
      </c:barChart>
      <c:catAx>
        <c:axId val="53995398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40276984"/>
        <c:crosses val="autoZero"/>
        <c:auto val="1"/>
        <c:lblAlgn val="ctr"/>
        <c:lblOffset val="100"/>
        <c:noMultiLvlLbl val="0"/>
      </c:catAx>
      <c:valAx>
        <c:axId val="5402769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3995398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收入额（万元）</c:v>
                </c:pt>
              </c:strCache>
            </c:strRef>
          </c:tx>
          <c:explosion val="0"/>
          <c:dPt>
            <c:idx val="0"/>
            <c:bubble3D val="0"/>
          </c:dPt>
          <c:dPt>
            <c:idx val="1"/>
            <c:bubble3D val="0"/>
          </c:dPt>
          <c:dPt>
            <c:idx val="2"/>
            <c:bubble3D val="0"/>
          </c:dPt>
          <c:dLbls>
            <c:dLbl>
              <c:idx val="0"/>
              <c:layout>
                <c:manualLayout>
                  <c:x val="-0.0441459184332534"/>
                  <c:y val="-0.13312693498452"/>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一般公共预算财政拨款收入, </a:t>
                    </a:r>
                    <a:r>
                      <a:rPr lang="en-US" altLang="zh-CN"/>
                      <a:t>460.02</a:t>
                    </a:r>
                    <a:r>
                      <a:t>, 9</a:t>
                    </a:r>
                    <a:r>
                      <a:rPr lang="en-US" altLang="zh-CN"/>
                      <a:t>9.64</a:t>
                    </a:r>
                    <a:r>
                      <a:t>%</a:t>
                    </a:r>
                  </a:p>
                </c:rich>
              </c:tx>
              <c:dLblPos val="bestFit"/>
              <c:showLegendKey val="0"/>
              <c:showVal val="1"/>
              <c:showCatName val="1"/>
              <c:showSerName val="0"/>
              <c:showPercent val="1"/>
              <c:showBubbleSize val="0"/>
              <c:extLst>
                <c:ext xmlns:c15="http://schemas.microsoft.com/office/drawing/2012/chart" uri="{CE6537A1-D6FC-4f65-9D91-7224C49458BB}">
                  <c15:layout>
                    <c:manualLayout>
                      <c:w val="0.329280038526366"/>
                      <c:h val="0.160990712074303"/>
                    </c:manualLayout>
                  </c15:layout>
                </c:ext>
              </c:extLst>
            </c:dLbl>
            <c:dLbl>
              <c:idx val="1"/>
              <c:delete val="1"/>
            </c:dLbl>
            <c:dLbl>
              <c:idx val="2"/>
              <c:delete val="1"/>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一般公共预算财政拨款收入</c:v>
                </c:pt>
                <c:pt idx="1">
                  <c:v>事业收入</c:v>
                </c:pt>
                <c:pt idx="2">
                  <c:v>其它收入</c:v>
                </c:pt>
              </c:strCache>
            </c:strRef>
          </c:cat>
          <c:val>
            <c:numRef>
              <c:f>Sheet1!$B$2:$B$4</c:f>
              <c:numCache>
                <c:formatCode>General</c:formatCode>
                <c:ptCount val="3"/>
                <c:pt idx="0">
                  <c:v>3329.86</c:v>
                </c:pt>
                <c:pt idx="1">
                  <c:v>1.62</c:v>
                </c:pt>
                <c:pt idx="2">
                  <c:v>112.14</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支出数（万元）</c:v>
                </c:pt>
              </c:strCache>
            </c:strRef>
          </c:tx>
          <c:explosion val="0"/>
          <c:dPt>
            <c:idx val="0"/>
            <c:bubble3D val="0"/>
          </c:dPt>
          <c:dPt>
            <c:idx val="1"/>
            <c:bubble3D val="0"/>
          </c:dPt>
          <c:dLbls>
            <c:dLbl>
              <c:idx val="0"/>
              <c:layout>
                <c:manualLayout>
                  <c:x val="-0.144976606928691"/>
                  <c:y val="0.542957181218992"/>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基本支出, </a:t>
                    </a:r>
                    <a:r>
                      <a:rPr lang="en-US" altLang="zh-CN"/>
                      <a:t>456.92</a:t>
                    </a:r>
                    <a:r>
                      <a:t>, </a:t>
                    </a:r>
                    <a:r>
                      <a:rPr lang="en-US" altLang="zh-CN"/>
                      <a:t>89.28</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8191964909874"/>
                  <c:y val="-0.61353570583022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项目支出, </a:t>
                    </a:r>
                    <a:r>
                      <a:rPr lang="en-US" altLang="zh-CN"/>
                      <a:t>54.85</a:t>
                    </a:r>
                    <a:r>
                      <a:t>, </a:t>
                    </a:r>
                    <a:r>
                      <a:rPr lang="en-US" altLang="zh-CN"/>
                      <a:t>10.72</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1183.52</c:v>
                </c:pt>
                <c:pt idx="1">
                  <c:v>5411.15</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31158198892367"/>
          <c:y val="0.33849329205366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5"/>
          <c:h val="0.847475195631506"/>
        </c:manualLayout>
      </c:layout>
      <c:barChart>
        <c:barDir val="col"/>
        <c:grouping val="clustered"/>
        <c:varyColors val="0"/>
        <c:ser>
          <c:idx val="2"/>
          <c:order val="2"/>
          <c:tx>
            <c:strRef>
              <c:f>Sheet1!$B$1</c:f>
              <c:strCache>
                <c:ptCount val="1"/>
                <c:pt idx="0">
                  <c:v>财政拨款收、支决算总计（万元）</c:v>
                </c:pt>
              </c:strCache>
            </c:strRef>
          </c:tx>
          <c:invertIfNegative val="0"/>
          <c:dLbls>
            <c:dLbl>
              <c:idx val="0"/>
              <c:layout>
                <c:manualLayout>
                  <c:x val="-0.00191364669297931"/>
                  <c:y val="0"/>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513.59</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511.74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2021年</c:v>
                </c:pt>
                <c:pt idx="1">
                  <c:v>2022年</c:v>
                </c:pt>
              </c:strCache>
            </c:strRef>
          </c:cat>
          <c:val>
            <c:numRef>
              <c:f>Sheet1!$B$2:$B$3</c:f>
              <c:numCache>
                <c:formatCode>General</c:formatCode>
                <c:ptCount val="2"/>
                <c:pt idx="0">
                  <c:v>1023.54</c:v>
                </c:pt>
                <c:pt idx="1">
                  <c:v>913.82</c:v>
                </c:pt>
              </c:numCache>
            </c:numRef>
          </c:val>
        </c:ser>
        <c:dLbls>
          <c:showLegendKey val="0"/>
          <c:showVal val="0"/>
          <c:showCatName val="0"/>
          <c:showSerName val="0"/>
          <c:showPercent val="0"/>
          <c:showBubbleSize val="0"/>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080"/>
        <c:crosses val="autoZero"/>
        <c:auto val="1"/>
        <c:lblAlgn val="ctr"/>
        <c:lblOffset val="100"/>
        <c:noMultiLvlLbl val="0"/>
      </c:catAx>
      <c:valAx>
        <c:axId val="4155770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472"/>
        <c:crosses val="autoZero"/>
        <c:crossBetween val="between"/>
        <c:minorUnit val="200"/>
      </c:valAx>
    </c:plotArea>
    <c:legend>
      <c:legendPos val="r"/>
      <c:layout>
        <c:manualLayout>
          <c:xMode val="edge"/>
          <c:yMode val="edge"/>
          <c:x val="0.579595742136108"/>
          <c:y val="0.0576781778104335"/>
          <c:w val="0.391101542877646"/>
          <c:h val="0.224467303453343"/>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0971403486767841"/>
          <c:y val="0.115508021390374"/>
        </c:manualLayout>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manualLayout>
          <c:layoutTarget val="inner"/>
          <c:xMode val="edge"/>
          <c:yMode val="edge"/>
          <c:x val="0.110109682187038"/>
          <c:y val="0.0538324420677362"/>
          <c:w val="0.802166349721575"/>
          <c:h val="0.847475195631506"/>
        </c:manualLayout>
      </c:layout>
      <c:barChart>
        <c:barDir val="col"/>
        <c:grouping val="clustered"/>
        <c:varyColors val="0"/>
        <c:ser>
          <c:idx val="2"/>
          <c:order val="2"/>
          <c:tx>
            <c:strRef>
              <c:f>Sheet1!$B$1</c:f>
              <c:strCache>
                <c:ptCount val="1"/>
                <c:pt idx="0">
                  <c:v>一般公共预算财政拨款支出（万元）</c:v>
                </c:pt>
              </c:strCache>
            </c:strRef>
          </c:tx>
          <c:spPr>
            <a:solidFill>
              <a:schemeClr val="accent3"/>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463.49</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470.02</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463.49</c:v>
                </c:pt>
                <c:pt idx="1">
                  <c:v>470.02</c:v>
                </c:pt>
              </c:numCache>
            </c:numRef>
          </c:val>
        </c:ser>
        <c:dLbls>
          <c:showLegendKey val="0"/>
          <c:showVal val="1"/>
          <c:showCatName val="0"/>
          <c:showSerName val="0"/>
          <c:showPercent val="0"/>
          <c:showBubbleSize val="0"/>
        </c:dLbls>
        <c:gapWidth val="216"/>
        <c:overlap val="-32"/>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5577080"/>
        <c:crosses val="autoZero"/>
        <c:auto val="0"/>
        <c:lblAlgn val="ctr"/>
        <c:lblOffset val="100"/>
        <c:noMultiLvlLbl val="0"/>
      </c:catAx>
      <c:valAx>
        <c:axId val="415577080"/>
        <c:scaling>
          <c:orientation val="minMax"/>
        </c:scaling>
        <c:delete val="0"/>
        <c:axPos val="l"/>
        <c:majorGridlines>
          <c:spPr>
            <a:ln w="9525" cap="flat" cmpd="sng" algn="ctr">
              <a:solidFill>
                <a:schemeClr val="bg1">
                  <a:lumMod val="90200"/>
                </a:schemeClr>
              </a:solidFill>
              <a:round/>
            </a:ln>
            <a:effectLst/>
          </c:spPr>
        </c:majorGridlines>
        <c:title>
          <c:layout/>
          <c:overlay val="0"/>
          <c:spPr>
            <a:noFill/>
            <a:ln>
              <a:noFill/>
            </a:ln>
            <a:effectLst/>
          </c:spPr>
          <c:txPr>
            <a:bodyPr rot="-54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55774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支出数（万元）</c:v>
                </c:pt>
              </c:strCache>
            </c:strRef>
          </c:tx>
          <c:explosion val="0"/>
          <c:dPt>
            <c:idx val="0"/>
            <c:bubble3D val="0"/>
          </c:dPt>
          <c:dPt>
            <c:idx val="1"/>
            <c:bubble3D val="0"/>
          </c:dPt>
          <c:dPt>
            <c:idx val="2"/>
            <c:bubble3D val="0"/>
          </c:dPt>
          <c:dLbls>
            <c:dLbl>
              <c:idx val="0"/>
              <c:layout>
                <c:manualLayout>
                  <c:x val="-0.00415685620961155"/>
                  <c:y val="-0.26080386823813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教育支出, </a:t>
                    </a:r>
                    <a:r>
                      <a:rPr lang="en-US" altLang="zh-CN"/>
                      <a:t>451.65</a:t>
                    </a:r>
                    <a:r>
                      <a:t>,</a:t>
                    </a:r>
                    <a:r>
                      <a:rPr lang="en-US" altLang="zh-CN"/>
                      <a:t>96.09</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89776407300892"/>
                  <c:y val="0"/>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社会保障和就业支出, </a:t>
                    </a:r>
                    <a:r>
                      <a:rPr lang="en-US" altLang="zh-CN"/>
                      <a:t>26.66</a:t>
                    </a:r>
                    <a:r>
                      <a:t>, </a:t>
                    </a:r>
                    <a:r>
                      <a:rPr lang="en-US" altLang="zh-CN"/>
                      <a:t>5.67</a:t>
                    </a:r>
                    <a:r>
                      <a:t>%</a:t>
                    </a:r>
                  </a:p>
                </c:rich>
              </c:tx>
              <c:dLblPos val="bestFit"/>
              <c:showLegendKey val="0"/>
              <c:showVal val="1"/>
              <c:showCatName val="1"/>
              <c:showSerName val="0"/>
              <c:showPercent val="1"/>
              <c:showBubbleSize val="0"/>
              <c:extLst>
                <c:ext xmlns:c15="http://schemas.microsoft.com/office/drawing/2012/chart" uri="{CE6537A1-D6FC-4f65-9D91-7224C49458BB}">
                  <c15:layout>
                    <c:manualLayout>
                      <c:w val="0.292066155321189"/>
                      <c:h val="0.238742822605017"/>
                    </c:manualLayout>
                  </c15:layout>
                </c:ext>
              </c:extLst>
            </c:dLbl>
            <c:dLbl>
              <c:idx val="2"/>
              <c:layout>
                <c:manualLayout>
                  <c:x val="0.223909060109154"/>
                  <c:y val="0"/>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卫生健康支出, </a:t>
                    </a:r>
                    <a:r>
                      <a:rPr lang="en-US" altLang="zh-CN"/>
                      <a:t>12.72,2.71</a:t>
                    </a:r>
                    <a:r>
                      <a:t>%</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350910834132311"/>
                      <c:h val="0.119975823511635"/>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教育支出</c:v>
                </c:pt>
                <c:pt idx="1">
                  <c:v>社会保障和就业支出</c:v>
                </c:pt>
                <c:pt idx="2">
                  <c:v>卫生健康支出</c:v>
                </c:pt>
              </c:strCache>
            </c:strRef>
          </c:cat>
          <c:val>
            <c:numRef>
              <c:f>Sheet1!$B$2:$B$4</c:f>
              <c:numCache>
                <c:formatCode>General</c:formatCode>
                <c:ptCount val="3"/>
                <c:pt idx="0">
                  <c:v>6339.1</c:v>
                </c:pt>
                <c:pt idx="1">
                  <c:v>104.3</c:v>
                </c:pt>
                <c:pt idx="2">
                  <c:v>39.15</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31158198892367"/>
          <c:y val="0.33849329205366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“三公”经费财政拨款支出（万元）</c:v>
                </c:pt>
              </c:strCache>
            </c:strRef>
          </c:tx>
          <c:spPr>
            <a:pattFill prst="pct30">
              <a:fgClr>
                <a:srgbClr val="FF0000"/>
              </a:fgClr>
              <a:bgClr>
                <a:schemeClr val="accent1">
                  <a:lumMod val="20000"/>
                  <a:lumOff val="80000"/>
                </a:schemeClr>
              </a:bgClr>
            </a:pattFill>
          </c:spPr>
          <c:explosion val="0"/>
          <c:dPt>
            <c:idx val="0"/>
            <c:bubble3D val="0"/>
            <c:spPr>
              <a:pattFill prst="pct30">
                <a:fgClr>
                  <a:srgbClr val="FF0000"/>
                </a:fgClr>
                <a:bgClr>
                  <a:schemeClr val="accent1">
                    <a:lumMod val="20000"/>
                    <a:lumOff val="80000"/>
                  </a:schemeClr>
                </a:bgClr>
              </a:pattFill>
              <a:ln w="19050">
                <a:solidFill>
                  <a:schemeClr val="lt1"/>
                </a:solidFill>
              </a:ln>
              <a:effectLst>
                <a:innerShdw blurRad="114300">
                  <a:schemeClr val="accent1"/>
                </a:innerShdw>
              </a:effectLst>
            </c:spPr>
          </c:dPt>
          <c:dPt>
            <c:idx val="1"/>
            <c:bubble3D val="0"/>
            <c:spPr>
              <a:pattFill prst="pct30">
                <a:fgClr>
                  <a:srgbClr val="FF0000"/>
                </a:fgClr>
                <a:bgClr>
                  <a:schemeClr val="accent1">
                    <a:lumMod val="20000"/>
                    <a:lumOff val="80000"/>
                  </a:schemeClr>
                </a:bgClr>
              </a:pattFill>
              <a:ln w="19050">
                <a:solidFill>
                  <a:schemeClr val="lt1"/>
                </a:solidFill>
              </a:ln>
              <a:effectLst>
                <a:innerShdw blurRad="114300">
                  <a:schemeClr val="accent2"/>
                </a:innerShdw>
              </a:effectLst>
            </c:spPr>
          </c:dPt>
          <c:dPt>
            <c:idx val="2"/>
            <c:bubble3D val="0"/>
            <c:spPr>
              <a:solidFill>
                <a:schemeClr val="accent4">
                  <a:lumMod val="60000"/>
                  <a:lumOff val="40000"/>
                </a:schemeClr>
              </a:solidFill>
              <a:ln w="19050">
                <a:solidFill>
                  <a:schemeClr val="lt1"/>
                </a:solidFill>
              </a:ln>
              <a:effectLst>
                <a:innerShdw blurRad="114300">
                  <a:schemeClr val="accent3"/>
                </a:innerShdw>
              </a:effectLst>
            </c:spPr>
          </c:dPt>
          <c:dLbls>
            <c:dLbl>
              <c:idx val="0"/>
              <c:layout>
                <c:manualLayout>
                  <c:x val="-0.34956195244055"/>
                  <c:y val="-0.014698795180723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360450563204004"/>
                  <c:y val="0.097590361445783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公务接待费支出, </a:t>
                    </a:r>
                    <a:r>
                      <a:rPr lang="en-US" altLang="zh-CN"/>
                      <a:t>0</a:t>
                    </a:r>
                    <a:r>
                      <a:t>, </a:t>
                    </a:r>
                    <a:r>
                      <a:rPr lang="en-US" altLang="zh-CN"/>
                      <a:t>0.00</a:t>
                    </a:r>
                    <a:r>
                      <a:t>%</a:t>
                    </a:r>
                  </a:p>
                </c:rich>
              </c:tx>
              <c:dLblPos val="bestFit"/>
              <c:showLegendKey val="0"/>
              <c:showVal val="1"/>
              <c:showCatName val="1"/>
              <c:showSerName val="0"/>
              <c:showPercent val="1"/>
              <c:showBubbleSize val="0"/>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1.9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manualLayout>
          <c:xMode val="edge"/>
          <c:yMode val="edge"/>
          <c:x val="0.72540675844806"/>
          <c:y val="0.675903614457831"/>
          <c:w val="0.261576971214018"/>
          <c:h val="0.30987951807228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1000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14</Pages>
  <Words>4879</Words>
  <Characters>5446</Characters>
  <Lines>61</Lines>
  <Paragraphs>17</Paragraphs>
  <TotalTime>0</TotalTime>
  <ScaleCrop>false</ScaleCrop>
  <LinksUpToDate>false</LinksUpToDate>
  <CharactersWithSpaces>5494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lzjyj</cp:lastModifiedBy>
  <cp:lastPrinted>2023-10-11T11:53:00Z</cp:lastPrinted>
  <dcterms:modified xsi:type="dcterms:W3CDTF">2023-10-15T06:36:39Z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5BDC8BDE94A248D68FAEBB41688126D8_13</vt:lpwstr>
  </property>
</Properties>
</file>