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96475"/>
      <w:bookmarkStart w:id="3" w:name="_Toc15377193"/>
      <w:bookmarkStart w:id="4" w:name="_Toc15378441"/>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8442"/>
      <w:bookmarkStart w:id="7" w:name="_Toc15396598"/>
      <w:bookmarkStart w:id="8" w:name="_Toc15396476"/>
      <w:bookmarkStart w:id="9" w:name="_Toc15377194"/>
      <w:bookmarkStart w:id="10" w:name="_Toc15306268"/>
      <w:bookmarkStart w:id="11" w:name="_Toc15377426"/>
      <w:r>
        <w:rPr>
          <w:rFonts w:hint="eastAsia" w:ascii="方正小标宋简体" w:hAnsi="方正小标宋简体" w:eastAsia="方正小标宋简体" w:cs="方正小标宋简体"/>
          <w:color w:val="auto"/>
          <w:sz w:val="72"/>
          <w:szCs w:val="72"/>
          <w:highlight w:val="none"/>
          <w:lang w:eastAsia="zh-CN"/>
        </w:rPr>
        <w:t>广元市利州区范家小学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eastAsia="zh-CN"/>
        </w:rPr>
        <w:t>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default"/>
          <w:color w:val="auto"/>
          <w:highlight w:val="none"/>
          <w:lang w:val="en-US"/>
        </w:rPr>
        <w:t>10</w:t>
      </w:r>
      <w:r>
        <w:rPr>
          <w:rFonts w:hint="eastAsia"/>
          <w:color w:val="auto"/>
          <w:highlight w:val="none"/>
          <w:lang w:val="en-US" w:eastAsia="zh-CN"/>
        </w:rPr>
        <w:t xml:space="preserve"> </w:t>
      </w:r>
      <w:r>
        <w:rPr>
          <w:rFonts w:hint="eastAsia"/>
          <w:color w:val="auto"/>
          <w:highlight w:val="none"/>
        </w:rPr>
        <w:t>月</w:t>
      </w:r>
      <w:r>
        <w:rPr>
          <w:rFonts w:hint="default"/>
          <w:color w:val="auto"/>
          <w:highlight w:val="none"/>
          <w:lang w:val="en-US" w:eastAsia="zh-CN"/>
        </w:rPr>
        <w:t>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rPr>
          <w:rFonts w:hint="eastAsia"/>
        </w:rPr>
      </w:pPr>
      <w:r>
        <w:rPr>
          <w:rFonts w:hint="eastAsia"/>
          <w:color w:val="auto"/>
          <w:sz w:val="24"/>
          <w:highlight w:val="none"/>
          <w:lang w:val="en-US" w:eastAsia="zh-CN"/>
        </w:rPr>
        <w:t>部门预算项目支出绩效自评表（2022年度）</w:t>
      </w:r>
      <w:bookmarkStart w:id="91" w:name="_GoBack"/>
      <w:bookmarkEnd w:id="91"/>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77197"/>
      <w:bookmarkStart w:id="15" w:name="_Toc15396600"/>
      <w:r>
        <w:rPr>
          <w:rStyle w:val="25"/>
          <w:rFonts w:hint="eastAsia" w:ascii="黑体" w:hAnsi="黑体" w:eastAsia="黑体"/>
          <w:b w:val="0"/>
          <w:bCs w:val="0"/>
          <w:color w:val="auto"/>
          <w:highlight w:val="none"/>
          <w:lang w:eastAsia="zh-CN"/>
        </w:rPr>
        <w:t>主要职责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（1）负责贯彻党的教育方针，坚持社会主义办学方向，对学生进行德育、智育、体育、美育和劳动教育等方面的教育。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（2）负责配合各级人民政府依法动员适龄儿童、少年入学，严格控制学生辍学，依法保证适龄儿童、少年接受义务教育。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（3）负责制定学校教育发展规划，并抓好组织实施和落实工作。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（4）负责按照教育主管部门发布的指导性教学计划、教学大纲，组织实施教育教学活动。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（5）决定和实施本校的教学计划，组织教学评比、集体备课，对学生进行统一考核、考试等。负责依据国家主管部门有关教学计划、课程设置等方面的规定。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（6）负责学籍管理。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（7）负责聘任、培训、考核教师，依法奖励或处分有关教师和职工。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（8）负责科学管理、合理使用学校的设施和经费，并积极筹措资金，改善办学条件。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（9）负责维护学校、师生的合法权益，有权拒绝任何组织和个人对教育教学活动进行非法干涉。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（10）依法接受各级教育行政部门的检查指导和人民群众的监督。</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广元市利州区范家小学隶属广元市利州区教育局下属二级预算单位，编制10名，其中事业编制10名。在职人员1</w:t>
      </w:r>
      <w:r>
        <w:rPr>
          <w:rFonts w:hint="eastAsia" w:ascii="仿宋" w:hAnsi="仿宋" w:eastAsia="仿宋" w:cs="仿宋"/>
          <w:sz w:val="28"/>
          <w:szCs w:val="36"/>
          <w:lang w:val="en-US" w:eastAsia="zh-CN"/>
        </w:rPr>
        <w:t>7</w:t>
      </w:r>
      <w:r>
        <w:rPr>
          <w:rFonts w:hint="eastAsia" w:ascii="仿宋" w:hAnsi="仿宋" w:eastAsia="仿宋" w:cs="仿宋"/>
          <w:sz w:val="28"/>
          <w:szCs w:val="36"/>
        </w:rPr>
        <w:t>人，其中事业人员1</w:t>
      </w:r>
      <w:r>
        <w:rPr>
          <w:rFonts w:hint="eastAsia" w:ascii="仿宋" w:hAnsi="仿宋" w:eastAsia="仿宋" w:cs="仿宋"/>
          <w:sz w:val="28"/>
          <w:szCs w:val="36"/>
          <w:lang w:val="en-US" w:eastAsia="zh-CN"/>
        </w:rPr>
        <w:t>3</w:t>
      </w:r>
      <w:r>
        <w:rPr>
          <w:rFonts w:hint="eastAsia" w:ascii="仿宋" w:hAnsi="仿宋" w:eastAsia="仿宋" w:cs="仿宋"/>
          <w:sz w:val="28"/>
          <w:szCs w:val="36"/>
        </w:rPr>
        <w:t>人。</w:t>
      </w:r>
    </w:p>
    <w:p>
      <w:pPr>
        <w:rPr>
          <w:rFonts w:hint="eastAsia"/>
          <w:lang w:val="en-US" w:eastAsia="zh-CN"/>
        </w:rPr>
      </w:pP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年度收、支总计374.83万元。与20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入总计减少</w:t>
      </w:r>
      <w:r>
        <w:rPr>
          <w:rFonts w:hint="eastAsia" w:ascii="仿宋" w:hAnsi="仿宋" w:eastAsia="仿宋"/>
          <w:color w:val="auto"/>
          <w:sz w:val="32"/>
          <w:szCs w:val="32"/>
          <w:highlight w:val="none"/>
          <w:lang w:val="en-US" w:eastAsia="zh-CN"/>
        </w:rPr>
        <w:t>29.81万元，减少7.37%；支出减少增加51,84万元，增加16.05%。收入主要变动原因是：增加了财返36.43万元，减少了城市中小学校舍建设50万元、学前教育21万、其他收入1万元。支出</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城市中小学校舍建设项目支出80万元，减少了学前教育项目支出21万元</w:t>
      </w:r>
      <w:r>
        <w:rPr>
          <w:rFonts w:hint="eastAsia" w:ascii="仿宋" w:hAnsi="仿宋" w:eastAsia="仿宋"/>
          <w:color w:val="auto"/>
          <w:sz w:val="32"/>
          <w:szCs w:val="32"/>
          <w:highlight w:val="none"/>
          <w:lang w:eastAsia="zh-CN"/>
        </w:rPr>
        <w:t>。</w:t>
      </w:r>
    </w:p>
    <w:p>
      <w:pPr>
        <w:pStyle w:val="2"/>
        <w:spacing w:beforeLines="0"/>
        <w:rPr>
          <w:rFonts w:ascii="仿宋" w:hAnsi="仿宋" w:eastAsia="仿宋"/>
          <w:color w:val="auto"/>
          <w:sz w:val="32"/>
          <w:szCs w:val="32"/>
          <w:highlight w:val="none"/>
        </w:rPr>
      </w:pPr>
      <w:r>
        <w:rPr>
          <w:sz w:val="28"/>
        </w:rPr>
        <mc:AlternateContent>
          <mc:Choice Requires="wps">
            <w:drawing>
              <wp:anchor distT="0" distB="0" distL="114300" distR="114300" simplePos="0" relativeHeight="251665408" behindDoc="0" locked="0" layoutInCell="1" allowOverlap="1">
                <wp:simplePos x="0" y="0"/>
                <wp:positionH relativeFrom="column">
                  <wp:posOffset>3246755</wp:posOffset>
                </wp:positionH>
                <wp:positionV relativeFrom="paragraph">
                  <wp:posOffset>-2037715</wp:posOffset>
                </wp:positionV>
                <wp:extent cx="581660" cy="285750"/>
                <wp:effectExtent l="0" t="0" r="0" b="0"/>
                <wp:wrapNone/>
                <wp:docPr id="1" name="文本框 1"/>
                <wp:cNvGraphicFramePr/>
                <a:graphic xmlns:a="http://schemas.openxmlformats.org/drawingml/2006/main">
                  <a:graphicData uri="http://schemas.microsoft.com/office/word/2010/wordprocessingShape">
                    <wps:wsp>
                      <wps:cNvSpPr txBox="1"/>
                      <wps:spPr>
                        <a:xfrm>
                          <a:off x="4599305" y="4653280"/>
                          <a:ext cx="58166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13"/>
                                <w:szCs w:val="16"/>
                              </w:rPr>
                            </w:pPr>
                            <w:r>
                              <w:rPr>
                                <w:rFonts w:hint="eastAsia" w:ascii="仿宋" w:hAnsi="仿宋" w:eastAsia="仿宋"/>
                                <w:color w:val="auto"/>
                                <w:sz w:val="20"/>
                                <w:szCs w:val="20"/>
                                <w:highlight w:val="none"/>
                              </w:rPr>
                              <w:t>374.83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65pt;margin-top:-160.45pt;height:22.5pt;width:45.8pt;z-index:251665408;mso-width-relative:page;mso-height-relative:page;" filled="f" stroked="f" coordsize="21600,21600" o:gfxdata="UEsDBAoAAAAAAIdO4kAAAAAAAAAAAAAAAAAEAAAAZHJzL1BLAwQUAAAACACHTuJAdkKiad0AAAAN&#10;AQAADwAAAGRycy9kb3ducmV2LnhtbE2Py07DMBBF90j8gzVI7Fo7rlLaNE6FIlVICBYt3bBzYjeJ&#10;Go9D7D7g6xlWZTePoztn8vXV9exsx9B5VJBMBTCLtTcdNgr2H5vJAliIGo3uPVoF3zbAuri/y3Vm&#10;/AW39ryLDaMQDJlW0MY4ZJyHurVOh6kfLNLu4EenI7Vjw82oLxTuei6FmHOnO6QLrR5s2dr6uDs5&#10;Ba/l5l1vK+kWP3358nZ4Hr72n6lSjw+JWAGL9hpvMPzpkzoU5FT5E5rAegVpkswIVTCZSbEERshc&#10;SCoqGsmndAm8yPn/L4pfUEsDBBQAAAAIAIdO4kDp0Vp/RQIAAHEEAAAOAAAAZHJzL2Uyb0RvYy54&#10;bWytVEtu2zAU3BfoHQjuG9mO5TiG5cBNkKJA0ARwi65piooE8FeSjpQeoL1BVt1033PlHB1SSuKm&#10;XWTRDf3IN5rHmffo5UmnJLkRzjdGF3R8MKJEaG7KRl8X9NPH8zdzSnxgumTSaFHQW+Hpyer1q2Vr&#10;F2JiaiNL4QhItF+0tqB1CHaRZZ7XQjF/YKzQSFbGKRawdddZ6VgLdiWzyWg0y1rjSusMF97j9KxP&#10;0oHRvYTQVFXDxZnhOyV06FmdkCxAkq8b6+kq3baqBA+XVeVFILKgUBrSiiKIt3HNVku2uHbM1g0f&#10;rsBecoVnmhRrNIo+Up2xwMjONX9RqYY7400VDrhRWS8kOQIV49EzbzY1syJpgdXePpru/x8t/3Bz&#10;5UhTYhIo0Uyh4fd33+9//Lr/+Y2Moz2t9QugNha40L01XYQO5x6HUXVXORV/oYcgP82Pjw9HOSW3&#10;iGf54WQ+GC26QDgA+Xw8m6EFHIDJPD/KUz57IrLOh3fCKBKDgjr0MdnLbi58QHFAHyCxrjbnjZSp&#10;l1KTtqCzQ1D+kcEXUuPDKKe/doxCt+0GLVtT3kKiM/2MeMvPGxS/YD5cMYehwH3xbMIllkoaFDFD&#10;RElt3Nd/nUc8eoUsJS2GrKD+y445QYl8r9HF4/F0Gqcybab50QQbt5/Z7mf0Tp0azDE6hdulMOKD&#10;fAgrZ9RnvK51rIoU0xy1CxoewtPQjz5eJxfrdQJhDi0LF3pjeaTuTVvvgqma5HS0qfdmcA+TmBow&#10;vJo46vv7hHr6p1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ComndAAAADQEAAA8AAAAAAAAA&#10;AQAgAAAAIgAAAGRycy9kb3ducmV2LnhtbFBLAQIUABQAAAAIAIdO4kDp0Vp/RQIAAHEEAAAOAAAA&#10;AAAAAAEAIAAAACwBAABkcnMvZTJvRG9jLnhtbFBLBQYAAAAABgAGAFkBAADjBQAAAAA=&#10;">
                <v:fill on="f" focussize="0,0"/>
                <v:stroke on="f" weight="0.5pt"/>
                <v:imagedata o:title=""/>
                <o:lock v:ext="edit" aspectratio="f"/>
                <v:textbox>
                  <w:txbxContent>
                    <w:p>
                      <w:pPr>
                        <w:jc w:val="center"/>
                        <w:rPr>
                          <w:sz w:val="13"/>
                          <w:szCs w:val="16"/>
                        </w:rPr>
                      </w:pPr>
                      <w:r>
                        <w:rPr>
                          <w:rFonts w:hint="eastAsia" w:ascii="仿宋" w:hAnsi="仿宋" w:eastAsia="仿宋"/>
                          <w:color w:val="auto"/>
                          <w:sz w:val="20"/>
                          <w:szCs w:val="20"/>
                          <w:highlight w:val="none"/>
                        </w:rPr>
                        <w:t>374.83</w:t>
                      </w:r>
                    </w:p>
                  </w:txbxContent>
                </v:textbox>
              </v:shape>
            </w:pict>
          </mc:Fallback>
        </mc:AlternateContent>
      </w:r>
      <w:r>
        <w:rPr>
          <w:rFonts w:ascii="仿宋_GB2312" w:eastAsia="仿宋_GB2312"/>
          <w:sz w:val="28"/>
          <w:szCs w:val="28"/>
        </w:rPr>
        <w:drawing>
          <wp:anchor distT="0" distB="0" distL="114300" distR="114300" simplePos="0" relativeHeight="251659264" behindDoc="1" locked="0" layoutInCell="1" allowOverlap="1">
            <wp:simplePos x="0" y="0"/>
            <wp:positionH relativeFrom="column">
              <wp:posOffset>33020</wp:posOffset>
            </wp:positionH>
            <wp:positionV relativeFrom="paragraph">
              <wp:posOffset>139065</wp:posOffset>
            </wp:positionV>
            <wp:extent cx="5201285" cy="2157730"/>
            <wp:effectExtent l="4445" t="4445" r="13970" b="9525"/>
            <wp:wrapTight wrapText="bothSides">
              <wp:wrapPolygon>
                <wp:start x="-18" y="-44"/>
                <wp:lineTo x="-18" y="21505"/>
                <wp:lineTo x="21579" y="21505"/>
                <wp:lineTo x="21579" y="-44"/>
                <wp:lineTo x="-18" y="-44"/>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年本年收入合计27</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18</w:t>
      </w:r>
      <w:r>
        <w:rPr>
          <w:rFonts w:hint="eastAsia" w:ascii="仿宋" w:hAnsi="仿宋" w:eastAsia="仿宋"/>
          <w:color w:val="auto"/>
          <w:sz w:val="32"/>
          <w:szCs w:val="32"/>
          <w:highlight w:val="none"/>
        </w:rPr>
        <w:t>万元</w:t>
      </w:r>
      <w:r>
        <w:rPr>
          <w:rFonts w:hint="default" w:ascii="仿宋" w:hAnsi="仿宋" w:eastAsia="仿宋"/>
          <w:color w:val="auto"/>
          <w:sz w:val="32"/>
          <w:szCs w:val="32"/>
          <w:highlight w:val="none"/>
          <w:lang w:val="en-US"/>
        </w:rPr>
        <w:t>(</w:t>
      </w:r>
      <w:r>
        <w:rPr>
          <w:rFonts w:hint="eastAsia" w:ascii="仿宋" w:hAnsi="仿宋" w:eastAsia="仿宋"/>
          <w:color w:val="auto"/>
          <w:sz w:val="32"/>
          <w:szCs w:val="32"/>
          <w:highlight w:val="none"/>
          <w:lang w:val="en-US" w:eastAsia="zh-CN"/>
        </w:rPr>
        <w:t>不含财政结转数</w:t>
      </w:r>
      <w:r>
        <w:rPr>
          <w:rFonts w:hint="default" w:ascii="仿宋" w:hAnsi="仿宋" w:eastAsia="仿宋"/>
          <w:color w:val="auto"/>
          <w:sz w:val="32"/>
          <w:szCs w:val="32"/>
          <w:highlight w:val="none"/>
          <w:lang w:val="en-US"/>
        </w:rPr>
        <w:t>)</w:t>
      </w:r>
      <w:r>
        <w:rPr>
          <w:rFonts w:hint="eastAsia" w:ascii="仿宋" w:hAnsi="仿宋" w:eastAsia="仿宋"/>
          <w:color w:val="auto"/>
          <w:sz w:val="32"/>
          <w:szCs w:val="32"/>
          <w:highlight w:val="none"/>
        </w:rPr>
        <w:t>，其中：一般公共预算财政拨款收入271.99万元，占</w:t>
      </w:r>
      <w:r>
        <w:rPr>
          <w:rFonts w:hint="eastAsia" w:ascii="仿宋" w:hAnsi="仿宋" w:eastAsia="仿宋"/>
          <w:color w:val="auto"/>
          <w:sz w:val="32"/>
          <w:szCs w:val="32"/>
          <w:highlight w:val="none"/>
          <w:lang w:val="en-US" w:eastAsia="zh-CN"/>
        </w:rPr>
        <w:t>99.56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；事业收入0.</w:t>
      </w:r>
      <w:r>
        <w:rPr>
          <w:rFonts w:hint="eastAsia" w:ascii="仿宋" w:hAnsi="仿宋" w:eastAsia="仿宋"/>
          <w:color w:val="auto"/>
          <w:sz w:val="32"/>
          <w:szCs w:val="32"/>
          <w:highlight w:val="none"/>
          <w:lang w:val="en-US" w:eastAsia="zh-CN"/>
        </w:rPr>
        <w:t>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0.36</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；其他收入0.21万元，占</w:t>
      </w:r>
      <w:r>
        <w:rPr>
          <w:rFonts w:hint="eastAsia" w:ascii="仿宋" w:hAnsi="仿宋" w:eastAsia="仿宋"/>
          <w:color w:val="auto"/>
          <w:sz w:val="32"/>
          <w:szCs w:val="32"/>
          <w:highlight w:val="none"/>
          <w:lang w:val="en-US" w:eastAsia="zh-CN"/>
        </w:rPr>
        <w:t>0.04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0288" behindDoc="0" locked="0" layoutInCell="1" allowOverlap="1">
            <wp:simplePos x="0" y="0"/>
            <wp:positionH relativeFrom="column">
              <wp:posOffset>-52070</wp:posOffset>
            </wp:positionH>
            <wp:positionV relativeFrom="paragraph">
              <wp:posOffset>280670</wp:posOffset>
            </wp:positionV>
            <wp:extent cx="5274310" cy="3076575"/>
            <wp:effectExtent l="5080" t="4445" r="1651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年本年支出合计374.83万元，其中：基本支出263.96万元，占</w:t>
      </w:r>
      <w:r>
        <w:rPr>
          <w:rFonts w:hint="eastAsia" w:ascii="仿宋" w:hAnsi="仿宋" w:eastAsia="仿宋"/>
          <w:color w:val="auto"/>
          <w:sz w:val="32"/>
          <w:szCs w:val="32"/>
          <w:highlight w:val="none"/>
          <w:lang w:val="en-US" w:eastAsia="zh-CN"/>
        </w:rPr>
        <w:t>70.42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；项目支出110.87万元，占</w:t>
      </w:r>
      <w:r>
        <w:rPr>
          <w:rFonts w:hint="eastAsia" w:ascii="仿宋" w:hAnsi="仿宋" w:eastAsia="仿宋"/>
          <w:color w:val="auto"/>
          <w:sz w:val="32"/>
          <w:szCs w:val="32"/>
          <w:highlight w:val="none"/>
          <w:lang w:val="en-US" w:eastAsia="zh-CN"/>
        </w:rPr>
        <w:t>29.58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1312" behindDoc="0" locked="0" layoutInCell="1" allowOverlap="1">
            <wp:simplePos x="0" y="0"/>
            <wp:positionH relativeFrom="column">
              <wp:posOffset>271145</wp:posOffset>
            </wp:positionH>
            <wp:positionV relativeFrom="paragraph">
              <wp:posOffset>46990</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年财政拨款收、支总计373.64万元。与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000000" w:themeColor="text1"/>
          <w:sz w:val="28"/>
          <w:szCs w:val="28"/>
          <w:lang w:val="en-US" w:eastAsia="zh-CN"/>
          <w14:textFill>
            <w14:solidFill>
              <w14:schemeClr w14:val="tx1"/>
            </w14:solidFill>
          </w14:textFill>
        </w:rPr>
        <w:t>337.34</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w:t>
      </w:r>
      <w:r>
        <w:rPr>
          <w:rFonts w:hint="eastAsia" w:ascii="仿宋" w:hAnsi="仿宋" w:eastAsia="仿宋"/>
          <w:color w:val="000000" w:themeColor="text1"/>
          <w:sz w:val="28"/>
          <w:szCs w:val="28"/>
          <w14:textFill>
            <w14:solidFill>
              <w14:schemeClr w14:val="tx1"/>
            </w14:solidFill>
          </w14:textFill>
        </w:rPr>
        <w:t>财政拨款收入总计增加</w:t>
      </w:r>
      <w:r>
        <w:rPr>
          <w:rFonts w:hint="eastAsia" w:ascii="仿宋" w:hAnsi="仿宋" w:eastAsia="仿宋"/>
          <w:color w:val="000000" w:themeColor="text1"/>
          <w:sz w:val="28"/>
          <w:szCs w:val="28"/>
          <w:lang w:val="en-US" w:eastAsia="zh-CN"/>
          <w14:textFill>
            <w14:solidFill>
              <w14:schemeClr w14:val="tx1"/>
            </w14:solidFill>
          </w14:textFill>
        </w:rPr>
        <w:t>36.3</w:t>
      </w:r>
      <w:r>
        <w:rPr>
          <w:rFonts w:hint="eastAsia" w:ascii="仿宋" w:hAnsi="仿宋" w:eastAsia="仿宋"/>
          <w:color w:val="000000" w:themeColor="text1"/>
          <w:sz w:val="28"/>
          <w:szCs w:val="28"/>
          <w14:textFill>
            <w14:solidFill>
              <w14:schemeClr w14:val="tx1"/>
            </w14:solidFill>
          </w14:textFill>
        </w:rPr>
        <w:t>万元，增涨</w:t>
      </w:r>
      <w:r>
        <w:rPr>
          <w:rFonts w:hint="eastAsia" w:ascii="仿宋" w:hAnsi="仿宋" w:eastAsia="仿宋"/>
          <w:color w:val="000000" w:themeColor="text1"/>
          <w:sz w:val="28"/>
          <w:szCs w:val="28"/>
          <w:lang w:val="en-US" w:eastAsia="zh-CN"/>
          <w14:textFill>
            <w14:solidFill>
              <w14:schemeClr w14:val="tx1"/>
            </w14:solidFill>
          </w14:textFill>
        </w:rPr>
        <w:t>10.76</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auto"/>
          <w:sz w:val="32"/>
          <w:szCs w:val="32"/>
          <w:highlight w:val="none"/>
          <w:lang w:val="en-US" w:eastAsia="zh-CN"/>
        </w:rPr>
        <w:t>主要变动原因是：增加了财政结转。</w:t>
      </w:r>
      <w:r>
        <w:rPr>
          <w:rFonts w:hint="eastAsia" w:ascii="仿宋" w:hAnsi="仿宋" w:eastAsia="仿宋"/>
          <w:color w:val="000000" w:themeColor="text1"/>
          <w:sz w:val="28"/>
          <w:szCs w:val="28"/>
          <w:lang w:eastAsia="zh-CN"/>
          <w14:textFill>
            <w14:solidFill>
              <w14:schemeClr w14:val="tx1"/>
            </w14:solidFill>
          </w14:textFill>
        </w:rPr>
        <w:t>。</w:t>
      </w:r>
    </w:p>
    <w:p>
      <w:pPr>
        <w:spacing w:line="600" w:lineRule="exact"/>
        <w:ind w:firstLine="560" w:firstLineChars="200"/>
        <w:rPr>
          <w:rFonts w:ascii="仿宋_GB2312" w:eastAsia="仿宋_GB2312"/>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2022</w:t>
      </w:r>
      <w:r>
        <w:rPr>
          <w:rFonts w:hint="eastAsia" w:ascii="仿宋" w:hAnsi="仿宋" w:eastAsia="仿宋"/>
          <w:color w:val="000000" w:themeColor="text1"/>
          <w:sz w:val="28"/>
          <w:szCs w:val="28"/>
          <w14:textFill>
            <w14:solidFill>
              <w14:schemeClr w14:val="tx1"/>
            </w14:solidFill>
          </w14:textFill>
        </w:rPr>
        <w:t>年财政拨款支出与20</w:t>
      </w:r>
      <w:r>
        <w:rPr>
          <w:rFonts w:hint="eastAsia" w:ascii="仿宋" w:hAnsi="仿宋" w:eastAsia="仿宋"/>
          <w:color w:val="000000" w:themeColor="text1"/>
          <w:sz w:val="28"/>
          <w:szCs w:val="28"/>
          <w:lang w:val="en-US" w:eastAsia="zh-CN"/>
          <w14:textFill>
            <w14:solidFill>
              <w14:schemeClr w14:val="tx1"/>
            </w14:solidFill>
          </w14:textFill>
        </w:rPr>
        <w:t>21</w:t>
      </w:r>
      <w:r>
        <w:rPr>
          <w:rFonts w:hint="eastAsia" w:ascii="仿宋" w:hAnsi="仿宋" w:eastAsia="仿宋"/>
          <w:color w:val="000000" w:themeColor="text1"/>
          <w:sz w:val="28"/>
          <w:szCs w:val="28"/>
          <w14:textFill>
            <w14:solidFill>
              <w14:schemeClr w14:val="tx1"/>
            </w14:solidFill>
          </w14:textFill>
        </w:rPr>
        <w:t>年相比（</w:t>
      </w:r>
      <w:r>
        <w:rPr>
          <w:rFonts w:hint="eastAsia" w:ascii="仿宋" w:hAnsi="仿宋" w:eastAsia="仿宋"/>
          <w:color w:val="000000" w:themeColor="text1"/>
          <w:sz w:val="28"/>
          <w:szCs w:val="28"/>
          <w:lang w:val="en-US" w:eastAsia="zh-CN"/>
          <w14:textFill>
            <w14:solidFill>
              <w14:schemeClr w14:val="tx1"/>
            </w14:solidFill>
          </w14:textFill>
        </w:rPr>
        <w:t>320.91</w:t>
      </w:r>
      <w:r>
        <w:rPr>
          <w:rFonts w:hint="eastAsia" w:ascii="仿宋" w:hAnsi="仿宋" w:eastAsia="仿宋"/>
          <w:color w:val="000000" w:themeColor="text1"/>
          <w:sz w:val="28"/>
          <w:szCs w:val="28"/>
          <w14:textFill>
            <w14:solidFill>
              <w14:schemeClr w14:val="tx1"/>
            </w14:solidFill>
          </w14:textFill>
        </w:rPr>
        <w:t>万元），财政拨款支出总计</w:t>
      </w:r>
      <w:r>
        <w:rPr>
          <w:rFonts w:hint="eastAsia" w:ascii="仿宋" w:hAnsi="仿宋" w:eastAsia="仿宋"/>
          <w:color w:val="000000" w:themeColor="text1"/>
          <w:sz w:val="28"/>
          <w:szCs w:val="28"/>
          <w:lang w:eastAsia="zh-CN"/>
          <w14:textFill>
            <w14:solidFill>
              <w14:schemeClr w14:val="tx1"/>
            </w14:solidFill>
          </w14:textFill>
        </w:rPr>
        <w:t>增加</w:t>
      </w:r>
      <w:r>
        <w:rPr>
          <w:rFonts w:hint="eastAsia" w:ascii="仿宋" w:hAnsi="仿宋" w:eastAsia="仿宋"/>
          <w:color w:val="000000" w:themeColor="text1"/>
          <w:sz w:val="28"/>
          <w:szCs w:val="28"/>
          <w14:textFill>
            <w14:solidFill>
              <w14:schemeClr w14:val="tx1"/>
            </w14:solidFill>
          </w14:textFill>
        </w:rPr>
        <w:t>了</w:t>
      </w:r>
      <w:r>
        <w:rPr>
          <w:rFonts w:hint="eastAsia" w:ascii="仿宋" w:hAnsi="仿宋" w:eastAsia="仿宋"/>
          <w:color w:val="000000" w:themeColor="text1"/>
          <w:sz w:val="28"/>
          <w:szCs w:val="28"/>
          <w:lang w:val="en-US" w:eastAsia="zh-CN"/>
          <w14:textFill>
            <w14:solidFill>
              <w14:schemeClr w14:val="tx1"/>
            </w14:solidFill>
          </w14:textFill>
        </w:rPr>
        <w:t>52.73</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lang w:eastAsia="zh-CN"/>
          <w14:textFill>
            <w14:solidFill>
              <w14:schemeClr w14:val="tx1"/>
            </w14:solidFill>
          </w14:textFill>
        </w:rPr>
        <w:t>增加</w:t>
      </w:r>
      <w:r>
        <w:rPr>
          <w:rFonts w:hint="eastAsia" w:ascii="仿宋" w:hAnsi="仿宋" w:eastAsia="仿宋"/>
          <w:color w:val="000000" w:themeColor="text1"/>
          <w:sz w:val="28"/>
          <w:szCs w:val="28"/>
          <w:lang w:val="en-US" w:eastAsia="zh-CN"/>
          <w14:textFill>
            <w14:solidFill>
              <w14:schemeClr w14:val="tx1"/>
            </w14:solidFill>
          </w14:textFill>
        </w:rPr>
        <w:t>16.42</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_GB2312" w:eastAsia="仿宋_GB2312"/>
          <w:color w:val="000000" w:themeColor="text1"/>
          <w:kern w:val="0"/>
          <w:sz w:val="28"/>
          <w:szCs w:val="28"/>
          <w14:textFill>
            <w14:solidFill>
              <w14:schemeClr w14:val="tx1"/>
            </w14:solidFill>
          </w14:textFill>
        </w:rPr>
        <w:t>主要变动原因是</w:t>
      </w:r>
      <w:r>
        <w:rPr>
          <w:rFonts w:hint="eastAsia" w:ascii="仿宋" w:hAnsi="仿宋" w:eastAsia="仿宋"/>
          <w:color w:val="000000" w:themeColor="text1"/>
          <w:sz w:val="28"/>
          <w:szCs w:val="28"/>
          <w:lang w:eastAsia="zh-CN"/>
          <w14:textFill>
            <w14:solidFill>
              <w14:schemeClr w14:val="tx1"/>
            </w14:solidFill>
          </w14:textFill>
        </w:rPr>
        <w:t>项目支出增加</w:t>
      </w:r>
      <w:r>
        <w:rPr>
          <w:rFonts w:hint="eastAsia" w:ascii="仿宋_GB2312" w:eastAsia="仿宋_GB2312"/>
          <w:color w:val="000000" w:themeColor="text1"/>
          <w:kern w:val="0"/>
          <w:sz w:val="28"/>
          <w:szCs w:val="28"/>
          <w14:textFill>
            <w14:solidFill>
              <w14:schemeClr w14:val="tx1"/>
            </w14:solidFill>
          </w14:textFill>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r>
        <w:rPr>
          <w:rFonts w:hint="eastAsia" w:ascii="仿宋" w:hAnsi="仿宋" w:eastAsia="仿宋"/>
          <w:b/>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5080" t="4445" r="16510" b="508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年一般公共预算财政拨款支出373.64万元，占本年支出合计的</w:t>
      </w:r>
      <w:r>
        <w:rPr>
          <w:rFonts w:hint="eastAsia" w:ascii="仿宋" w:hAnsi="仿宋" w:eastAsia="仿宋"/>
          <w:color w:val="auto"/>
          <w:sz w:val="32"/>
          <w:szCs w:val="32"/>
          <w:highlight w:val="none"/>
          <w:lang w:val="en-US" w:eastAsia="zh-CN"/>
        </w:rPr>
        <w:t>99.68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（320.91万元）</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52.73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16.43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增加了项目支出。</w:t>
      </w:r>
    </w:p>
    <w:p>
      <w:pPr>
        <w:spacing w:line="600" w:lineRule="exact"/>
        <w:ind w:firstLine="640" w:firstLineChars="200"/>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3360" behindDoc="1" locked="0" layoutInCell="1" allowOverlap="1">
            <wp:simplePos x="0" y="0"/>
            <wp:positionH relativeFrom="column">
              <wp:posOffset>271780</wp:posOffset>
            </wp:positionH>
            <wp:positionV relativeFrom="paragraph">
              <wp:posOffset>86360</wp:posOffset>
            </wp:positionV>
            <wp:extent cx="5309235" cy="1728470"/>
            <wp:effectExtent l="5080" t="4445" r="19685" b="19685"/>
            <wp:wrapTight wrapText="bothSides">
              <wp:wrapPolygon>
                <wp:start x="-21" y="-56"/>
                <wp:lineTo x="-21" y="21370"/>
                <wp:lineTo x="21525" y="21370"/>
                <wp:lineTo x="21525"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年一般公共预算财政拨款支出373.64万元，主要用于以下方面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教育支出343.17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支出17.7</w:t>
      </w:r>
      <w:r>
        <w:rPr>
          <w:rFonts w:hint="eastAsia" w:ascii="仿宋" w:hAnsi="仿宋" w:eastAsia="仿宋"/>
          <w:b/>
          <w:bCs/>
          <w:color w:val="auto"/>
          <w:sz w:val="32"/>
          <w:szCs w:val="32"/>
          <w:highlight w:val="none"/>
          <w:lang w:val="en-US" w:eastAsia="zh-CN"/>
        </w:rPr>
        <w:t>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住房保障支出12.71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spacing w:line="600" w:lineRule="exact"/>
        <w:ind w:firstLine="640"/>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4384" behindDoc="0" locked="0" layoutInCell="1" allowOverlap="1">
            <wp:simplePos x="0" y="0"/>
            <wp:positionH relativeFrom="column">
              <wp:posOffset>40640</wp:posOffset>
            </wp:positionH>
            <wp:positionV relativeFrom="paragraph">
              <wp:posOffset>54610</wp:posOffset>
            </wp:positionV>
            <wp:extent cx="5298440" cy="2101215"/>
            <wp:effectExtent l="4445" t="4445" r="12065" b="88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般公共预算支出决算数为373.64</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numPr>
          <w:ilvl w:val="0"/>
          <w:numId w:val="3"/>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cstheme="minorBidi"/>
          <w:bCs/>
          <w:color w:val="auto"/>
          <w:kern w:val="2"/>
          <w:sz w:val="32"/>
          <w:szCs w:val="32"/>
          <w:highlight w:val="none"/>
          <w:lang w:val="en-US" w:eastAsia="zh-CN" w:bidi="ar-SA"/>
        </w:rPr>
        <w:t>教育支出（类）</w:t>
      </w:r>
      <w:r>
        <w:rPr>
          <w:rStyle w:val="14"/>
          <w:rFonts w:hint="eastAsia" w:ascii="仿宋" w:hAnsi="仿宋" w:eastAsia="仿宋"/>
          <w:bCs/>
          <w:color w:val="auto"/>
          <w:sz w:val="32"/>
          <w:szCs w:val="32"/>
          <w:highlight w:val="none"/>
        </w:rPr>
        <w:t>教育费附加安排的支出</w:t>
      </w:r>
      <w:r>
        <w:rPr>
          <w:rStyle w:val="14"/>
          <w:rFonts w:hint="eastAsia" w:ascii="仿宋" w:hAnsi="仿宋" w:eastAsia="仿宋"/>
          <w:bCs/>
          <w:color w:val="auto"/>
          <w:sz w:val="32"/>
          <w:szCs w:val="32"/>
          <w:highlight w:val="none"/>
          <w:lang w:eastAsia="zh-CN"/>
        </w:rPr>
        <w:t>（款）</w:t>
      </w:r>
      <w:r>
        <w:rPr>
          <w:rStyle w:val="14"/>
          <w:rFonts w:hint="eastAsia" w:ascii="仿宋" w:hAnsi="仿宋" w:eastAsia="仿宋"/>
          <w:bCs/>
          <w:color w:val="auto"/>
          <w:sz w:val="32"/>
          <w:szCs w:val="32"/>
          <w:highlight w:val="none"/>
        </w:rPr>
        <w:t>城市中小学校舍建设</w:t>
      </w:r>
      <w:r>
        <w:rPr>
          <w:rStyle w:val="14"/>
          <w:rFonts w:hint="eastAsia" w:ascii="仿宋" w:hAnsi="仿宋" w:eastAsia="仿宋"/>
          <w:bCs/>
          <w:color w:val="auto"/>
          <w:sz w:val="32"/>
          <w:szCs w:val="32"/>
          <w:highlight w:val="none"/>
          <w:lang w:eastAsia="zh-CN"/>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pPr>
        <w:numPr>
          <w:ilvl w:val="0"/>
          <w:numId w:val="3"/>
        </w:numPr>
        <w:spacing w:line="600" w:lineRule="exact"/>
        <w:ind w:left="0" w:leftChars="0" w:firstLine="643" w:firstLineChars="200"/>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cstheme="minorBidi"/>
          <w:bCs/>
          <w:color w:val="auto"/>
          <w:kern w:val="2"/>
          <w:sz w:val="32"/>
          <w:szCs w:val="32"/>
          <w:highlight w:val="none"/>
          <w:lang w:val="en-US" w:eastAsia="zh-CN" w:bidi="ar-SA"/>
        </w:rPr>
        <w:t>教育支出（类）普通教育（款）学前教育（项）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2.47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pPr>
        <w:numPr>
          <w:ilvl w:val="0"/>
          <w:numId w:val="3"/>
        </w:numPr>
        <w:spacing w:line="600" w:lineRule="exact"/>
        <w:ind w:left="0" w:leftChars="0" w:firstLine="643" w:firstLineChars="200"/>
        <w:rPr>
          <w:rFonts w:ascii="仿宋" w:hAnsi="仿宋" w:eastAsia="仿宋"/>
          <w:b/>
          <w:color w:val="auto"/>
          <w:sz w:val="32"/>
          <w:szCs w:val="32"/>
          <w:highlight w:val="none"/>
        </w:rPr>
      </w:pPr>
      <w:r>
        <w:rPr>
          <w:rStyle w:val="14"/>
          <w:rFonts w:hint="eastAsia" w:ascii="仿宋" w:hAnsi="仿宋" w:eastAsia="仿宋" w:cstheme="minorBidi"/>
          <w:bCs/>
          <w:color w:val="auto"/>
          <w:kern w:val="2"/>
          <w:sz w:val="32"/>
          <w:szCs w:val="32"/>
          <w:highlight w:val="none"/>
          <w:lang w:val="en-US" w:eastAsia="zh-CN" w:bidi="ar-SA"/>
        </w:rPr>
        <w:t>教育支出（类）普通教育（款）小学教育（项）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259.7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pPr>
        <w:numPr>
          <w:ilvl w:val="0"/>
          <w:numId w:val="3"/>
        </w:numPr>
        <w:spacing w:line="600" w:lineRule="exact"/>
        <w:ind w:left="0" w:leftChars="0" w:firstLine="643" w:firstLineChars="200"/>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cstheme="minorBidi"/>
          <w:bCs/>
          <w:color w:val="auto"/>
          <w:kern w:val="2"/>
          <w:sz w:val="32"/>
          <w:szCs w:val="32"/>
          <w:highlight w:val="none"/>
          <w:lang w:val="en-US" w:eastAsia="zh-CN" w:bidi="ar-SA"/>
        </w:rPr>
        <w:t>教育支出（类）普通教育（款）其他普通教育（项）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pPr>
        <w:numPr>
          <w:ilvl w:val="0"/>
          <w:numId w:val="3"/>
        </w:numPr>
        <w:spacing w:line="600" w:lineRule="exact"/>
        <w:ind w:left="0" w:leftChars="0"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rPr>
        <w:t>住房保障支出（类）住房改革支出（项）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12.71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pPr>
        <w:numPr>
          <w:ilvl w:val="0"/>
          <w:numId w:val="3"/>
        </w:numPr>
        <w:spacing w:line="600" w:lineRule="exact"/>
        <w:ind w:left="0" w:leftChars="0"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rPr>
        <w:t>社会保障和就业（类）行政事业单位养老支出（款）  机关事业单位基本养老保险缴费支出（项）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支出决算为16.95万元，完成预算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pPr>
        <w:numPr>
          <w:ilvl w:val="0"/>
          <w:numId w:val="4"/>
        </w:numPr>
        <w:spacing w:line="600" w:lineRule="exact"/>
        <w:ind w:firstLine="643" w:firstLineChars="200"/>
        <w:rPr>
          <w:rFonts w:ascii="仿宋" w:hAnsi="仿宋" w:eastAsia="仿宋"/>
          <w:color w:val="auto"/>
          <w:sz w:val="32"/>
          <w:szCs w:val="32"/>
          <w:highlight w:val="none"/>
        </w:rPr>
      </w:pPr>
      <w:r>
        <w:rPr>
          <w:rStyle w:val="14"/>
          <w:rFonts w:hint="eastAsia" w:ascii="仿宋" w:hAnsi="仿宋" w:eastAsia="仿宋"/>
          <w:bCs/>
          <w:color w:val="auto"/>
          <w:sz w:val="32"/>
          <w:szCs w:val="32"/>
          <w:highlight w:val="none"/>
        </w:rPr>
        <w:t>社会保障和就业（类）其他社会保障和就业支出</w:t>
      </w:r>
      <w:r>
        <w:rPr>
          <w:rStyle w:val="14"/>
          <w:rFonts w:hint="eastAsia" w:ascii="仿宋" w:hAnsi="仿宋" w:eastAsia="仿宋"/>
          <w:bCs/>
          <w:color w:val="auto"/>
          <w:sz w:val="32"/>
          <w:szCs w:val="32"/>
          <w:highlight w:val="none"/>
          <w:lang w:eastAsia="zh-CN"/>
        </w:rPr>
        <w:t>（款）其他社会保障和就业支出：</w:t>
      </w:r>
      <w:r>
        <w:rPr>
          <w:rStyle w:val="14"/>
          <w:rFonts w:hint="eastAsia" w:ascii="仿宋" w:hAnsi="仿宋" w:eastAsia="仿宋"/>
          <w:b w:val="0"/>
          <w:bCs/>
          <w:color w:val="auto"/>
          <w:sz w:val="32"/>
          <w:szCs w:val="32"/>
          <w:highlight w:val="none"/>
        </w:rPr>
        <w:t>支出决算为0.81万元，完成预算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年一般公共预算财政拨款基本支出262.77万元，其中：</w:t>
      </w:r>
    </w:p>
    <w:p>
      <w:pPr>
        <w:spacing w:line="600" w:lineRule="exact"/>
        <w:ind w:firstLine="645"/>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人员经费228.38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34.39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rPr>
        <w:drawing>
          <wp:anchor distT="0" distB="0" distL="114300" distR="114300" simplePos="0" relativeHeight="251666432" behindDoc="0" locked="0" layoutInCell="1" allowOverlap="1">
            <wp:simplePos x="0" y="0"/>
            <wp:positionH relativeFrom="column">
              <wp:posOffset>167005</wp:posOffset>
            </wp:positionH>
            <wp:positionV relativeFrom="paragraph">
              <wp:posOffset>115570</wp:posOffset>
            </wp:positionV>
            <wp:extent cx="5073650" cy="2635250"/>
            <wp:effectExtent l="4445" t="4445" r="8255" b="82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（图7：“三公”经费财政拨款支出结构）（饼状图）</w:t>
      </w:r>
    </w:p>
    <w:p>
      <w:pPr>
        <w:numPr>
          <w:ilvl w:val="0"/>
          <w:numId w:val="5"/>
        </w:numPr>
        <w:spacing w:line="600" w:lineRule="exact"/>
        <w:ind w:firstLine="640"/>
        <w:rPr>
          <w:rFonts w:hint="eastAsia" w:ascii="仿宋" w:hAnsi="仿宋" w:eastAsia="仿宋"/>
          <w:color w:val="auto"/>
          <w:sz w:val="32"/>
          <w:szCs w:val="32"/>
          <w:highlight w:val="none"/>
          <w:lang w:val="en-US" w:eastAsia="zh-CN"/>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numPr>
          <w:ilvl w:val="0"/>
          <w:numId w:val="5"/>
        </w:numPr>
        <w:spacing w:line="600" w:lineRule="exact"/>
        <w:ind w:firstLine="640"/>
        <w:rPr>
          <w:rFonts w:hint="eastAsia" w:ascii="仿宋" w:hAnsi="仿宋" w:eastAsia="仿宋"/>
          <w:color w:val="auto"/>
          <w:sz w:val="32"/>
          <w:szCs w:val="32"/>
          <w:highlight w:val="none"/>
          <w:lang w:val="en-US"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numPr>
          <w:ilvl w:val="0"/>
          <w:numId w:val="5"/>
        </w:numPr>
        <w:spacing w:line="600" w:lineRule="exact"/>
        <w:ind w:firstLine="640"/>
        <w:rPr>
          <w:rFonts w:hint="eastAsia" w:ascii="仿宋" w:hAnsi="仿宋" w:eastAsia="仿宋"/>
          <w:color w:val="auto"/>
          <w:sz w:val="32"/>
          <w:szCs w:val="32"/>
          <w:highlight w:val="none"/>
          <w:lang w:val="en-US"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numPr>
          <w:ilvl w:val="0"/>
          <w:numId w:val="5"/>
        </w:num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numPr>
          <w:ilvl w:val="0"/>
          <w:numId w:val="5"/>
        </w:numPr>
        <w:spacing w:line="600" w:lineRule="exact"/>
        <w:ind w:firstLine="64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bookmarkStart w:id="40" w:name="_Toc15396610"/>
      <w:bookmarkStart w:id="41"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6"/>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拨款支出万元。</w:t>
      </w:r>
    </w:p>
    <w:p>
      <w:pPr>
        <w:numPr>
          <w:ilvl w:val="0"/>
          <w:numId w:val="6"/>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numPr>
          <w:ilvl w:val="0"/>
          <w:numId w:val="5"/>
        </w:num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广元市利州区范家小学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2021年持平。</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广元市利州区范家小学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广元市利州区范家小学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年度预算编制阶段，组织对义务教育补助作业本费配套项目（项目名称）等</w:t>
      </w:r>
      <w:r>
        <w:rPr>
          <w:rFonts w:hint="default"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个项目开展了预算事前绩效评估，对</w:t>
      </w:r>
      <w:r>
        <w:rPr>
          <w:rFonts w:hint="default"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default"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个项目开展绩效监控，组织对</w:t>
      </w:r>
      <w:r>
        <w:rPr>
          <w:rFonts w:hint="default"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7"/>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1" w:name="_Toc10569"/>
      <w:r>
        <w:rPr>
          <w:rFonts w:hint="eastAsia" w:ascii="仿宋_GB2312" w:eastAsia="仿宋_GB2312"/>
          <w:color w:val="auto"/>
          <w:sz w:val="32"/>
          <w:szCs w:val="32"/>
        </w:rPr>
        <w:t>9.教育支出（类）教育管理事务（款）行政运行（项）:反映教育行政单位（包括实行公务员管理的事业单位）的基本支出</w:t>
      </w:r>
      <w:bookmarkEnd w:id="51"/>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2" w:name="_Toc24102"/>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bookmarkEnd w:id="52"/>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3" w:name="_Toc5564"/>
      <w:r>
        <w:rPr>
          <w:rFonts w:hint="eastAsia" w:ascii="仿宋_GB2312" w:eastAsia="仿宋_GB2312"/>
          <w:color w:val="auto"/>
          <w:sz w:val="32"/>
          <w:szCs w:val="32"/>
        </w:rPr>
        <w:t>11. 教育支出（类）教育管理事务（款）其它教育管理事务支出（项）:反映除上述项目以外其它用户教育管理事务方面的支出。</w:t>
      </w:r>
      <w:bookmarkEnd w:id="53"/>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4" w:name="_Toc6630"/>
      <w:r>
        <w:rPr>
          <w:rFonts w:hint="eastAsia" w:ascii="仿宋_GB2312" w:eastAsia="仿宋_GB2312"/>
          <w:color w:val="auto"/>
          <w:sz w:val="32"/>
          <w:szCs w:val="32"/>
        </w:rPr>
        <w:t>12. 教育支出（类）普通教育（款）学前教育（项）:反映各部门举办的学前教育支出。</w:t>
      </w:r>
      <w:bookmarkEnd w:id="54"/>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5" w:name="_Toc17498"/>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bookmarkEnd w:id="55"/>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6" w:name="_Toc14616"/>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bookmarkEnd w:id="56"/>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7" w:name="_Toc29626"/>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bookmarkEnd w:id="57"/>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8" w:name="_Toc22957"/>
      <w:r>
        <w:rPr>
          <w:rFonts w:hint="eastAsia" w:ascii="仿宋_GB2312" w:eastAsia="仿宋_GB2312"/>
          <w:color w:val="auto"/>
          <w:sz w:val="32"/>
          <w:szCs w:val="32"/>
        </w:rPr>
        <w:t>16. 教育支出（类）普通教育（款）其它普通教育（项）: 反映除上述项目以外其他用于普通教育方面的支出。</w:t>
      </w:r>
      <w:bookmarkEnd w:id="58"/>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59" w:name="_Toc1278"/>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bookmarkEnd w:id="59"/>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0" w:name="_Toc20354"/>
      <w:r>
        <w:rPr>
          <w:rFonts w:hint="eastAsia" w:ascii="仿宋_GB2312" w:eastAsia="仿宋_GB2312"/>
          <w:color w:val="auto"/>
          <w:sz w:val="32"/>
          <w:szCs w:val="32"/>
        </w:rPr>
        <w:t>18. 教育</w:t>
      </w:r>
      <w:r>
        <w:rPr>
          <w:rFonts w:hint="eastAsia" w:ascii="仿宋_GB2312" w:eastAsia="仿宋_GB2312"/>
          <w:color w:val="auto"/>
          <w:spacing w:val="-6"/>
          <w:sz w:val="32"/>
          <w:szCs w:val="32"/>
        </w:rPr>
        <w:t>支出（类）职业教育（款）高等职业教育（项）:反映经国家批准设立的高等职业大学、专科职业教育等方面的</w:t>
      </w:r>
      <w:r>
        <w:rPr>
          <w:rFonts w:hint="eastAsia" w:ascii="仿宋_GB2312" w:eastAsia="仿宋_GB2312"/>
          <w:color w:val="auto"/>
          <w:sz w:val="32"/>
          <w:szCs w:val="32"/>
        </w:rPr>
        <w:t>支出。</w:t>
      </w:r>
      <w:bookmarkEnd w:id="60"/>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1" w:name="_Toc7873"/>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bookmarkEnd w:id="61"/>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2" w:name="_Toc10260"/>
      <w:r>
        <w:rPr>
          <w:rFonts w:hint="eastAsia" w:ascii="仿宋_GB2312" w:eastAsia="仿宋_GB2312"/>
          <w:color w:val="auto"/>
          <w:sz w:val="32"/>
          <w:szCs w:val="32"/>
        </w:rPr>
        <w:t>20. 教育支出（类）特殊教育（款）工读学校教育（项）:指各部门举办的工读学校的支出。</w:t>
      </w:r>
      <w:bookmarkEnd w:id="62"/>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3" w:name="_Toc23701"/>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bookmarkEnd w:id="63"/>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4" w:name="_Toc27795"/>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bookmarkEnd w:id="64"/>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5" w:name="_Toc5964"/>
      <w:r>
        <w:rPr>
          <w:rFonts w:hint="eastAsia" w:ascii="仿宋_GB2312" w:eastAsia="仿宋_GB2312"/>
          <w:color w:val="auto"/>
          <w:sz w:val="32"/>
          <w:szCs w:val="32"/>
        </w:rPr>
        <w:t>23. 教育支出（类）教育附加费安排的支出（款）其它教育附加费安排的支出（项）: 指除上述项目以外的教育附加费支出。</w:t>
      </w:r>
      <w:bookmarkEnd w:id="65"/>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6" w:name="_Toc7544"/>
      <w:r>
        <w:rPr>
          <w:rFonts w:hint="eastAsia" w:ascii="仿宋_GB2312" w:eastAsia="仿宋_GB2312"/>
          <w:color w:val="auto"/>
          <w:sz w:val="32"/>
          <w:szCs w:val="32"/>
        </w:rPr>
        <w:t>24. 教育支出（类）其它教育支出（款）其他教育支出（项）: 指上述项目以外其他用于教育方面的支出。</w:t>
      </w:r>
      <w:bookmarkEnd w:id="66"/>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7" w:name="_Toc29852"/>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bookmarkEnd w:id="67"/>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8" w:name="_Toc31779"/>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bookmarkEnd w:id="68"/>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69" w:name="_Toc8423"/>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bookmarkEnd w:id="69"/>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70" w:name="_Toc6659"/>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bookmarkEnd w:id="70"/>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71" w:name="_Toc27685"/>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bookmarkEnd w:id="71"/>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72" w:name="_Toc8785"/>
      <w:r>
        <w:rPr>
          <w:rFonts w:hint="eastAsia" w:ascii="仿宋_GB2312" w:eastAsia="仿宋_GB2312"/>
          <w:color w:val="auto"/>
          <w:sz w:val="32"/>
          <w:szCs w:val="32"/>
        </w:rPr>
        <w:t>30. 农林水支出（类）扶贫（款）其它扶贫支出（项）: 指除上述项目以外其他用于扶贫方面的支出。</w:t>
      </w:r>
      <w:bookmarkEnd w:id="72"/>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73" w:name="_Toc2884"/>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bookmarkEnd w:id="73"/>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bookmarkStart w:id="74" w:name="_Toc14962"/>
      <w:r>
        <w:rPr>
          <w:rFonts w:hint="eastAsia" w:ascii="仿宋_GB2312" w:eastAsia="仿宋_GB2312"/>
          <w:color w:val="auto"/>
          <w:sz w:val="32"/>
          <w:szCs w:val="32"/>
        </w:rPr>
        <w:t>32. 其他支出（类）其他支出（款）其他支出（项）: 指上述项目以外其他不能划分到具体功能科目中的支出项目。</w:t>
      </w:r>
      <w:bookmarkEnd w:id="74"/>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spacing w:line="600" w:lineRule="exact"/>
        <w:jc w:val="center"/>
        <w:outlineLvl w:val="0"/>
        <w:rPr>
          <w:rStyle w:val="24"/>
          <w:rFonts w:ascii="黑体" w:hAnsi="黑体" w:eastAsia="黑体"/>
          <w:b w:val="0"/>
          <w:color w:val="auto"/>
          <w:highlight w:val="none"/>
        </w:rPr>
      </w:pPr>
      <w:bookmarkStart w:id="75" w:name="_Toc15377226"/>
      <w:r>
        <w:rPr>
          <w:rFonts w:ascii="宋体"/>
          <w:b/>
          <w:color w:val="auto"/>
          <w:sz w:val="44"/>
          <w:szCs w:val="44"/>
          <w:highlight w:val="none"/>
        </w:rPr>
        <w:br w:type="page"/>
      </w:r>
    </w:p>
    <w:p>
      <w:pPr>
        <w:numPr>
          <w:ilvl w:val="0"/>
          <w:numId w:val="7"/>
        </w:numPr>
        <w:spacing w:line="600" w:lineRule="exact"/>
        <w:ind w:left="0" w:leftChars="0" w:firstLine="0" w:firstLineChars="0"/>
        <w:jc w:val="center"/>
        <w:outlineLvl w:val="0"/>
        <w:rPr>
          <w:rStyle w:val="24"/>
          <w:rFonts w:hint="eastAsia" w:ascii="黑体" w:hAnsi="黑体" w:eastAsia="黑体"/>
          <w:b w:val="0"/>
          <w:color w:val="auto"/>
          <w:highlight w:val="none"/>
        </w:rPr>
      </w:pPr>
      <w:bookmarkStart w:id="76" w:name="_Toc5678"/>
      <w:bookmarkStart w:id="77" w:name="_Toc15396618"/>
      <w:r>
        <w:rPr>
          <w:rStyle w:val="24"/>
          <w:rFonts w:hint="eastAsia" w:ascii="黑体" w:hAnsi="黑体" w:eastAsia="黑体"/>
          <w:b w:val="0"/>
          <w:color w:val="auto"/>
          <w:highlight w:val="none"/>
        </w:rPr>
        <w:t>附件</w:t>
      </w:r>
      <w:bookmarkEnd w:id="76"/>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部门预算项目支出绩效自评表（2022年度）</w:t>
      </w: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pStyle w:val="2"/>
        <w:numPr>
          <w:ilvl w:val="0"/>
          <w:numId w:val="0"/>
        </w:numPr>
        <w:outlineLvl w:val="1"/>
        <w:rPr>
          <w:rFonts w:hint="eastAsia" w:ascii="仿宋" w:hAnsi="仿宋" w:eastAsia="仿宋" w:cs="仿宋_GB2312"/>
          <w:b w:val="0"/>
          <w:bCs w:val="0"/>
          <w:color w:val="auto"/>
          <w:sz w:val="32"/>
          <w:szCs w:val="32"/>
          <w:lang w:val="en-US" w:eastAsia="zh-CN"/>
        </w:rPr>
      </w:pPr>
    </w:p>
    <w:p>
      <w:pPr>
        <w:spacing w:line="600" w:lineRule="exact"/>
        <w:jc w:val="both"/>
        <w:outlineLvl w:val="1"/>
        <w:rPr>
          <w:rFonts w:hint="eastAsia" w:ascii="仿宋" w:hAnsi="仿宋" w:eastAsia="仿宋" w:cs="仿宋"/>
          <w:color w:val="auto"/>
          <w:sz w:val="32"/>
          <w:szCs w:val="32"/>
          <w:highlight w:val="none"/>
          <w:lang w:val="en-US" w:eastAsia="zh-CN"/>
        </w:rPr>
      </w:pPr>
    </w:p>
    <w:p>
      <w:pPr>
        <w:spacing w:line="600" w:lineRule="exact"/>
        <w:jc w:val="both"/>
        <w:outlineLvl w:val="1"/>
        <w:rPr>
          <w:rFonts w:hint="eastAsia" w:ascii="仿宋" w:hAnsi="仿宋" w:eastAsia="仿宋" w:cs="仿宋"/>
          <w:color w:val="auto"/>
          <w:sz w:val="32"/>
          <w:szCs w:val="32"/>
          <w:highlight w:val="none"/>
          <w:lang w:val="en-US" w:eastAsia="zh-CN"/>
        </w:rPr>
      </w:pPr>
    </w:p>
    <w:p>
      <w:pPr>
        <w:spacing w:line="600" w:lineRule="exact"/>
        <w:jc w:val="both"/>
        <w:outlineLvl w:val="1"/>
        <w:rPr>
          <w:rFonts w:hint="eastAsia" w:ascii="仿宋" w:hAnsi="仿宋" w:eastAsia="仿宋" w:cs="仿宋"/>
          <w:color w:val="auto"/>
          <w:sz w:val="32"/>
          <w:szCs w:val="32"/>
          <w:highlight w:val="none"/>
          <w:lang w:val="en-US" w:eastAsia="zh-CN"/>
        </w:rPr>
      </w:pPr>
    </w:p>
    <w:p>
      <w:pPr>
        <w:spacing w:line="600" w:lineRule="exact"/>
        <w:jc w:val="both"/>
        <w:outlineLvl w:val="1"/>
        <w:rPr>
          <w:rFonts w:hint="eastAsia" w:ascii="仿宋" w:hAnsi="仿宋" w:eastAsia="仿宋" w:cs="仿宋"/>
          <w:color w:val="auto"/>
          <w:sz w:val="32"/>
          <w:szCs w:val="32"/>
          <w:highlight w:val="none"/>
          <w:lang w:val="en-US" w:eastAsia="zh-CN"/>
        </w:rPr>
      </w:pPr>
    </w:p>
    <w:p>
      <w:pPr>
        <w:spacing w:line="600" w:lineRule="exact"/>
        <w:jc w:val="both"/>
        <w:outlineLvl w:val="1"/>
        <w:rPr>
          <w:rFonts w:hint="eastAsia" w:ascii="仿宋" w:hAnsi="仿宋" w:eastAsia="仿宋" w:cs="仿宋"/>
          <w:color w:val="auto"/>
          <w:sz w:val="32"/>
          <w:szCs w:val="32"/>
          <w:highlight w:val="none"/>
          <w:lang w:val="en-US" w:eastAsia="zh-CN"/>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75"/>
      <w:bookmarkEnd w:id="77"/>
      <w:bookmarkStart w:id="78"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78"/>
    </w:p>
    <w:p>
      <w:pPr>
        <w:pStyle w:val="4"/>
        <w:rPr>
          <w:rFonts w:ascii="仿宋" w:hAnsi="仿宋" w:eastAsia="仿宋"/>
          <w:color w:val="auto"/>
          <w:highlight w:val="none"/>
        </w:rPr>
      </w:pPr>
      <w:bookmarkStart w:id="79"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79"/>
    </w:p>
    <w:p>
      <w:pPr>
        <w:pStyle w:val="4"/>
        <w:rPr>
          <w:rFonts w:ascii="仿宋" w:hAnsi="仿宋" w:eastAsia="仿宋"/>
          <w:color w:val="auto"/>
          <w:highlight w:val="none"/>
        </w:rPr>
      </w:pPr>
      <w:bookmarkStart w:id="80"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80"/>
    </w:p>
    <w:p>
      <w:pPr>
        <w:pStyle w:val="4"/>
        <w:rPr>
          <w:rFonts w:ascii="仿宋" w:hAnsi="仿宋" w:eastAsia="仿宋"/>
          <w:b w:val="0"/>
          <w:color w:val="auto"/>
          <w:highlight w:val="none"/>
        </w:rPr>
      </w:pPr>
      <w:bookmarkStart w:id="81"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81"/>
    </w:p>
    <w:p>
      <w:pPr>
        <w:pStyle w:val="4"/>
        <w:rPr>
          <w:rStyle w:val="25"/>
          <w:rFonts w:ascii="仿宋" w:hAnsi="仿宋" w:eastAsia="仿宋"/>
          <w:b w:val="0"/>
          <w:bCs w:val="0"/>
          <w:color w:val="auto"/>
          <w:highlight w:val="none"/>
        </w:rPr>
      </w:pPr>
      <w:bookmarkStart w:id="82"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82"/>
      <w:bookmarkStart w:id="83"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83"/>
    </w:p>
    <w:p>
      <w:pPr>
        <w:pStyle w:val="4"/>
        <w:rPr>
          <w:rFonts w:ascii="仿宋" w:hAnsi="仿宋" w:eastAsia="仿宋"/>
          <w:color w:val="auto"/>
          <w:highlight w:val="none"/>
        </w:rPr>
      </w:pPr>
      <w:bookmarkStart w:id="84"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84"/>
    </w:p>
    <w:p>
      <w:pPr>
        <w:pStyle w:val="4"/>
        <w:rPr>
          <w:rFonts w:ascii="仿宋" w:hAnsi="仿宋" w:eastAsia="仿宋"/>
          <w:color w:val="auto"/>
          <w:highlight w:val="none"/>
        </w:rPr>
      </w:pPr>
      <w:bookmarkStart w:id="85"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85"/>
    </w:p>
    <w:p>
      <w:pPr>
        <w:pStyle w:val="4"/>
        <w:rPr>
          <w:rFonts w:ascii="仿宋" w:hAnsi="仿宋" w:eastAsia="仿宋"/>
          <w:color w:val="auto"/>
          <w:highlight w:val="none"/>
        </w:rPr>
      </w:pPr>
      <w:bookmarkStart w:id="86"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86"/>
    </w:p>
    <w:p>
      <w:pPr>
        <w:pStyle w:val="4"/>
        <w:rPr>
          <w:rFonts w:ascii="仿宋" w:hAnsi="仿宋" w:eastAsia="仿宋"/>
          <w:color w:val="auto"/>
          <w:highlight w:val="none"/>
        </w:rPr>
      </w:pPr>
      <w:bookmarkStart w:id="87" w:name="_Toc15396628"/>
      <w:r>
        <w:rPr>
          <w:rStyle w:val="25"/>
          <w:rFonts w:hint="eastAsia" w:ascii="仿宋" w:hAnsi="仿宋" w:eastAsia="仿宋"/>
          <w:b w:val="0"/>
          <w:bCs w:val="0"/>
          <w:color w:val="auto"/>
          <w:highlight w:val="none"/>
        </w:rPr>
        <w:t>十、</w:t>
      </w:r>
      <w:bookmarkEnd w:id="87"/>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88" w:name="_Toc15396629"/>
      <w:r>
        <w:rPr>
          <w:rStyle w:val="25"/>
          <w:rFonts w:hint="eastAsia" w:ascii="仿宋" w:hAnsi="仿宋" w:eastAsia="仿宋"/>
          <w:b w:val="0"/>
          <w:bCs w:val="0"/>
          <w:color w:val="auto"/>
          <w:highlight w:val="none"/>
        </w:rPr>
        <w:t>十一、</w:t>
      </w:r>
      <w:bookmarkEnd w:id="88"/>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89" w:name="_Toc15396630"/>
      <w:r>
        <w:rPr>
          <w:rStyle w:val="25"/>
          <w:rFonts w:hint="eastAsia" w:ascii="仿宋" w:hAnsi="仿宋" w:eastAsia="仿宋"/>
          <w:b w:val="0"/>
          <w:bCs w:val="0"/>
          <w:color w:val="auto"/>
          <w:highlight w:val="none"/>
        </w:rPr>
        <w:t>十二、</w:t>
      </w:r>
      <w:bookmarkEnd w:id="89"/>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90" w:name="_Toc15396631"/>
      <w:r>
        <w:rPr>
          <w:rStyle w:val="25"/>
          <w:rFonts w:hint="eastAsia" w:ascii="仿宋" w:hAnsi="仿宋" w:eastAsia="仿宋"/>
          <w:b w:val="0"/>
          <w:bCs w:val="0"/>
          <w:color w:val="auto"/>
          <w:highlight w:val="none"/>
        </w:rPr>
        <w:t>十三、</w:t>
      </w:r>
      <w:bookmarkEnd w:id="90"/>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946C"/>
    <w:multiLevelType w:val="singleLevel"/>
    <w:tmpl w:val="9DF6946C"/>
    <w:lvl w:ilvl="0" w:tentative="0">
      <w:start w:val="7"/>
      <w:numFmt w:val="decimal"/>
      <w:suff w:val="space"/>
      <w:lvlText w:val="%1、"/>
      <w:lvlJc w:val="left"/>
    </w:lvl>
  </w:abstractNum>
  <w:abstractNum w:abstractNumId="1">
    <w:nsid w:val="A4E9D72B"/>
    <w:multiLevelType w:val="singleLevel"/>
    <w:tmpl w:val="A4E9D72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0B2165D6"/>
    <w:multiLevelType w:val="singleLevel"/>
    <w:tmpl w:val="0B2165D6"/>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818A09A"/>
    <w:multiLevelType w:val="singleLevel"/>
    <w:tmpl w:val="3818A09A"/>
    <w:lvl w:ilvl="0" w:tentative="0">
      <w:start w:val="1"/>
      <w:numFmt w:val="chineseCounting"/>
      <w:suff w:val="nothing"/>
      <w:lvlText w:val="%1、"/>
      <w:lvlJc w:val="left"/>
      <w:rPr>
        <w:rFonts w:hint="eastAsia"/>
      </w:r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975A2F"/>
    <w:rsid w:val="053A62B5"/>
    <w:rsid w:val="08D174D7"/>
    <w:rsid w:val="0A2032A3"/>
    <w:rsid w:val="0B8A37D8"/>
    <w:rsid w:val="0F706E1A"/>
    <w:rsid w:val="10C055FF"/>
    <w:rsid w:val="11357601"/>
    <w:rsid w:val="118107EC"/>
    <w:rsid w:val="11DD6519"/>
    <w:rsid w:val="144D474C"/>
    <w:rsid w:val="146047E7"/>
    <w:rsid w:val="16354656"/>
    <w:rsid w:val="168915D1"/>
    <w:rsid w:val="16BB723D"/>
    <w:rsid w:val="18015F3F"/>
    <w:rsid w:val="18E41566"/>
    <w:rsid w:val="195C5947"/>
    <w:rsid w:val="1BE8440E"/>
    <w:rsid w:val="1D155CEE"/>
    <w:rsid w:val="20F57F95"/>
    <w:rsid w:val="22B6799C"/>
    <w:rsid w:val="240371BF"/>
    <w:rsid w:val="25711CC6"/>
    <w:rsid w:val="25C741E6"/>
    <w:rsid w:val="266973E3"/>
    <w:rsid w:val="27842671"/>
    <w:rsid w:val="287405B8"/>
    <w:rsid w:val="29FD04D3"/>
    <w:rsid w:val="2ABE7A3E"/>
    <w:rsid w:val="2CA234A8"/>
    <w:rsid w:val="2D8403C2"/>
    <w:rsid w:val="2EFA178C"/>
    <w:rsid w:val="2F1A24F4"/>
    <w:rsid w:val="2F4139BC"/>
    <w:rsid w:val="30B46D73"/>
    <w:rsid w:val="319F7F4E"/>
    <w:rsid w:val="383D272C"/>
    <w:rsid w:val="396A131E"/>
    <w:rsid w:val="39AE70AB"/>
    <w:rsid w:val="3C0C0783"/>
    <w:rsid w:val="3C6A0FC2"/>
    <w:rsid w:val="3E071EFA"/>
    <w:rsid w:val="3F2D3BBC"/>
    <w:rsid w:val="3F9F3A96"/>
    <w:rsid w:val="41F320F5"/>
    <w:rsid w:val="43DA27BE"/>
    <w:rsid w:val="48BF60AB"/>
    <w:rsid w:val="493C27E9"/>
    <w:rsid w:val="496F39ED"/>
    <w:rsid w:val="49FF41D3"/>
    <w:rsid w:val="4BE068DB"/>
    <w:rsid w:val="4BF6002B"/>
    <w:rsid w:val="4D25715D"/>
    <w:rsid w:val="4E8605FF"/>
    <w:rsid w:val="4ECE2238"/>
    <w:rsid w:val="4F3A75B6"/>
    <w:rsid w:val="51DB4B86"/>
    <w:rsid w:val="55333C3E"/>
    <w:rsid w:val="5BC326E1"/>
    <w:rsid w:val="5E845B4F"/>
    <w:rsid w:val="5F95691A"/>
    <w:rsid w:val="64CA39A1"/>
    <w:rsid w:val="683A7916"/>
    <w:rsid w:val="69630ADE"/>
    <w:rsid w:val="6C4A05C8"/>
    <w:rsid w:val="6D3B1A89"/>
    <w:rsid w:val="6EBD47C0"/>
    <w:rsid w:val="70E87EA3"/>
    <w:rsid w:val="715A22A3"/>
    <w:rsid w:val="71BF4EC2"/>
    <w:rsid w:val="72734D90"/>
    <w:rsid w:val="7412278C"/>
    <w:rsid w:val="74293C17"/>
    <w:rsid w:val="74E97204"/>
    <w:rsid w:val="75662541"/>
    <w:rsid w:val="79E7B28D"/>
    <w:rsid w:val="7B232549"/>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31180564033696"/>
          <c:y val="0.0700412007062978"/>
          <c:w val="0.911854474423147"/>
          <c:h val="0.79576221306651"/>
        </c:manualLayout>
      </c:layout>
      <c:barChart>
        <c:barDir val="col"/>
        <c:grouping val="clustered"/>
        <c:varyColors val="0"/>
        <c:ser>
          <c:idx val="0"/>
          <c:order val="0"/>
          <c:tx>
            <c:strRef>
              <c:f>Sheet1!$B$1</c:f>
              <c:strCache>
                <c:ptCount val="1"/>
                <c:pt idx="0">
                  <c:v>总收入</c:v>
                </c:pt>
              </c:strCache>
            </c:strRef>
          </c:tx>
          <c:invertIfNegative val="0"/>
          <c:dLbls>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404.64</c:v>
                </c:pt>
                <c:pt idx="1">
                  <c:v>374.83</c:v>
                </c:pt>
              </c:numCache>
            </c:numRef>
          </c:val>
        </c:ser>
        <c:ser>
          <c:idx val="1"/>
          <c:order val="1"/>
          <c:tx>
            <c:strRef>
              <c:f>Sheet1!$C$1</c:f>
              <c:strCache>
                <c:ptCount val="1"/>
                <c:pt idx="0">
                  <c:v>总支出</c:v>
                </c:pt>
              </c:strCache>
            </c:strRef>
          </c:tx>
          <c:invertIfNegative val="0"/>
          <c:dLbls>
            <c:dLbl>
              <c:idx val="0"/>
              <c:layout>
                <c:manualLayout>
                  <c:x val="0.0054938346966182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32511292882432"/>
                  <c:y val="-0.01324308416715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322.99</c:v>
                </c:pt>
                <c:pt idx="1">
                  <c:v>374.83</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250021189321768"/>
                  <c:y val="-0.092879256965944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dLbl>
              <c:idx val="3"/>
              <c:delete val="1"/>
            </c:dLbl>
            <c:dLbl>
              <c:idx val="4"/>
              <c:delete val="1"/>
            </c:dLbl>
            <c:dLbl>
              <c:idx val="5"/>
              <c:delete val="1"/>
            </c:dLbl>
            <c:dLbl>
              <c:idx val="6"/>
              <c:layout>
                <c:manualLayout>
                  <c:x val="0.0198651577173128"/>
                  <c:y val="-0.016066050227676"/>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9323380688659"/>
                      <c:h val="0.1118679050567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271.99</c:v>
                </c:pt>
                <c:pt idx="1">
                  <c:v>0</c:v>
                </c:pt>
                <c:pt idx="2">
                  <c:v>0</c:v>
                </c:pt>
                <c:pt idx="3">
                  <c:v>0.98</c:v>
                </c:pt>
                <c:pt idx="4">
                  <c:v>0</c:v>
                </c:pt>
                <c:pt idx="5">
                  <c:v>0</c:v>
                </c:pt>
                <c:pt idx="6">
                  <c:v>0.21</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7950878882735"/>
          <c:y val="0.098864809081527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263.96</c:v>
                </c:pt>
                <c:pt idx="1">
                  <c:v>110.87</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746107073721492"/>
          <c:y val="0.0664706694944866"/>
          <c:w val="0.898902415671434"/>
          <c:h val="0.847475195631506"/>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tx>
                <c:rich>
                  <a:bodyPr rot="0" spcFirstLastPara="0" vertOverflow="ellipsis" vert="horz" wrap="square" lIns="38100" tIns="19050" rIns="38100" bIns="19050" anchor="ctr" anchorCtr="1"/>
                  <a:lstStyle/>
                  <a:p>
                    <a:fld id="{dc6548f2-c341-4ec9-8d46-b99e3089607a}" type="SERIESNAME">
                      <a:t>[SERIES NAME]</a:t>
                    </a:fld>
                    <a:r>
                      <a:t>,</a:t>
                    </a:r>
                    <a:fld id="{ba34da67-b63c-4924-9e80-486df04e6d8b}" type="VALUE">
                      <a:t>[VALUE]</a:t>
                    </a:fld>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2021年</c:v>
                </c:pt>
              </c:strCache>
            </c:strRef>
          </c:cat>
          <c:val>
            <c:numRef>
              <c:f>Sheet1!$B$2:$B$3</c:f>
              <c:numCache>
                <c:formatCode>General</c:formatCode>
                <c:ptCount val="2"/>
                <c:pt idx="0">
                  <c:v>373.64</c:v>
                </c:pt>
                <c:pt idx="1">
                  <c:v>337.34</c:v>
                </c:pt>
              </c:numCache>
            </c:numRef>
          </c:val>
        </c:ser>
        <c:ser>
          <c:idx val="1"/>
          <c:order val="1"/>
          <c:tx>
            <c:strRef>
              <c:f>Sheet1!$C$1</c:f>
              <c:strCache>
                <c:ptCount val="1"/>
                <c:pt idx="0">
                  <c:v>财政拨款支出</c:v>
                </c:pt>
              </c:strCache>
            </c:strRef>
          </c:tx>
          <c:invertIfNegative val="0"/>
          <c:dLbls>
            <c:dLbl>
              <c:idx val="0"/>
              <c:layout>
                <c:manualLayout>
                  <c:x val="0.0168414446629038"/>
                  <c:y val="0"/>
                </c:manualLayout>
              </c:layout>
              <c:tx>
                <c:rich>
                  <a:bodyPr rot="0" spcFirstLastPara="0" vertOverflow="ellipsis" vert="horz" wrap="square" lIns="38100" tIns="19050" rIns="38100" bIns="19050" anchor="ctr" anchorCtr="1"/>
                  <a:lstStyle/>
                  <a:p>
                    <a:fld id="{890fccdf-67ea-4ab3-acad-39ffb55eb62b}" type="SERIESNAME">
                      <a:t>[SERIES NAME]</a:t>
                    </a:fld>
                    <a:r>
                      <a:t>,</a:t>
                    </a:r>
                    <a:fld id="{06a407bb-1b35-4e91-87ed-983118e3ef41}" type="VALUE">
                      <a:t>[VALUE]</a:t>
                    </a:fld>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2021年</c:v>
                </c:pt>
              </c:strCache>
            </c:strRef>
          </c:cat>
          <c:val>
            <c:numRef>
              <c:f>Sheet1!$C$2:$C$3</c:f>
              <c:numCache>
                <c:formatCode>General</c:formatCode>
                <c:ptCount val="2"/>
                <c:pt idx="0">
                  <c:v>373.64</c:v>
                </c:pt>
                <c:pt idx="1">
                  <c:v>320.91</c:v>
                </c:pt>
              </c:numCache>
            </c:numRef>
          </c:val>
        </c:ser>
        <c:dLbls>
          <c:showLegendKey val="0"/>
          <c:showVal val="0"/>
          <c:showCatName val="0"/>
          <c:showSerName val="0"/>
          <c:showPercent val="0"/>
          <c:showBubbleSize val="0"/>
        </c:dLbls>
        <c:gapWidth val="150"/>
        <c:axId val="540278552"/>
        <c:axId val="534898144"/>
      </c:barChart>
      <c:catAx>
        <c:axId val="540278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534898144"/>
        <c:crosses val="autoZero"/>
        <c:auto val="1"/>
        <c:lblAlgn val="ctr"/>
        <c:lblOffset val="100"/>
        <c:noMultiLvlLbl val="0"/>
      </c:catAx>
      <c:valAx>
        <c:axId val="53489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540278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8347087668939"/>
          <c:y val="0.164217487141808"/>
          <c:w val="0.817844755412032"/>
          <c:h val="0.668258633357825"/>
        </c:manualLayout>
      </c:layout>
      <c:barChart>
        <c:barDir val="col"/>
        <c:grouping val="clustered"/>
        <c:varyColors val="0"/>
        <c:ser>
          <c:idx val="2"/>
          <c:order val="2"/>
          <c:tx>
            <c:strRef>
              <c:f>Sheet1!$B$1</c:f>
              <c:strCache>
                <c:ptCount val="1"/>
                <c:pt idx="0">
                  <c:v>一般公共预算财政拨款支出（万元）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320.91</c:v>
                </c:pt>
                <c:pt idx="1">
                  <c:v>373.64</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0761870589642392"/>
          <c:y val="0.0110213078618663"/>
          <c:w val="0.41430450903002"/>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住房保障支出</c:v>
                </c:pt>
              </c:strCache>
            </c:strRef>
          </c:cat>
          <c:val>
            <c:numRef>
              <c:f>Sheet1!$B$2:$B$4</c:f>
              <c:numCache>
                <c:formatCode>General</c:formatCode>
                <c:ptCount val="3"/>
                <c:pt idx="0">
                  <c:v>343.17</c:v>
                </c:pt>
                <c:pt idx="1">
                  <c:v>17.76</c:v>
                </c:pt>
                <c:pt idx="2">
                  <c:v>12.71</c:v>
                </c:pt>
              </c:numCache>
            </c:numRef>
          </c:val>
        </c:ser>
        <c:ser>
          <c:idx val="1"/>
          <c:order val="1"/>
          <c:tx>
            <c:strRef>
              <c:f>Sheet1!$C$1</c:f>
              <c:strCache>
                <c:ptCount val="1"/>
                <c:pt idx="0">
                  <c:v/>
                </c:pt>
              </c:strCache>
            </c:strRef>
          </c:tx>
          <c:explosion val="0"/>
          <c:dPt>
            <c:idx val="0"/>
            <c:bubble3D val="0"/>
          </c:dPt>
          <c:dPt>
            <c:idx val="1"/>
            <c:bubble3D val="0"/>
          </c:dPt>
          <c:dPt>
            <c:idx val="2"/>
            <c:bubble3D val="0"/>
          </c:dPt>
          <c:dLbls>
            <c:delete val="1"/>
          </c:dLbls>
          <c:cat>
            <c:strRef>
              <c:f>Sheet1!$A$2:$A$4</c:f>
              <c:strCache>
                <c:ptCount val="3"/>
                <c:pt idx="0">
                  <c:v>教育支出</c:v>
                </c:pt>
                <c:pt idx="1">
                  <c:v>社会保障和就业支出</c:v>
                </c:pt>
                <c:pt idx="2">
                  <c:v>住房保障支出</c:v>
                </c:pt>
              </c:strCache>
            </c:strRef>
          </c:cat>
          <c:val>
            <c:numRef>
              <c:f>Sheet1!$C$2:$C$4</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“三公”经费财政拨款支出（万元）</c:v>
                </c:pt>
              </c:strCache>
            </c:strRef>
          </c:tx>
          <c:spPr>
            <a:pattFill prst="pct30">
              <a:fgClr>
                <a:srgbClr val="FF0000"/>
              </a:fgClr>
              <a:bgClr>
                <a:srgbClr val="4F81BD">
                  <a:lumMod val="20000"/>
                  <a:lumOff val="80000"/>
                </a:srgbClr>
              </a:bgClr>
            </a:pattFill>
          </c:spPr>
          <c:explosion val="0"/>
          <c:dPt>
            <c:idx val="0"/>
            <c:bubble3D val="0"/>
            <c:spPr>
              <a:pattFill prst="pct30">
                <a:fgClr>
                  <a:srgbClr val="FF0000"/>
                </a:fgClr>
                <a:bgClr>
                  <a:srgbClr val="4F81BD">
                    <a:lumMod val="20000"/>
                    <a:lumOff val="80000"/>
                  </a:srgbClr>
                </a:bgClr>
              </a:pattFill>
              <a:ln w="19050">
                <a:solidFill>
                  <a:sysClr val="window" lastClr="FFFFFF"/>
                </a:solidFill>
              </a:ln>
              <a:effectLst>
                <a:innerShdw blurRad="114300">
                  <a:srgbClr val="4F81BD"/>
                </a:innerShdw>
              </a:effectLst>
            </c:spPr>
          </c:dPt>
          <c:dPt>
            <c:idx val="1"/>
            <c:bubble3D val="0"/>
            <c:spPr>
              <a:pattFill prst="pct30">
                <a:fgClr>
                  <a:srgbClr val="FF0000"/>
                </a:fgClr>
                <a:bgClr>
                  <a:srgbClr val="4F81BD">
                    <a:lumMod val="20000"/>
                    <a:lumOff val="80000"/>
                  </a:srgbClr>
                </a:bgClr>
              </a:pattFill>
              <a:ln w="19050">
                <a:solidFill>
                  <a:sysClr val="window" lastClr="FFFFFF"/>
                </a:solidFill>
              </a:ln>
              <a:effectLst>
                <a:innerShdw blurRad="114300">
                  <a:srgbClr val="C0504D"/>
                </a:innerShdw>
              </a:effectLst>
            </c:spPr>
          </c:dPt>
          <c:dPt>
            <c:idx val="2"/>
            <c:bubble3D val="0"/>
            <c:spPr>
              <a:solidFill>
                <a:srgbClr val="8064A2">
                  <a:lumMod val="60000"/>
                  <a:lumOff val="40000"/>
                </a:srgbClr>
              </a:solidFill>
              <a:ln w="19050">
                <a:solidFill>
                  <a:sysClr val="window" lastClr="FFFFFF"/>
                </a:solidFill>
              </a:ln>
              <a:effectLst>
                <a:innerShdw blurRad="114300">
                  <a:srgbClr val="9BBB59"/>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4"/>
                  <c:y val="0.09759036144578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ltUpDiag">
        <a:fgClr>
          <a:schemeClr val="phClr"/>
        </a:fgClr>
        <a:bgClr>
          <a:schemeClr val="phClr">
            <a:lumMod val="20000"/>
            <a:lumOff val="80000"/>
          </a:schemeClr>
        </a:bgClr>
      </a:pattFill>
      <a:ln w="19050">
        <a:solidFill>
          <a:sysClr val="window" lastClr="FFFFFF"/>
        </a:solidFill>
      </a:ln>
      <a:effectLst>
        <a:innerShdw blurRad="114300">
          <a:schemeClr val="phClr"/>
        </a:innerShdw>
      </a:effectLst>
    </cs:spPr>
  </cs:dataPoint>
  <cs:dataPoint3D>
    <cs:lnRef idx="0"/>
    <cs:fillRef idx="0">
      <cs:styleClr val="auto"/>
    </cs:fillRef>
    <cs:effectRef idx="0"/>
    <cs:fontRef idx="minor">
      <a:sysClr val="windowText" lastClr="000000"/>
    </cs:fontRef>
    <cs:spPr>
      <a:pattFill prst="ltUpDiag">
        <a:fgClr>
          <a:schemeClr val="phClr"/>
        </a:fgClr>
        <a:bgClr>
          <a:schemeClr val="phClr">
            <a:lumMod val="20000"/>
            <a:lumOff val="80000"/>
          </a:schemeClr>
        </a:bgClr>
      </a:pattFill>
      <a:ln w="19050">
        <a:solidFill>
          <a:sysClr val="window" lastClr="FFFFFF"/>
        </a:solidFill>
      </a:ln>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a:ln w="9525">
        <a:solidFill>
          <a:sysClr val="window" lastClr="FFFFFF"/>
        </a:solidFill>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42</Pages>
  <Words>13709</Words>
  <Characters>14490</Characters>
  <Lines>61</Lines>
  <Paragraphs>17</Paragraphs>
  <TotalTime>0</TotalTime>
  <ScaleCrop>false</ScaleCrop>
  <LinksUpToDate>false</LinksUpToDate>
  <CharactersWithSpaces>14595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2023-07-31T02:35:00Z</cp:lastPrinted>
  <dcterms:modified xsi:type="dcterms:W3CDTF">2023-10-15T06:22:33Z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9C7A1D92FAA9463DA68CD570131BA42D_12</vt:lpwstr>
  </property>
</Properties>
</file>