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7425"/>
      <w:bookmarkStart w:id="4" w:name="_Toc15378441"/>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7426"/>
      <w:bookmarkStart w:id="9" w:name="_Toc15378442"/>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广元市宝轮中学</w:t>
      </w:r>
    </w:p>
    <w:p>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公开时间：2023年10月15日</w:t>
      </w:r>
    </w:p>
    <w:p>
      <w:pPr>
        <w:pStyle w:val="11"/>
        <w:adjustRightInd w:val="0"/>
        <w:spacing w:before="0" w:line="540" w:lineRule="exact"/>
        <w:ind w:firstLine="560" w:firstLineChars="200"/>
        <w:jc w:val="left"/>
        <w:rPr>
          <w:rFonts w:ascii="黑体" w:hAnsi="黑体" w:eastAsia="黑体" w:cs="黑体"/>
        </w:rPr>
      </w:pPr>
      <w:r>
        <w:rPr>
          <w:rFonts w:hint="eastAsia" w:ascii="黑体" w:hAnsi="黑体" w:eastAsia="黑体" w:cs="黑体"/>
        </w:rPr>
        <w:t>第一部分 部门概况</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职能简介</w:t>
      </w:r>
    </w:p>
    <w:p>
      <w:pPr>
        <w:pStyle w:val="12"/>
        <w:tabs>
          <w:tab w:val="right" w:leader="dot" w:pos="8222"/>
          <w:tab w:val="clear" w:pos="8296"/>
        </w:tabs>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二、机构设置</w:t>
      </w:r>
    </w:p>
    <w:p>
      <w:pPr>
        <w:pStyle w:val="11"/>
        <w:adjustRightInd w:val="0"/>
        <w:spacing w:before="0" w:line="540" w:lineRule="exact"/>
        <w:ind w:firstLine="560" w:firstLineChars="200"/>
        <w:jc w:val="left"/>
        <w:rPr>
          <w:rFonts w:ascii="黑体" w:hAnsi="黑体" w:eastAsia="黑体" w:cs="黑体"/>
        </w:rPr>
      </w:pPr>
      <w:r>
        <w:rPr>
          <w:rFonts w:hint="eastAsia" w:ascii="黑体" w:hAnsi="黑体" w:eastAsia="黑体" w:cs="黑体"/>
        </w:rPr>
        <w:t>第二部分  2022年度部门决算情况说明</w:t>
      </w:r>
    </w:p>
    <w:p>
      <w:pPr>
        <w:pStyle w:val="11"/>
        <w:adjustRightInd w:val="0"/>
        <w:spacing w:before="0" w:line="540" w:lineRule="exact"/>
        <w:ind w:firstLine="560" w:firstLineChars="200"/>
        <w:jc w:val="left"/>
        <w:rPr>
          <w:rFonts w:cs="仿宋"/>
        </w:rPr>
      </w:pPr>
      <w:r>
        <w:rPr>
          <w:rFonts w:hint="eastAsia" w:cs="仿宋"/>
        </w:rPr>
        <w:t>一、收入支出决算总体情况说明</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pStyle w:val="12"/>
        <w:adjustRightInd w:val="0"/>
        <w:spacing w:line="540" w:lineRule="exact"/>
        <w:ind w:left="0" w:leftChars="0" w:firstLine="560" w:firstLineChars="200"/>
        <w:jc w:val="left"/>
        <w:rPr>
          <w:rFonts w:cs="仿宋"/>
        </w:rPr>
      </w:pPr>
      <w:r>
        <w:rPr>
          <w:rFonts w:hint="eastAsia" w:ascii="仿宋" w:hAnsi="仿宋" w:eastAsia="仿宋" w:cs="仿宋"/>
          <w:sz w:val="28"/>
          <w:szCs w:val="28"/>
        </w:rPr>
        <w:t>三、支出决算情况说明</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七、“三公”经费财政拨款支出决算情况说明</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八、政府性基金预算支出决算情况说明</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九、 国有资本经营预算支出决算情况说明</w:t>
      </w:r>
    </w:p>
    <w:p>
      <w:pPr>
        <w:pStyle w:val="12"/>
        <w:adjustRightInd w:val="0"/>
        <w:spacing w:line="540" w:lineRule="exact"/>
        <w:ind w:left="0" w:leftChars="0" w:firstLine="560" w:firstLineChars="200"/>
        <w:jc w:val="left"/>
        <w:rPr>
          <w:rFonts w:hint="default" w:eastAsia="仿宋"/>
          <w:lang w:val="en-US" w:eastAsia="zh-CN"/>
        </w:rPr>
      </w:pPr>
      <w:r>
        <w:rPr>
          <w:rFonts w:hint="eastAsia" w:ascii="仿宋" w:hAnsi="仿宋" w:eastAsia="仿宋" w:cs="仿宋"/>
          <w:sz w:val="28"/>
          <w:szCs w:val="28"/>
          <w:lang w:val="en-US" w:eastAsia="zh-CN"/>
        </w:rPr>
        <w:t>十、</w:t>
      </w:r>
      <w:r>
        <w:rPr>
          <w:rFonts w:hint="eastAsia" w:ascii="仿宋" w:hAnsi="仿宋" w:eastAsia="仿宋" w:cs="仿宋"/>
          <w:sz w:val="28"/>
          <w:szCs w:val="28"/>
        </w:rPr>
        <w:t>其他重要事项的情况说明</w:t>
      </w:r>
    </w:p>
    <w:p>
      <w:pPr>
        <w:pStyle w:val="11"/>
        <w:adjustRightInd w:val="0"/>
        <w:spacing w:before="0" w:line="540" w:lineRule="exact"/>
        <w:ind w:firstLine="560" w:firstLineChars="200"/>
        <w:jc w:val="left"/>
        <w:rPr>
          <w:rFonts w:ascii="黑体" w:hAnsi="黑体" w:eastAsia="黑体" w:cs="黑体"/>
        </w:rPr>
      </w:pPr>
      <w:r>
        <w:rPr>
          <w:rFonts w:hint="eastAsia" w:ascii="黑体" w:hAnsi="黑体" w:eastAsia="黑体" w:cs="黑体"/>
        </w:rPr>
        <w:t>第三部分 名词解释</w:t>
      </w:r>
    </w:p>
    <w:p>
      <w:pPr>
        <w:keepNext w:val="0"/>
        <w:keepLines w:val="0"/>
        <w:pageBreakBefore w:val="0"/>
        <w:kinsoku/>
        <w:wordWrap/>
        <w:overflowPunct/>
        <w:topLinePunct w:val="0"/>
        <w:autoSpaceDE/>
        <w:autoSpaceDN/>
        <w:bidi w:val="0"/>
        <w:spacing w:line="572" w:lineRule="exact"/>
        <w:ind w:firstLine="560" w:firstLineChars="200"/>
        <w:jc w:val="left"/>
        <w:textAlignment w:val="auto"/>
        <w:outlineLvl w:val="0"/>
        <w:rPr>
          <w:rFonts w:hint="eastAsia" w:ascii="黑体" w:hAnsi="黑体" w:eastAsia="黑体" w:cs="黑体"/>
          <w:sz w:val="28"/>
          <w:szCs w:val="36"/>
          <w:lang w:eastAsia="zh-CN"/>
        </w:rPr>
      </w:pPr>
      <w:r>
        <w:rPr>
          <w:rFonts w:hint="eastAsia" w:ascii="黑体" w:hAnsi="黑体" w:eastAsia="黑体" w:cs="黑体"/>
          <w:sz w:val="28"/>
          <w:szCs w:val="36"/>
        </w:rPr>
        <w:t xml:space="preserve">第四部分 </w:t>
      </w:r>
      <w:r>
        <w:rPr>
          <w:rFonts w:hint="eastAsia" w:ascii="黑体" w:hAnsi="黑体" w:eastAsia="黑体" w:cs="黑体"/>
          <w:sz w:val="28"/>
          <w:szCs w:val="36"/>
          <w:lang w:eastAsia="zh-CN"/>
        </w:rPr>
        <w:t>附件</w:t>
      </w:r>
    </w:p>
    <w:p>
      <w:pPr>
        <w:keepNext w:val="0"/>
        <w:keepLines w:val="0"/>
        <w:pageBreakBefore w:val="0"/>
        <w:kinsoku/>
        <w:wordWrap/>
        <w:overflowPunct/>
        <w:topLinePunct w:val="0"/>
        <w:autoSpaceDE/>
        <w:autoSpaceDN/>
        <w:bidi w:val="0"/>
        <w:spacing w:line="572" w:lineRule="exact"/>
        <w:ind w:firstLine="560" w:firstLineChars="200"/>
        <w:jc w:val="left"/>
        <w:textAlignment w:val="auto"/>
        <w:outlineLvl w:val="0"/>
        <w:rPr>
          <w:rFonts w:hint="eastAsia" w:ascii="仿宋" w:hAnsi="仿宋" w:eastAsia="黑体" w:cs="仿宋"/>
          <w:kern w:val="2"/>
          <w:sz w:val="28"/>
          <w:szCs w:val="28"/>
          <w:lang w:val="en-US" w:eastAsia="zh-CN" w:bidi="ar-SA"/>
        </w:rPr>
      </w:pPr>
      <w:r>
        <w:rPr>
          <w:rFonts w:hint="eastAsia" w:ascii="仿宋_GB2312" w:hAnsi="仿宋_GB2312" w:eastAsia="仿宋_GB2312" w:cs="仿宋_GB2312"/>
          <w:color w:val="auto"/>
          <w:sz w:val="28"/>
          <w:szCs w:val="28"/>
          <w:highlight w:val="none"/>
        </w:rPr>
        <w:t>部</w:t>
      </w:r>
      <w:bookmarkStart w:id="48" w:name="_GoBack"/>
      <w:bookmarkEnd w:id="48"/>
      <w:r>
        <w:rPr>
          <w:rFonts w:hint="eastAsia" w:ascii="仿宋_GB2312" w:hAnsi="仿宋_GB2312" w:eastAsia="仿宋_GB2312" w:cs="仿宋_GB2312"/>
          <w:color w:val="auto"/>
          <w:sz w:val="28"/>
          <w:szCs w:val="28"/>
          <w:highlight w:val="none"/>
        </w:rPr>
        <w:t>门预算项目支出绩效自评表</w:t>
      </w:r>
    </w:p>
    <w:p>
      <w:pPr>
        <w:pStyle w:val="11"/>
        <w:adjustRightInd w:val="0"/>
        <w:spacing w:before="0" w:line="540" w:lineRule="exact"/>
        <w:ind w:firstLine="560" w:firstLineChars="200"/>
        <w:jc w:val="left"/>
        <w:rPr>
          <w:rFonts w:hint="eastAsia" w:ascii="黑体" w:hAnsi="黑体" w:eastAsia="黑体" w:cs="黑体"/>
          <w:lang w:val="en-US" w:eastAsia="zh-CN"/>
        </w:rPr>
      </w:pPr>
      <w:r>
        <w:rPr>
          <w:rFonts w:hint="eastAsia" w:ascii="黑体" w:hAnsi="黑体" w:eastAsia="黑体" w:cs="黑体"/>
        </w:rPr>
        <w:t>第五部分 附</w:t>
      </w:r>
      <w:r>
        <w:rPr>
          <w:rFonts w:hint="eastAsia" w:ascii="黑体" w:hAnsi="黑体" w:eastAsia="黑体" w:cs="黑体"/>
          <w:lang w:val="en-US" w:eastAsia="zh-CN"/>
        </w:rPr>
        <w:t>表</w:t>
      </w:r>
    </w:p>
    <w:p>
      <w:pPr>
        <w:pStyle w:val="12"/>
        <w:adjustRightInd w:val="0"/>
        <w:spacing w:line="540" w:lineRule="exact"/>
        <w:ind w:left="0" w:leftChars="0" w:firstLine="560" w:firstLineChars="200"/>
        <w:jc w:val="left"/>
      </w:pPr>
      <w:r>
        <w:rPr>
          <w:rFonts w:hint="eastAsia" w:ascii="仿宋" w:hAnsi="仿宋" w:eastAsia="仿宋" w:cs="仿宋"/>
          <w:sz w:val="28"/>
          <w:szCs w:val="28"/>
        </w:rPr>
        <w:t>一、收入支出决算总表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二、收入决算表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三、支出决算表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五、财政拨款支出决算明细表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六、一般公共预算财政拨款支出决算表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七、一般公共预算财政拨款支出决算明细表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八、一般公共预算财政拨款基本支出决算表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九、一般公共预算财政拨款项目支出决算表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十、一般公共预算财政拨款“三公”经费支出决算表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十一、政府性基金预算财政拨款收入支出决算表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十二、政府性基金预算财政拨款“三公”经费支出决算表</w:t>
      </w:r>
    </w:p>
    <w:p>
      <w:pPr>
        <w:pStyle w:val="12"/>
        <w:adjustRightInd w:val="0"/>
        <w:spacing w:line="54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十三、国有资本经营预算财政拨款收入支出决算表</w:t>
      </w:r>
    </w:p>
    <w:p>
      <w:pPr>
        <w:pStyle w:val="12"/>
        <w:adjustRightInd w:val="0"/>
        <w:spacing w:line="540" w:lineRule="exact"/>
        <w:ind w:left="0" w:leftChars="0" w:firstLine="560" w:firstLineChars="200"/>
        <w:jc w:val="left"/>
        <w:rPr>
          <w:rFonts w:ascii="黑体" w:hAnsi="黑体" w:eastAsia="黑体"/>
          <w:b/>
        </w:rPr>
      </w:pPr>
      <w:r>
        <w:rPr>
          <w:rFonts w:hint="eastAsia" w:ascii="仿宋" w:hAnsi="仿宋" w:eastAsia="仿宋" w:cs="仿宋"/>
          <w:sz w:val="28"/>
          <w:szCs w:val="28"/>
        </w:rPr>
        <w:t>十四、国有资本经营预算财政拨款支出决算表</w:t>
      </w:r>
      <w:bookmarkStart w:id="12" w:name="_Toc31849"/>
    </w:p>
    <w:p>
      <w:pPr>
        <w:pStyle w:val="3"/>
        <w:jc w:val="center"/>
        <w:rPr>
          <w:rFonts w:ascii="黑体" w:hAnsi="黑体" w:eastAsia="黑体"/>
          <w:b w:val="0"/>
        </w:rPr>
      </w:pPr>
    </w:p>
    <w:p/>
    <w:p>
      <w:pPr>
        <w:pStyle w:val="2"/>
        <w:spacing w:before="93"/>
      </w:pPr>
    </w:p>
    <w:p>
      <w:pPr>
        <w:pStyle w:val="3"/>
        <w:jc w:val="center"/>
        <w:rPr>
          <w:rFonts w:ascii="黑体" w:hAnsi="黑体" w:eastAsia="黑体"/>
          <w:b w:val="0"/>
        </w:rPr>
      </w:pPr>
    </w:p>
    <w:p/>
    <w:p>
      <w:pPr>
        <w:pStyle w:val="2"/>
        <w:spacing w:before="93"/>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p>
    <w:p>
      <w:pPr>
        <w:pStyle w:val="5"/>
        <w:snapToGrid w:val="0"/>
        <w:spacing w:before="0" w:after="0" w:line="560" w:lineRule="exact"/>
        <w:ind w:firstLine="640" w:firstLineChars="200"/>
        <w:rPr>
          <w:rStyle w:val="26"/>
          <w:rFonts w:ascii="黑体" w:hAnsi="黑体" w:eastAsia="黑体"/>
          <w:b w:val="0"/>
          <w:bCs w:val="0"/>
        </w:rPr>
      </w:pPr>
      <w:bookmarkStart w:id="13" w:name="_Toc15206"/>
      <w:r>
        <w:rPr>
          <w:rStyle w:val="26"/>
          <w:rFonts w:hint="eastAsia" w:ascii="黑体" w:hAnsi="黑体" w:eastAsia="黑体"/>
          <w:b w:val="0"/>
          <w:bCs w:val="0"/>
        </w:rPr>
        <w:t>一、职能简介</w:t>
      </w:r>
      <w:bookmarkEnd w:id="13"/>
    </w:p>
    <w:p>
      <w:pPr>
        <w:spacing w:line="576"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我校地处广元市利州区宝轮镇东路354号，</w:t>
      </w:r>
      <w:r>
        <w:rPr>
          <w:rFonts w:hint="eastAsia" w:ascii="仿宋" w:hAnsi="仿宋" w:eastAsia="仿宋" w:cs="仿宋"/>
          <w:color w:val="000000" w:themeColor="text1"/>
          <w:kern w:val="0"/>
          <w:sz w:val="32"/>
          <w:szCs w:val="32"/>
        </w:rPr>
        <w:t>下辖初高中两个教学点。其中：高中部位于宝轮镇紫兰社区，是一所震后原址重建的农村完全中学，学校</w:t>
      </w:r>
      <w:r>
        <w:rPr>
          <w:rFonts w:hint="eastAsia" w:ascii="仿宋" w:hAnsi="仿宋" w:eastAsia="仿宋" w:cs="仿宋"/>
          <w:color w:val="000000" w:themeColor="text1"/>
          <w:sz w:val="32"/>
          <w:szCs w:val="32"/>
        </w:rPr>
        <w:t>创建于1941年</w:t>
      </w:r>
      <w:r>
        <w:rPr>
          <w:rFonts w:hint="eastAsia" w:ascii="仿宋" w:hAnsi="仿宋" w:eastAsia="仿宋" w:cs="仿宋"/>
          <w:color w:val="000000" w:themeColor="text1"/>
          <w:kern w:val="0"/>
          <w:sz w:val="32"/>
          <w:szCs w:val="32"/>
        </w:rPr>
        <w:t>，</w:t>
      </w:r>
      <w:r>
        <w:rPr>
          <w:rFonts w:hint="eastAsia" w:ascii="仿宋" w:hAnsi="仿宋" w:eastAsia="仿宋" w:cs="仿宋"/>
          <w:color w:val="000000" w:themeColor="text1"/>
          <w:sz w:val="32"/>
          <w:szCs w:val="32"/>
        </w:rPr>
        <w:t>原地址三国重镇昭化镇，原名昭化县国立初级中学。1953年随昭化县迁到宝轮现地址，先后几易其名。1985年广元建市后，更名为“四川省广元市宝轮中学”。初中部</w:t>
      </w:r>
      <w:r>
        <w:rPr>
          <w:rFonts w:hint="eastAsia" w:ascii="仿宋" w:hAnsi="仿宋" w:eastAsia="仿宋" w:cs="仿宋"/>
          <w:color w:val="000000" w:themeColor="text1"/>
          <w:kern w:val="0"/>
          <w:sz w:val="32"/>
          <w:szCs w:val="32"/>
        </w:rPr>
        <w:t>位于宝轮镇新街社区，是一所震后异址重建的农村初级中学，</w:t>
      </w:r>
      <w:r>
        <w:rPr>
          <w:rFonts w:hint="eastAsia" w:ascii="仿宋" w:hAnsi="仿宋" w:eastAsia="仿宋" w:cs="仿宋"/>
          <w:color w:val="000000" w:themeColor="text1"/>
          <w:sz w:val="32"/>
          <w:szCs w:val="32"/>
        </w:rPr>
        <w:t>2005年5月10日合并为新的四川省广元市宝轮中学，现占地面积64699平方米，建筑面积为46914平方米。现有教职工296人，79个教学班，学生人数3786人。实施初中、高中学历教育，促进基础教育发展。</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（一）负责贯彻党的教育方针，坚持社会主义办学方向，对学生进行德育、智育、体育、美育和劳动教育等方面的教育。</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（二）负责配合各级人民政府依法动员适龄儿童、少年入学，严格控制学生辍学，依法保证适龄儿童、少年接受义务教育。</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（三）负责制定学校教育发展规划，并抓好组织实施和落实工作。</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（四）负责按照教育主管部门发布的指导性教学计划、教学大纲，组织实施教育教学活动。 </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（五）决定和实施本校的教学计划，组织教学评比、集体备课，对学生进行统一考核、考试等。负责依据国家主管部门有关教学计划、课程设置等方面的规定。</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（六）负责学籍管理。 </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（七）负责聘任、培训、考核教师，依法奖励或处分有关教师和职工。 </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（八）负责科学管理、合理使用学校的设施和经费，并积极筹措资金，改善办学条件。</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（九）负责维护学校、师生的合法权益，有权拒绝任何组织和个人对教育教学活动进行非法干涉。 </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（十）依法接受各级教育行政部门的检查指导和人民群众的监督。</w:t>
      </w:r>
    </w:p>
    <w:p>
      <w:pPr>
        <w:snapToGrid w:val="0"/>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二、机构设置</w:t>
      </w:r>
    </w:p>
    <w:p>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我校隶属利州区教育局管理下独立核算单位，是财政二级预算单位，分设初高中两个校区，下设14个职能处室：党委办、行政办、纪委办、政教处、总务处、体艺卫、教科室、安全办、招生办、计装处、工会、生涯指导中心、心理健康辅导中心、团委。</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3"/>
        <w:ind w:right="440"/>
        <w:jc w:val="center"/>
        <w:rPr>
          <w:rStyle w:val="25"/>
          <w:rFonts w:ascii="黑体" w:hAnsi="黑体" w:eastAsia="黑体"/>
          <w:b w:val="0"/>
          <w:bCs/>
        </w:rPr>
      </w:pPr>
      <w:bookmarkStart w:id="14" w:name="_Toc19471"/>
      <w:r>
        <w:rPr>
          <w:rFonts w:hint="eastAsia" w:ascii="黑体" w:hAnsi="黑体" w:eastAsia="黑体"/>
          <w:b w:val="0"/>
        </w:rPr>
        <w:t>第二部分 2022年度</w:t>
      </w:r>
      <w:r>
        <w:rPr>
          <w:rStyle w:val="25"/>
          <w:rFonts w:hint="eastAsia" w:ascii="黑体" w:hAnsi="黑体" w:eastAsia="黑体"/>
          <w:b w:val="0"/>
          <w:bCs/>
        </w:rPr>
        <w:t>单位决算情况说明</w:t>
      </w:r>
      <w:bookmarkEnd w:id="14"/>
    </w:p>
    <w:p>
      <w:pPr>
        <w:pStyle w:val="24"/>
        <w:spacing w:line="600" w:lineRule="exact"/>
        <w:ind w:left="640" w:firstLine="0" w:firstLineChars="0"/>
        <w:outlineLvl w:val="1"/>
        <w:rPr>
          <w:rStyle w:val="26"/>
          <w:rFonts w:ascii="黑体" w:hAnsi="黑体" w:eastAsia="黑体"/>
          <w:b w:val="0"/>
        </w:rPr>
      </w:pPr>
      <w:bookmarkStart w:id="15" w:name="_Toc4037"/>
      <w:r>
        <w:rPr>
          <w:rFonts w:hint="eastAsia" w:ascii="黑体" w:hAnsi="黑体" w:eastAsia="黑体"/>
          <w:sz w:val="32"/>
          <w:szCs w:val="32"/>
        </w:rPr>
        <w:t>一、收</w:t>
      </w:r>
      <w:r>
        <w:rPr>
          <w:rStyle w:val="26"/>
          <w:rFonts w:hint="eastAsia" w:ascii="黑体" w:hAnsi="黑体" w:eastAsia="黑体"/>
          <w:b w:val="0"/>
        </w:rPr>
        <w:t>入支出决算总体情况说明</w:t>
      </w:r>
      <w:bookmarkEnd w:id="15"/>
    </w:p>
    <w:p>
      <w:pPr>
        <w:snapToGrid w:val="0"/>
        <w:spacing w:line="540" w:lineRule="exact"/>
        <w:ind w:firstLine="560" w:firstLineChars="200"/>
        <w:rPr>
          <w:rFonts w:ascii="仿宋" w:hAnsi="仿宋" w:eastAsia="仿宋"/>
          <w:color w:val="000000" w:themeColor="text1"/>
          <w:sz w:val="32"/>
          <w:szCs w:val="32"/>
        </w:rPr>
      </w:pPr>
      <w:r>
        <w:rPr>
          <w:rFonts w:hint="eastAsia" w:ascii="仿宋" w:hAnsi="仿宋" w:eastAsia="仿宋"/>
          <w:color w:val="000000"/>
          <w:sz w:val="28"/>
          <w:szCs w:val="28"/>
        </w:rPr>
        <w:t>2022年度收入总计</w:t>
      </w:r>
      <w:r>
        <w:rPr>
          <w:rFonts w:ascii="仿宋" w:hAnsi="仿宋" w:eastAsia="仿宋"/>
          <w:color w:val="000000"/>
          <w:sz w:val="28"/>
          <w:szCs w:val="28"/>
        </w:rPr>
        <w:t>6284.9</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万元(包含上年结转</w:t>
      </w:r>
      <w:r>
        <w:rPr>
          <w:rFonts w:ascii="仿宋" w:hAnsi="仿宋" w:eastAsia="仿宋"/>
          <w:color w:val="000000"/>
          <w:sz w:val="28"/>
          <w:szCs w:val="28"/>
        </w:rPr>
        <w:t>84.91</w:t>
      </w:r>
      <w:r>
        <w:rPr>
          <w:rFonts w:hint="eastAsia" w:ascii="仿宋" w:hAnsi="仿宋" w:eastAsia="仿宋"/>
          <w:color w:val="000000"/>
          <w:sz w:val="28"/>
          <w:szCs w:val="28"/>
        </w:rPr>
        <w:t>万元)，与2021年相比（</w:t>
      </w:r>
      <w:r>
        <w:rPr>
          <w:rFonts w:hint="eastAsia"/>
          <w:sz w:val="28"/>
          <w:szCs w:val="28"/>
        </w:rPr>
        <w:t>6360.58</w:t>
      </w:r>
      <w:r>
        <w:rPr>
          <w:rFonts w:hint="eastAsia" w:ascii="仿宋" w:hAnsi="仿宋" w:eastAsia="仿宋"/>
          <w:color w:val="000000"/>
          <w:sz w:val="28"/>
          <w:szCs w:val="28"/>
        </w:rPr>
        <w:t>万元），收入总计减少75.68万元，减少1.2%。收入主要变动原因:由于高中学生减少，生均公用经费、住宿费、后勤收入减少</w:t>
      </w:r>
      <w:r>
        <w:rPr>
          <w:rFonts w:hint="eastAsia" w:ascii="仿宋" w:hAnsi="仿宋" w:eastAsia="仿宋"/>
          <w:color w:val="000000" w:themeColor="text1"/>
          <w:sz w:val="28"/>
          <w:szCs w:val="28"/>
        </w:rPr>
        <w:t>。</w:t>
      </w:r>
    </w:p>
    <w:p>
      <w:pPr>
        <w:pStyle w:val="2"/>
        <w:spacing w:before="93"/>
        <w:ind w:firstLine="560" w:firstLineChars="200"/>
        <w:rPr>
          <w:color w:val="auto"/>
        </w:rPr>
      </w:pPr>
      <w:r>
        <w:rPr>
          <w:rFonts w:hint="eastAsia" w:ascii="仿宋" w:hAnsi="仿宋" w:eastAsia="仿宋"/>
          <w:color w:val="000000"/>
          <w:sz w:val="28"/>
          <w:szCs w:val="28"/>
        </w:rPr>
        <w:t>2022年度支出合计</w:t>
      </w:r>
      <w:r>
        <w:rPr>
          <w:rFonts w:ascii="仿宋" w:hAnsi="仿宋" w:eastAsia="仿宋"/>
          <w:color w:val="000000"/>
          <w:sz w:val="28"/>
          <w:szCs w:val="28"/>
        </w:rPr>
        <w:t>6284.9</w:t>
      </w:r>
      <w:r>
        <w:rPr>
          <w:rFonts w:hint="eastAsia" w:ascii="仿宋" w:hAnsi="仿宋" w:eastAsia="仿宋"/>
          <w:color w:val="000000"/>
          <w:sz w:val="28"/>
          <w:szCs w:val="28"/>
        </w:rPr>
        <w:t>万元，与202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年相比（</w:t>
      </w:r>
      <w:r>
        <w:rPr>
          <w:rFonts w:hint="eastAsia"/>
          <w:sz w:val="28"/>
          <w:szCs w:val="28"/>
        </w:rPr>
        <w:t>6360.58</w:t>
      </w:r>
      <w:r>
        <w:rPr>
          <w:rFonts w:hint="eastAsia" w:ascii="仿宋" w:hAnsi="仿宋" w:eastAsia="仿宋"/>
          <w:color w:val="000000"/>
          <w:sz w:val="28"/>
          <w:szCs w:val="28"/>
        </w:rPr>
        <w:t>万元，支出减少75.68万元，减少1.2%。支出主要</w:t>
      </w:r>
      <w:r>
        <w:rPr>
          <w:rFonts w:hint="eastAsia" w:ascii="仿宋" w:hAnsi="仿宋" w:eastAsia="仿宋"/>
          <w:color w:val="auto"/>
          <w:sz w:val="28"/>
          <w:szCs w:val="28"/>
        </w:rPr>
        <w:t>变动原因：人员经费、学生资助减少。</w:t>
      </w:r>
    </w:p>
    <w:p>
      <w:pPr>
        <w:pStyle w:val="2"/>
        <w:spacing w:before="93"/>
      </w:pPr>
      <w:r>
        <w:drawing>
          <wp:inline distT="0" distB="0" distL="0" distR="0">
            <wp:extent cx="4986655" cy="2593975"/>
            <wp:effectExtent l="0" t="0" r="0" b="0"/>
            <wp:docPr id="4" name="图片 3" descr="图片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图片1.png"/>
                    <pic:cNvPicPr>
                      <a:picLocks noChangeAspect="true"/>
                    </pic:cNvPicPr>
                  </pic:nvPicPr>
                  <pic:blipFill>
                    <a:blip r:embed="rId8"/>
                    <a:srcRect l="5454" t="-1693"/>
                    <a:stretch>
                      <a:fillRect/>
                    </a:stretch>
                  </pic:blipFill>
                  <pic:spPr>
                    <a:xfrm>
                      <a:off x="0" y="0"/>
                      <a:ext cx="4986655" cy="2593975"/>
                    </a:xfrm>
                    <a:prstGeom prst="rect">
                      <a:avLst/>
                    </a:prstGeom>
                  </pic:spPr>
                </pic:pic>
              </a:graphicData>
            </a:graphic>
          </wp:inline>
        </w:drawing>
      </w:r>
    </w:p>
    <w:p>
      <w:pPr>
        <w:spacing w:line="600" w:lineRule="exact"/>
        <w:ind w:firstLine="640" w:firstLineChars="200"/>
        <w:jc w:val="left"/>
        <w:outlineLvl w:val="1"/>
        <w:rPr>
          <w:rStyle w:val="26"/>
          <w:rFonts w:ascii="黑体" w:hAnsi="黑体" w:eastAsia="黑体"/>
          <w:b w:val="0"/>
        </w:rPr>
      </w:pPr>
      <w:bookmarkStart w:id="16" w:name="_Toc11408"/>
      <w:r>
        <w:rPr>
          <w:rFonts w:hint="eastAsia" w:ascii="黑体" w:hAnsi="黑体" w:eastAsia="黑体"/>
          <w:sz w:val="32"/>
          <w:szCs w:val="32"/>
        </w:rPr>
        <w:t>二、收</w:t>
      </w:r>
      <w:r>
        <w:rPr>
          <w:rStyle w:val="26"/>
          <w:rFonts w:hint="eastAsia" w:ascii="黑体" w:hAnsi="黑体" w:eastAsia="黑体"/>
          <w:b w:val="0"/>
        </w:rPr>
        <w:t>入决算情况说明</w:t>
      </w:r>
      <w:bookmarkEnd w:id="16"/>
    </w:p>
    <w:p>
      <w:pPr>
        <w:spacing w:line="600" w:lineRule="exact"/>
        <w:ind w:firstLine="560" w:firstLineChars="200"/>
        <w:outlineLvl w:val="2"/>
        <w:rPr>
          <w:rFonts w:ascii="仿宋" w:hAnsi="仿宋" w:eastAsia="仿宋"/>
          <w:sz w:val="32"/>
          <w:szCs w:val="32"/>
        </w:rPr>
      </w:pPr>
      <w:r>
        <w:rPr>
          <w:rFonts w:hint="eastAsia" w:ascii="仿宋" w:hAnsi="仿宋" w:eastAsia="仿宋"/>
          <w:color w:val="000000"/>
          <w:sz w:val="28"/>
          <w:szCs w:val="28"/>
        </w:rPr>
        <w:t>2022年度收入总计</w:t>
      </w:r>
      <w:r>
        <w:rPr>
          <w:rFonts w:ascii="仿宋" w:hAnsi="仿宋" w:eastAsia="仿宋"/>
          <w:color w:val="000000"/>
          <w:sz w:val="28"/>
          <w:szCs w:val="28"/>
        </w:rPr>
        <w:t>6</w:t>
      </w:r>
      <w:r>
        <w:rPr>
          <w:rFonts w:hint="eastAsia" w:ascii="仿宋" w:hAnsi="仿宋" w:eastAsia="仿宋"/>
          <w:color w:val="000000"/>
          <w:sz w:val="28"/>
          <w:szCs w:val="28"/>
          <w:lang w:val="en-US" w:eastAsia="zh-CN"/>
        </w:rPr>
        <w:t>199.99</w:t>
      </w:r>
      <w:r>
        <w:rPr>
          <w:rFonts w:hint="eastAsia" w:ascii="仿宋" w:hAnsi="仿宋" w:eastAsia="仿宋"/>
          <w:color w:val="000000"/>
          <w:sz w:val="28"/>
          <w:szCs w:val="28"/>
        </w:rPr>
        <w:t>万元</w:t>
      </w:r>
      <w:r>
        <w:rPr>
          <w:rFonts w:hint="eastAsia" w:ascii="仿宋" w:hAnsi="仿宋" w:eastAsia="仿宋"/>
          <w:color w:val="000000"/>
          <w:sz w:val="28"/>
          <w:szCs w:val="28"/>
          <w:lang w:eastAsia="zh-CN"/>
        </w:rPr>
        <w:t>。</w:t>
      </w:r>
      <w:r>
        <w:rPr>
          <w:rFonts w:hint="eastAsia" w:ascii="仿宋" w:hAnsi="仿宋" w:eastAsia="仿宋"/>
          <w:sz w:val="32"/>
          <w:szCs w:val="32"/>
        </w:rPr>
        <w:t>其中：一般公共预算财政拨款收入</w:t>
      </w:r>
      <w:r>
        <w:rPr>
          <w:rFonts w:hint="eastAsia"/>
          <w:sz w:val="28"/>
          <w:szCs w:val="28"/>
        </w:rPr>
        <w:t>5795.39</w:t>
      </w:r>
      <w:r>
        <w:rPr>
          <w:rFonts w:hint="eastAsia" w:ascii="仿宋" w:hAnsi="仿宋" w:eastAsia="仿宋"/>
          <w:sz w:val="32"/>
          <w:szCs w:val="32"/>
        </w:rPr>
        <w:t>万元，占9</w:t>
      </w:r>
      <w:r>
        <w:rPr>
          <w:rFonts w:hint="eastAsia" w:ascii="仿宋" w:hAnsi="仿宋" w:eastAsia="仿宋"/>
          <w:sz w:val="32"/>
          <w:szCs w:val="32"/>
          <w:lang w:val="en-US" w:eastAsia="zh-CN"/>
        </w:rPr>
        <w:t>3.47</w:t>
      </w:r>
      <w:r>
        <w:rPr>
          <w:rFonts w:ascii="仿宋" w:hAnsi="仿宋" w:eastAsia="仿宋"/>
          <w:sz w:val="32"/>
          <w:szCs w:val="32"/>
        </w:rPr>
        <w:t>%</w:t>
      </w:r>
      <w:r>
        <w:rPr>
          <w:rFonts w:hint="eastAsia" w:ascii="仿宋" w:hAnsi="仿宋" w:eastAsia="仿宋"/>
          <w:sz w:val="32"/>
          <w:szCs w:val="32"/>
        </w:rPr>
        <w:t>；事业收入320万元，占5.</w:t>
      </w:r>
      <w:r>
        <w:rPr>
          <w:rFonts w:hint="eastAsia" w:ascii="仿宋" w:hAnsi="仿宋" w:eastAsia="仿宋"/>
          <w:sz w:val="32"/>
          <w:szCs w:val="32"/>
          <w:lang w:val="en-US" w:eastAsia="zh-CN"/>
        </w:rPr>
        <w:t>16</w:t>
      </w:r>
      <w:r>
        <w:rPr>
          <w:rFonts w:ascii="仿宋" w:hAnsi="仿宋" w:eastAsia="仿宋"/>
          <w:sz w:val="32"/>
          <w:szCs w:val="32"/>
        </w:rPr>
        <w:t>%</w:t>
      </w:r>
      <w:r>
        <w:rPr>
          <w:rFonts w:hint="eastAsia" w:ascii="仿宋" w:hAnsi="仿宋" w:eastAsia="仿宋"/>
          <w:sz w:val="32"/>
          <w:szCs w:val="32"/>
        </w:rPr>
        <w:t>；其他收入</w:t>
      </w:r>
      <w:r>
        <w:rPr>
          <w:rFonts w:hint="eastAsia" w:ascii="仿宋_GB2312" w:hAnsi="Microsoft YaHei UI" w:eastAsia="仿宋_GB2312" w:cs="宋体"/>
          <w:color w:val="000000"/>
          <w:kern w:val="0"/>
          <w:sz w:val="32"/>
          <w:szCs w:val="32"/>
        </w:rPr>
        <w:t>84.6</w:t>
      </w:r>
      <w:r>
        <w:rPr>
          <w:rFonts w:hint="eastAsia" w:ascii="仿宋" w:hAnsi="仿宋" w:eastAsia="仿宋"/>
          <w:sz w:val="32"/>
          <w:szCs w:val="32"/>
        </w:rPr>
        <w:t>万元，占1.3</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p>
    <w:p>
      <w:pPr>
        <w:spacing w:line="600" w:lineRule="exact"/>
        <w:jc w:val="cente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28575</wp:posOffset>
            </wp:positionH>
            <wp:positionV relativeFrom="paragraph">
              <wp:posOffset>-723900</wp:posOffset>
            </wp:positionV>
            <wp:extent cx="5274310" cy="3076575"/>
            <wp:effectExtent l="19050" t="0" r="21590" b="0"/>
            <wp:wrapSquare wrapText="bothSides"/>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（收入决算结构图）（饼状图）</w:t>
      </w:r>
    </w:p>
    <w:p>
      <w:pPr>
        <w:pStyle w:val="24"/>
        <w:spacing w:line="600" w:lineRule="exact"/>
        <w:ind w:left="640" w:firstLine="0" w:firstLineChars="0"/>
        <w:outlineLvl w:val="1"/>
        <w:rPr>
          <w:rStyle w:val="26"/>
          <w:rFonts w:ascii="黑体" w:hAnsi="黑体" w:eastAsia="黑体"/>
          <w:b w:val="0"/>
        </w:rPr>
      </w:pPr>
      <w:bookmarkStart w:id="17" w:name="_Toc26078"/>
      <w:r>
        <w:rPr>
          <w:rFonts w:hint="eastAsia" w:ascii="黑体" w:hAnsi="黑体" w:eastAsia="黑体"/>
          <w:sz w:val="32"/>
          <w:szCs w:val="32"/>
        </w:rPr>
        <w:t>三、支</w:t>
      </w:r>
      <w:r>
        <w:rPr>
          <w:rStyle w:val="26"/>
          <w:rFonts w:hint="eastAsia" w:ascii="黑体" w:hAnsi="黑体" w:eastAsia="黑体"/>
          <w:b w:val="0"/>
        </w:rPr>
        <w:t>出决算情况说明</w:t>
      </w:r>
      <w:bookmarkEnd w:id="17"/>
    </w:p>
    <w:p>
      <w:pPr>
        <w:spacing w:line="600" w:lineRule="exact"/>
        <w:ind w:firstLine="640" w:firstLineChars="200"/>
        <w:outlineLvl w:val="2"/>
        <w:rPr>
          <w:rFonts w:hint="eastAsia" w:ascii="仿宋" w:hAnsi="仿宋" w:eastAsia="仿宋"/>
          <w:color w:val="000000" w:themeColor="text1"/>
          <w:sz w:val="32"/>
          <w:szCs w:val="32"/>
          <w:lang w:eastAsia="zh-CN"/>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22年本年支出合计</w:t>
      </w:r>
      <w:r>
        <w:rPr>
          <w:color w:val="000000" w:themeColor="text1"/>
          <w:sz w:val="28"/>
          <w:szCs w:val="28"/>
        </w:rPr>
        <w:t>6284.9</w:t>
      </w:r>
      <w:r>
        <w:rPr>
          <w:rFonts w:hint="eastAsia"/>
          <w:color w:val="000000" w:themeColor="text1"/>
          <w:sz w:val="28"/>
          <w:szCs w:val="28"/>
          <w:lang w:val="en-US" w:eastAsia="zh-CN"/>
        </w:rPr>
        <w:t>0</w:t>
      </w:r>
      <w:r>
        <w:rPr>
          <w:rFonts w:hint="eastAsia" w:ascii="仿宋" w:hAnsi="仿宋" w:eastAsia="仿宋"/>
          <w:color w:val="000000" w:themeColor="text1"/>
          <w:sz w:val="32"/>
          <w:szCs w:val="32"/>
        </w:rPr>
        <w:t>万元，其中：基本支出</w:t>
      </w:r>
      <w:r>
        <w:rPr>
          <w:rFonts w:ascii="仿宋" w:hAnsi="仿宋" w:eastAsia="仿宋"/>
          <w:color w:val="000000" w:themeColor="text1"/>
          <w:sz w:val="32"/>
          <w:szCs w:val="32"/>
        </w:rPr>
        <w:t>5739.97</w:t>
      </w:r>
      <w:r>
        <w:rPr>
          <w:rFonts w:hint="eastAsia" w:ascii="仿宋" w:hAnsi="仿宋" w:eastAsia="仿宋"/>
          <w:color w:val="000000" w:themeColor="text1"/>
          <w:sz w:val="32"/>
          <w:szCs w:val="32"/>
        </w:rPr>
        <w:t>万元，占91.33</w:t>
      </w:r>
      <w:r>
        <w:rPr>
          <w:rFonts w:ascii="仿宋" w:hAnsi="仿宋" w:eastAsia="仿宋"/>
          <w:color w:val="000000" w:themeColor="text1"/>
          <w:sz w:val="32"/>
          <w:szCs w:val="32"/>
        </w:rPr>
        <w:t>%</w:t>
      </w:r>
      <w:r>
        <w:rPr>
          <w:rFonts w:hint="eastAsia" w:ascii="仿宋" w:hAnsi="仿宋" w:eastAsia="仿宋"/>
          <w:color w:val="000000" w:themeColor="text1"/>
          <w:sz w:val="32"/>
          <w:szCs w:val="32"/>
        </w:rPr>
        <w:t>；项目支出</w:t>
      </w:r>
      <w:r>
        <w:rPr>
          <w:rFonts w:ascii="仿宋" w:hAnsi="仿宋" w:eastAsia="仿宋"/>
          <w:color w:val="000000" w:themeColor="text1"/>
          <w:sz w:val="32"/>
          <w:szCs w:val="32"/>
        </w:rPr>
        <w:t>544.93</w:t>
      </w:r>
      <w:r>
        <w:rPr>
          <w:rFonts w:hint="eastAsia" w:ascii="仿宋" w:hAnsi="仿宋" w:eastAsia="仿宋"/>
          <w:color w:val="000000" w:themeColor="text1"/>
          <w:sz w:val="32"/>
          <w:szCs w:val="32"/>
        </w:rPr>
        <w:t>万元，占8.67</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spacing w:line="600" w:lineRule="exact"/>
        <w:ind w:firstLine="64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5298440" cy="2101215"/>
            <wp:effectExtent l="19050" t="0" r="1651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（支出决算结构图）（饼状图）</w:t>
      </w:r>
    </w:p>
    <w:p>
      <w:pPr>
        <w:spacing w:line="600" w:lineRule="exact"/>
        <w:ind w:firstLine="640" w:firstLineChars="200"/>
        <w:outlineLvl w:val="1"/>
        <w:rPr>
          <w:rStyle w:val="26"/>
          <w:rFonts w:ascii="黑体" w:hAnsi="黑体" w:eastAsia="黑体"/>
          <w:b w:val="0"/>
        </w:rPr>
      </w:pPr>
      <w:bookmarkStart w:id="18" w:name="_Toc2984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18"/>
    </w:p>
    <w:p>
      <w:pPr>
        <w:spacing w:line="600" w:lineRule="exact"/>
        <w:ind w:firstLine="640" w:firstLineChars="200"/>
        <w:outlineLvl w:val="2"/>
        <w:rPr>
          <w:rStyle w:val="15"/>
          <w:rFonts w:ascii="仿宋" w:hAnsi="仿宋" w:eastAsia="仿宋" w:cstheme="minorBidi"/>
          <w:b w:val="0"/>
          <w:bCs/>
          <w:color w:val="000000" w:themeColor="text1"/>
          <w:sz w:val="32"/>
          <w:szCs w:val="32"/>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22年财政拨款收入总计</w:t>
      </w:r>
      <w:r>
        <w:rPr>
          <w:color w:val="000000" w:themeColor="text1"/>
          <w:sz w:val="28"/>
          <w:szCs w:val="28"/>
        </w:rPr>
        <w:t>5795.39</w:t>
      </w:r>
      <w:r>
        <w:rPr>
          <w:rFonts w:hint="eastAsia" w:ascii="仿宋" w:hAnsi="仿宋" w:eastAsia="仿宋"/>
          <w:color w:val="000000" w:themeColor="text1"/>
          <w:sz w:val="32"/>
          <w:szCs w:val="32"/>
        </w:rPr>
        <w:t>万元，与</w:t>
      </w:r>
      <w:r>
        <w:rPr>
          <w:rFonts w:ascii="仿宋" w:hAnsi="仿宋" w:eastAsia="仿宋"/>
          <w:color w:val="000000" w:themeColor="text1"/>
          <w:sz w:val="32"/>
          <w:szCs w:val="32"/>
        </w:rPr>
        <w:t>20</w:t>
      </w:r>
      <w:r>
        <w:rPr>
          <w:rFonts w:hint="eastAsia" w:ascii="仿宋" w:hAnsi="仿宋" w:eastAsia="仿宋"/>
          <w:color w:val="000000" w:themeColor="text1"/>
          <w:sz w:val="32"/>
          <w:szCs w:val="32"/>
        </w:rPr>
        <w:t>21年（</w:t>
      </w:r>
      <w:r>
        <w:rPr>
          <w:rFonts w:hint="eastAsia"/>
          <w:color w:val="000000" w:themeColor="text1"/>
          <w:sz w:val="28"/>
          <w:szCs w:val="28"/>
        </w:rPr>
        <w:t>54,18.1</w:t>
      </w:r>
      <w:r>
        <w:rPr>
          <w:rFonts w:hint="eastAsia" w:ascii="仿宋" w:hAnsi="仿宋" w:eastAsia="仿宋"/>
          <w:color w:val="000000" w:themeColor="text1"/>
          <w:sz w:val="32"/>
          <w:szCs w:val="32"/>
        </w:rPr>
        <w:t>万元）相比，财政拨款</w:t>
      </w:r>
      <w:r>
        <w:rPr>
          <w:rFonts w:hint="eastAsia" w:ascii="仿宋" w:hAnsi="仿宋" w:eastAsia="仿宋"/>
          <w:color w:val="000000" w:themeColor="text1"/>
          <w:sz w:val="28"/>
          <w:szCs w:val="28"/>
        </w:rPr>
        <w:t>收入</w:t>
      </w:r>
      <w:r>
        <w:rPr>
          <w:rFonts w:hint="eastAsia" w:ascii="仿宋" w:hAnsi="仿宋" w:eastAsia="仿宋"/>
          <w:color w:val="000000" w:themeColor="text1"/>
          <w:sz w:val="32"/>
          <w:szCs w:val="32"/>
        </w:rPr>
        <w:t>总计增加377.29万元，</w:t>
      </w:r>
      <w:r>
        <w:rPr>
          <w:rFonts w:hint="eastAsia" w:ascii="仿宋" w:hAnsi="仿宋" w:eastAsia="仿宋"/>
          <w:color w:val="000000" w:themeColor="text1"/>
          <w:sz w:val="28"/>
          <w:szCs w:val="28"/>
        </w:rPr>
        <w:t>增涨</w:t>
      </w:r>
      <w:r>
        <w:rPr>
          <w:rFonts w:hint="eastAsia" w:ascii="仿宋" w:hAnsi="仿宋" w:eastAsia="仿宋"/>
          <w:color w:val="000000" w:themeColor="text1"/>
          <w:sz w:val="32"/>
          <w:szCs w:val="32"/>
        </w:rPr>
        <w:t>6.51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2022年财政拨款支出总计</w:t>
      </w:r>
      <w:r>
        <w:rPr>
          <w:rFonts w:ascii="仿宋" w:hAnsi="仿宋" w:eastAsia="仿宋"/>
          <w:color w:val="000000" w:themeColor="text1"/>
          <w:sz w:val="32"/>
          <w:szCs w:val="32"/>
        </w:rPr>
        <w:t>5880.3</w:t>
      </w:r>
      <w:r>
        <w:rPr>
          <w:rFonts w:hint="eastAsia" w:ascii="仿宋" w:hAnsi="仿宋" w:eastAsia="仿宋"/>
          <w:color w:val="000000" w:themeColor="text1"/>
          <w:sz w:val="28"/>
          <w:szCs w:val="28"/>
        </w:rPr>
        <w:t>万元。与2021年相比（57,86.00万元），财政拨款支出总计增加94.3万元，增涨1.6%。</w:t>
      </w:r>
    </w:p>
    <w:p>
      <w:pPr>
        <w:ind w:firstLine="560" w:firstLineChars="200"/>
        <w:rPr>
          <w:rFonts w:ascii="仿宋" w:hAnsi="仿宋" w:eastAsia="仿宋"/>
          <w:sz w:val="32"/>
          <w:szCs w:val="32"/>
        </w:rPr>
      </w:pPr>
      <w:r>
        <w:rPr>
          <w:rFonts w:hint="eastAsia" w:ascii="仿宋_GB2312" w:eastAsia="仿宋_GB2312"/>
          <w:color w:val="000000" w:themeColor="text1"/>
          <w:kern w:val="0"/>
          <w:sz w:val="28"/>
          <w:szCs w:val="28"/>
        </w:rPr>
        <w:t>主要变动原因：</w:t>
      </w:r>
      <w:r>
        <w:rPr>
          <w:rFonts w:hint="eastAsia" w:ascii="仿宋" w:hAnsi="仿宋" w:eastAsia="仿宋"/>
          <w:color w:val="000000" w:themeColor="text1"/>
          <w:sz w:val="32"/>
          <w:szCs w:val="32"/>
        </w:rPr>
        <w:t>一</w:t>
      </w:r>
      <w:r>
        <w:rPr>
          <w:rStyle w:val="15"/>
          <w:rFonts w:hint="eastAsia" w:ascii="仿宋" w:hAnsi="仿宋" w:eastAsia="仿宋" w:cstheme="minorBidi"/>
          <w:b w:val="0"/>
          <w:bCs/>
          <w:color w:val="000000" w:themeColor="text1"/>
          <w:sz w:val="32"/>
          <w:szCs w:val="32"/>
        </w:rPr>
        <w:t>是2022年义务教育学生增加，生均公用</w:t>
      </w:r>
      <w:r>
        <w:rPr>
          <w:rStyle w:val="15"/>
          <w:rFonts w:hint="eastAsia" w:ascii="仿宋" w:hAnsi="仿宋" w:eastAsia="仿宋" w:cstheme="minorBidi"/>
          <w:b w:val="0"/>
          <w:bCs/>
          <w:sz w:val="32"/>
          <w:szCs w:val="32"/>
        </w:rPr>
        <w:t>经费增加；二是因为义务教育营养餐试点项目资金纳入决算。</w:t>
      </w:r>
    </w:p>
    <w:p>
      <w:pPr>
        <w:spacing w:line="600" w:lineRule="exact"/>
        <w:ind w:firstLine="640" w:firstLineChars="200"/>
        <w:outlineLvl w:val="1"/>
        <w:rPr>
          <w:rStyle w:val="26"/>
          <w:rFonts w:ascii="黑体" w:hAnsi="黑体" w:eastAsia="黑体"/>
          <w:b w:val="0"/>
        </w:rPr>
      </w:pPr>
      <w:bookmarkStart w:id="19" w:name="_Toc7022"/>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19"/>
    </w:p>
    <w:p>
      <w:pPr>
        <w:spacing w:line="60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pPr>
        <w:spacing w:line="600" w:lineRule="exact"/>
        <w:ind w:firstLine="640" w:firstLineChars="200"/>
        <w:outlineLvl w:val="2"/>
        <w:rPr>
          <w:rStyle w:val="15"/>
          <w:rFonts w:ascii="仿宋" w:hAnsi="仿宋" w:eastAsia="仿宋" w:cstheme="minorBidi"/>
          <w:b w:val="0"/>
          <w:bCs/>
          <w:color w:val="auto"/>
          <w:sz w:val="32"/>
          <w:szCs w:val="32"/>
        </w:rPr>
      </w:pPr>
      <w:r>
        <w:rPr>
          <w:rFonts w:ascii="仿宋" w:hAnsi="仿宋" w:eastAsia="仿宋"/>
          <w:sz w:val="32"/>
          <w:szCs w:val="32"/>
        </w:rPr>
        <w:t>20</w:t>
      </w:r>
      <w:r>
        <w:rPr>
          <w:rFonts w:hint="eastAsia" w:ascii="仿宋" w:hAnsi="仿宋" w:eastAsia="仿宋"/>
          <w:sz w:val="32"/>
          <w:szCs w:val="32"/>
        </w:rPr>
        <w:t>22年一般公共预算财政拨款支</w:t>
      </w:r>
      <w:r>
        <w:rPr>
          <w:rFonts w:hint="eastAsia" w:ascii="仿宋" w:hAnsi="仿宋" w:eastAsia="仿宋"/>
          <w:color w:val="000000" w:themeColor="text1"/>
          <w:sz w:val="32"/>
          <w:szCs w:val="32"/>
        </w:rPr>
        <w:t>出</w:t>
      </w:r>
      <w:r>
        <w:rPr>
          <w:rFonts w:ascii="仿宋" w:hAnsi="仿宋" w:eastAsia="仿宋"/>
          <w:color w:val="000000" w:themeColor="text1"/>
          <w:sz w:val="32"/>
          <w:szCs w:val="32"/>
        </w:rPr>
        <w:t>5880.3</w:t>
      </w:r>
      <w:r>
        <w:rPr>
          <w:rFonts w:hint="eastAsia" w:ascii="仿宋" w:hAnsi="仿宋" w:eastAsia="仿宋"/>
          <w:color w:val="000000" w:themeColor="text1"/>
          <w:sz w:val="32"/>
          <w:szCs w:val="32"/>
        </w:rPr>
        <w:t>万元，</w:t>
      </w:r>
      <w:r>
        <w:rPr>
          <w:rFonts w:hint="eastAsia" w:ascii="仿宋" w:hAnsi="仿宋" w:eastAsia="仿宋"/>
          <w:sz w:val="32"/>
          <w:szCs w:val="32"/>
        </w:rPr>
        <w:t>占本年支出合计的93.56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w:t>
      </w:r>
      <w:r>
        <w:rPr>
          <w:rFonts w:hint="eastAsia" w:ascii="仿宋" w:hAnsi="仿宋" w:eastAsia="仿宋"/>
          <w:color w:val="000000" w:themeColor="text1"/>
          <w:sz w:val="28"/>
          <w:szCs w:val="28"/>
        </w:rPr>
        <w:t>57,86.00</w:t>
      </w:r>
      <w:r>
        <w:rPr>
          <w:rFonts w:hint="eastAsia" w:ascii="仿宋" w:hAnsi="仿宋" w:eastAsia="仿宋"/>
          <w:sz w:val="32"/>
          <w:szCs w:val="32"/>
        </w:rPr>
        <w:t>万元）相比，一般公共预算财政拨款支出增加</w:t>
      </w:r>
      <w:r>
        <w:rPr>
          <w:rFonts w:hint="eastAsia" w:ascii="仿宋" w:hAnsi="仿宋" w:eastAsia="仿宋"/>
          <w:color w:val="000000" w:themeColor="text1"/>
          <w:sz w:val="28"/>
          <w:szCs w:val="28"/>
        </w:rPr>
        <w:t>94.3万元，增涨1.6%</w:t>
      </w:r>
      <w:r>
        <w:rPr>
          <w:rFonts w:hint="eastAsia" w:ascii="仿宋" w:hAnsi="仿宋" w:eastAsia="仿宋"/>
          <w:sz w:val="32"/>
          <w:szCs w:val="32"/>
        </w:rPr>
        <w:t>。主要变动原因一</w:t>
      </w:r>
      <w:r>
        <w:rPr>
          <w:rStyle w:val="15"/>
          <w:rFonts w:hint="eastAsia" w:ascii="仿宋" w:hAnsi="仿宋" w:eastAsia="仿宋" w:cstheme="minorBidi"/>
          <w:b w:val="0"/>
          <w:bCs/>
          <w:sz w:val="32"/>
          <w:szCs w:val="32"/>
        </w:rPr>
        <w:t>是2022年义务教育学生增加，生均公用经费增</w:t>
      </w:r>
      <w:r>
        <w:rPr>
          <w:rStyle w:val="15"/>
          <w:rFonts w:hint="eastAsia" w:ascii="仿宋" w:hAnsi="仿宋" w:eastAsia="仿宋" w:cstheme="minorBidi"/>
          <w:b w:val="0"/>
          <w:bCs/>
          <w:color w:val="auto"/>
          <w:sz w:val="32"/>
          <w:szCs w:val="32"/>
        </w:rPr>
        <w:t>加；二是因为义务教育营养餐试点项目资金纳入决算。</w:t>
      </w:r>
    </w:p>
    <w:p>
      <w:pPr>
        <w:pStyle w:val="2"/>
        <w:spacing w:before="93"/>
      </w:pPr>
    </w:p>
    <w:p>
      <w:pPr>
        <w:pStyle w:val="2"/>
        <w:spacing w:before="93"/>
      </w:pPr>
      <w:r>
        <w:drawing>
          <wp:inline distT="0" distB="0" distL="114300" distR="114300">
            <wp:extent cx="5383530" cy="1968500"/>
            <wp:effectExtent l="0" t="0" r="1270"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1"/>
                    <a:stretch>
                      <a:fillRect/>
                    </a:stretch>
                  </pic:blipFill>
                  <pic:spPr>
                    <a:xfrm>
                      <a:off x="0" y="0"/>
                      <a:ext cx="5383530" cy="1968500"/>
                    </a:xfrm>
                    <a:prstGeom prst="rect">
                      <a:avLst/>
                    </a:prstGeom>
                    <a:noFill/>
                    <a:ln>
                      <a:noFill/>
                    </a:ln>
                  </pic:spPr>
                </pic:pic>
              </a:graphicData>
            </a:graphic>
          </wp:inline>
        </w:drawing>
      </w:r>
    </w:p>
    <w:p>
      <w:pPr>
        <w:spacing w:line="600" w:lineRule="exact"/>
        <w:outlineLvl w:val="2"/>
        <w:rPr>
          <w:rFonts w:ascii="仿宋" w:hAnsi="仿宋" w:eastAsia="仿宋"/>
          <w:sz w:val="32"/>
          <w:szCs w:val="32"/>
        </w:rPr>
      </w:pPr>
      <w:r>
        <w:rPr>
          <w:rFonts w:hint="eastAsia" w:ascii="仿宋" w:hAnsi="仿宋" w:eastAsia="仿宋"/>
          <w:sz w:val="32"/>
          <w:szCs w:val="32"/>
        </w:rPr>
        <w:t>（一般公共预算财政拨款支出决算变动情况）（柱状图）</w:t>
      </w:r>
    </w:p>
    <w:p>
      <w:pPr>
        <w:spacing w:line="60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pPr>
        <w:spacing w:line="60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color w:val="000000" w:themeColor="text1"/>
          <w:sz w:val="32"/>
          <w:szCs w:val="32"/>
        </w:rPr>
        <w:t>5880.3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教育支出（类）</w:t>
      </w:r>
      <w:r>
        <w:rPr>
          <w:rFonts w:ascii="仿宋" w:hAnsi="仿宋" w:eastAsia="仿宋"/>
          <w:sz w:val="32"/>
          <w:szCs w:val="32"/>
        </w:rPr>
        <w:t>5588.98</w:t>
      </w:r>
      <w:r>
        <w:rPr>
          <w:rFonts w:hint="eastAsia" w:ascii="仿宋" w:hAnsi="仿宋" w:eastAsia="仿宋"/>
          <w:sz w:val="32"/>
          <w:szCs w:val="32"/>
        </w:rPr>
        <w:t>万元，占95.05</w:t>
      </w:r>
      <w:r>
        <w:rPr>
          <w:rFonts w:ascii="仿宋" w:hAnsi="仿宋" w:eastAsia="仿宋"/>
          <w:sz w:val="32"/>
          <w:szCs w:val="32"/>
        </w:rPr>
        <w:t>%</w:t>
      </w:r>
      <w:r>
        <w:rPr>
          <w:rFonts w:hint="eastAsia" w:ascii="仿宋" w:hAnsi="仿宋" w:eastAsia="仿宋"/>
          <w:sz w:val="32"/>
          <w:szCs w:val="32"/>
        </w:rPr>
        <w:t>；</w:t>
      </w:r>
      <w:r>
        <w:rPr>
          <w:rFonts w:ascii="仿宋" w:hAnsi="仿宋" w:eastAsia="仿宋"/>
          <w:color w:val="000000"/>
          <w:sz w:val="32"/>
          <w:szCs w:val="32"/>
        </w:rPr>
        <w:t>住房保障支出</w:t>
      </w:r>
      <w:r>
        <w:rPr>
          <w:rStyle w:val="15"/>
          <w:rFonts w:hint="eastAsia" w:ascii="仿宋" w:hAnsi="仿宋" w:eastAsia="仿宋"/>
          <w:b w:val="0"/>
          <w:color w:val="000000"/>
          <w:sz w:val="32"/>
          <w:szCs w:val="32"/>
        </w:rPr>
        <w:t>（类）住房改革支出（款）住房公积金（项）</w:t>
      </w:r>
      <w:r>
        <w:rPr>
          <w:rFonts w:hint="eastAsia" w:ascii="仿宋" w:hAnsi="仿宋" w:eastAsia="仿宋"/>
          <w:sz w:val="32"/>
          <w:szCs w:val="32"/>
        </w:rPr>
        <w:t>支出</w:t>
      </w:r>
      <w:r>
        <w:rPr>
          <w:rFonts w:ascii="仿宋" w:hAnsi="仿宋" w:eastAsia="仿宋"/>
          <w:sz w:val="32"/>
          <w:szCs w:val="32"/>
        </w:rPr>
        <w:t>291.32</w:t>
      </w:r>
      <w:r>
        <w:rPr>
          <w:rFonts w:hint="eastAsia" w:ascii="仿宋" w:hAnsi="仿宋" w:eastAsia="仿宋"/>
          <w:sz w:val="32"/>
          <w:szCs w:val="32"/>
        </w:rPr>
        <w:t>万元，占4.95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40640</wp:posOffset>
            </wp:positionH>
            <wp:positionV relativeFrom="paragraph">
              <wp:posOffset>54610</wp:posOffset>
            </wp:positionV>
            <wp:extent cx="5298440" cy="2101215"/>
            <wp:effectExtent l="19050" t="0" r="1651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（一般公共预算财政拨款支出决算结构）（饼状图）</w:t>
      </w:r>
    </w:p>
    <w:p>
      <w:pPr>
        <w:snapToGrid w:val="0"/>
        <w:spacing w:line="55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pPr>
        <w:snapToGrid w:val="0"/>
        <w:spacing w:line="550" w:lineRule="exact"/>
        <w:ind w:firstLine="642" w:firstLineChars="200"/>
        <w:outlineLvl w:val="2"/>
        <w:rPr>
          <w:rFonts w:ascii="仿宋" w:hAnsi="仿宋" w:eastAsia="仿宋"/>
          <w:color w:val="000000" w:themeColor="text1"/>
          <w:sz w:val="32"/>
          <w:szCs w:val="32"/>
        </w:rPr>
      </w:pPr>
      <w:r>
        <w:rPr>
          <w:rFonts w:hint="eastAsia" w:ascii="仿宋" w:hAnsi="仿宋" w:eastAsia="仿宋"/>
          <w:b/>
          <w:color w:val="000000" w:themeColor="text1"/>
          <w:sz w:val="32"/>
          <w:szCs w:val="32"/>
        </w:rPr>
        <w:t>2022年一般公共预算支出决算数为</w:t>
      </w:r>
      <w:r>
        <w:rPr>
          <w:color w:val="000000" w:themeColor="text1"/>
          <w:sz w:val="28"/>
          <w:szCs w:val="28"/>
        </w:rPr>
        <w:t>5880.3</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完成预算100</w:t>
      </w:r>
      <w:r>
        <w:rPr>
          <w:rStyle w:val="15"/>
          <w:rFonts w:ascii="仿宋" w:hAnsi="仿宋" w:eastAsia="仿宋"/>
          <w:bCs/>
          <w:color w:val="000000" w:themeColor="text1"/>
          <w:sz w:val="32"/>
          <w:szCs w:val="32"/>
        </w:rPr>
        <w:t>%</w:t>
      </w:r>
      <w:r>
        <w:rPr>
          <w:rStyle w:val="15"/>
          <w:rFonts w:hint="eastAsia" w:ascii="仿宋" w:hAnsi="仿宋" w:eastAsia="仿宋"/>
          <w:bCs/>
          <w:color w:val="000000" w:themeColor="text1"/>
          <w:sz w:val="32"/>
          <w:szCs w:val="32"/>
        </w:rPr>
        <w:t>。其中：</w:t>
      </w:r>
    </w:p>
    <w:p>
      <w:pPr>
        <w:snapToGrid w:val="0"/>
        <w:spacing w:line="550" w:lineRule="exact"/>
        <w:ind w:firstLine="642" w:firstLineChars="200"/>
        <w:outlineLvl w:val="2"/>
        <w:rPr>
          <w:rStyle w:val="15"/>
          <w:rFonts w:ascii="仿宋" w:hAnsi="仿宋" w:eastAsia="仿宋" w:cstheme="minorBidi"/>
          <w:b w:val="0"/>
          <w:bCs/>
          <w:kern w:val="0"/>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Style w:val="15"/>
          <w:rFonts w:hint="eastAsia" w:ascii="仿宋" w:hAnsi="仿宋" w:eastAsia="仿宋" w:cstheme="minorBidi"/>
          <w:bCs/>
          <w:sz w:val="32"/>
          <w:szCs w:val="32"/>
        </w:rPr>
        <w:t>教育支出（类）普通教育（款）初中教育（项）</w:t>
      </w:r>
      <w:r>
        <w:rPr>
          <w:rStyle w:val="15"/>
          <w:rFonts w:ascii="仿宋" w:hAnsi="仿宋" w:eastAsia="仿宋" w:cstheme="minorBidi"/>
          <w:bCs/>
          <w:sz w:val="32"/>
          <w:szCs w:val="32"/>
        </w:rPr>
        <w:t>:</w:t>
      </w:r>
      <w:r>
        <w:rPr>
          <w:rStyle w:val="15"/>
          <w:rFonts w:hint="eastAsia" w:ascii="仿宋" w:hAnsi="仿宋" w:eastAsia="仿宋"/>
          <w:b w:val="0"/>
          <w:bCs/>
          <w:sz w:val="32"/>
          <w:szCs w:val="32"/>
        </w:rPr>
        <w:t>支出决算为</w:t>
      </w:r>
      <w:r>
        <w:rPr>
          <w:rStyle w:val="15"/>
          <w:rFonts w:ascii="仿宋" w:hAnsi="仿宋" w:eastAsia="仿宋"/>
          <w:b w:val="0"/>
          <w:bCs/>
          <w:sz w:val="32"/>
          <w:szCs w:val="32"/>
        </w:rPr>
        <w:t>1916.82</w:t>
      </w:r>
      <w:r>
        <w:rPr>
          <w:rStyle w:val="15"/>
          <w:rFonts w:hint="eastAsia" w:ascii="仿宋" w:hAnsi="仿宋" w:eastAsia="仿宋"/>
          <w:b w:val="0"/>
          <w:bCs/>
          <w:sz w:val="32"/>
          <w:szCs w:val="32"/>
        </w:rPr>
        <w:t>万元，完成预算100.00</w:t>
      </w:r>
      <w:r>
        <w:rPr>
          <w:rStyle w:val="15"/>
          <w:rFonts w:ascii="仿宋" w:hAnsi="仿宋" w:eastAsia="仿宋"/>
          <w:b w:val="0"/>
          <w:bCs/>
          <w:sz w:val="32"/>
          <w:szCs w:val="32"/>
        </w:rPr>
        <w:t>%</w:t>
      </w:r>
      <w:r>
        <w:rPr>
          <w:rStyle w:val="15"/>
          <w:rFonts w:hint="eastAsia" w:ascii="仿宋" w:hAnsi="仿宋" w:eastAsia="仿宋" w:cstheme="minorBidi"/>
          <w:b w:val="0"/>
          <w:bCs/>
          <w:kern w:val="0"/>
          <w:sz w:val="32"/>
          <w:szCs w:val="32"/>
        </w:rPr>
        <w:t>。</w:t>
      </w:r>
    </w:p>
    <w:p>
      <w:pPr>
        <w:ind w:firstLine="629" w:firstLineChars="196"/>
        <w:rPr>
          <w:rStyle w:val="15"/>
          <w:rFonts w:ascii="仿宋" w:hAnsi="仿宋" w:eastAsia="仿宋"/>
          <w:b w:val="0"/>
          <w:bCs/>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cstheme="minorBidi"/>
          <w:bCs/>
          <w:sz w:val="32"/>
          <w:szCs w:val="32"/>
        </w:rPr>
        <w:t>教育支出（类）普通教育（款）高中教育（项）</w:t>
      </w:r>
      <w:r>
        <w:rPr>
          <w:rStyle w:val="15"/>
          <w:rFonts w:ascii="仿宋" w:hAnsi="仿宋" w:eastAsia="仿宋" w:cstheme="minorBidi"/>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Cs/>
          <w:sz w:val="32"/>
          <w:szCs w:val="32"/>
        </w:rPr>
        <w:t>3</w:t>
      </w:r>
      <w:r>
        <w:rPr>
          <w:rStyle w:val="15"/>
          <w:rFonts w:hint="eastAsia" w:ascii="仿宋" w:hAnsi="仿宋" w:eastAsia="仿宋"/>
          <w:bCs/>
          <w:sz w:val="32"/>
          <w:szCs w:val="32"/>
          <w:lang w:val="en-US" w:eastAsia="zh-CN"/>
        </w:rPr>
        <w:t>661.16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cstheme="minorBidi"/>
          <w:b w:val="0"/>
          <w:bCs/>
          <w:kern w:val="0"/>
          <w:sz w:val="32"/>
          <w:szCs w:val="32"/>
        </w:rPr>
        <w:t>。</w:t>
      </w:r>
    </w:p>
    <w:p>
      <w:pPr>
        <w:pStyle w:val="2"/>
        <w:snapToGrid w:val="0"/>
        <w:spacing w:beforeLines="0" w:line="550" w:lineRule="exact"/>
        <w:ind w:firstLine="642" w:firstLineChars="200"/>
        <w:outlineLvl w:val="2"/>
        <w:rPr>
          <w:rStyle w:val="15"/>
          <w:rFonts w:ascii="仿宋" w:hAnsi="仿宋" w:eastAsia="仿宋" w:cstheme="minorBidi"/>
          <w:b w:val="0"/>
          <w:bCs/>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cstheme="minorBidi"/>
          <w:bCs/>
          <w:kern w:val="2"/>
          <w:sz w:val="32"/>
          <w:szCs w:val="32"/>
        </w:rPr>
        <w:t>教育支出（类）普通教育（款）其他普通教育（项）</w:t>
      </w:r>
      <w:r>
        <w:rPr>
          <w:rStyle w:val="15"/>
          <w:rFonts w:ascii="仿宋" w:hAnsi="仿宋" w:eastAsia="仿宋" w:cstheme="minorBidi"/>
          <w:bCs/>
          <w:kern w:val="2"/>
          <w:sz w:val="32"/>
          <w:szCs w:val="32"/>
        </w:rPr>
        <w:t>:</w:t>
      </w:r>
      <w:r>
        <w:rPr>
          <w:rStyle w:val="15"/>
          <w:rFonts w:hint="eastAsia" w:ascii="仿宋" w:hAnsi="仿宋" w:eastAsia="仿宋"/>
          <w:b w:val="0"/>
          <w:bCs/>
          <w:sz w:val="32"/>
          <w:szCs w:val="32"/>
        </w:rPr>
        <w:t>支出决算为11</w:t>
      </w:r>
      <w:r>
        <w:rPr>
          <w:rStyle w:val="15"/>
          <w:rFonts w:hint="eastAsia" w:ascii="仿宋" w:hAnsi="仿宋" w:eastAsia="仿宋"/>
          <w:b w:val="0"/>
          <w:bCs/>
          <w:sz w:val="32"/>
          <w:szCs w:val="32"/>
          <w:lang w:val="en-US" w:eastAsia="zh-CN"/>
        </w:rPr>
        <w:t>.00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cstheme="minorBidi"/>
          <w:b w:val="0"/>
          <w:bCs/>
          <w:sz w:val="32"/>
          <w:szCs w:val="32"/>
        </w:rPr>
        <w:t>。</w:t>
      </w:r>
    </w:p>
    <w:p>
      <w:pPr>
        <w:pStyle w:val="2"/>
        <w:snapToGrid w:val="0"/>
        <w:spacing w:beforeLines="0" w:line="550" w:lineRule="exact"/>
        <w:ind w:firstLine="642" w:firstLineChars="200"/>
        <w:outlineLvl w:val="2"/>
        <w:rPr>
          <w:rStyle w:val="15"/>
          <w:rFonts w:hint="eastAsia" w:ascii="仿宋" w:hAnsi="仿宋" w:eastAsia="仿宋" w:cstheme="minorBidi"/>
          <w:b w:val="0"/>
          <w:bCs/>
          <w:sz w:val="32"/>
          <w:szCs w:val="32"/>
        </w:rPr>
      </w:pPr>
      <w:r>
        <w:rPr>
          <w:rStyle w:val="15"/>
          <w:rFonts w:hint="eastAsia" w:ascii="仿宋" w:hAnsi="仿宋" w:eastAsia="仿宋"/>
          <w:bCs/>
          <w:sz w:val="32"/>
          <w:szCs w:val="32"/>
        </w:rPr>
        <w:t>8</w:t>
      </w:r>
      <w:r>
        <w:rPr>
          <w:rStyle w:val="15"/>
          <w:rFonts w:ascii="仿宋" w:hAnsi="仿宋" w:eastAsia="仿宋"/>
          <w:bCs/>
          <w:sz w:val="32"/>
          <w:szCs w:val="32"/>
        </w:rPr>
        <w:t>.</w:t>
      </w:r>
      <w:r>
        <w:rPr>
          <w:rFonts w:ascii="仿宋" w:hAnsi="仿宋" w:eastAsia="仿宋"/>
          <w:b/>
          <w:bCs/>
          <w:kern w:val="2"/>
          <w:sz w:val="32"/>
          <w:szCs w:val="32"/>
        </w:rPr>
        <w:t>住房保障支出</w:t>
      </w:r>
      <w:r>
        <w:rPr>
          <w:rFonts w:hint="eastAsia"/>
          <w:bCs/>
          <w:kern w:val="2"/>
          <w:sz w:val="32"/>
          <w:szCs w:val="32"/>
        </w:rPr>
        <w:t>（类）</w:t>
      </w:r>
      <w:r>
        <w:rPr>
          <w:rFonts w:hint="eastAsia"/>
          <w:b/>
          <w:bCs w:val="0"/>
          <w:kern w:val="2"/>
          <w:sz w:val="32"/>
          <w:szCs w:val="32"/>
        </w:rPr>
        <w:t>住房改革支出（款）住房公积金（项）</w:t>
      </w:r>
      <w:r>
        <w:rPr>
          <w:rStyle w:val="15"/>
          <w:rFonts w:ascii="仿宋" w:hAnsi="仿宋" w:eastAsia="仿宋"/>
          <w:b w:val="0"/>
          <w:color w:val="000000"/>
          <w:sz w:val="28"/>
          <w:szCs w:val="28"/>
        </w:rPr>
        <w:t>:</w:t>
      </w:r>
      <w:r>
        <w:rPr>
          <w:rStyle w:val="15"/>
          <w:rFonts w:hint="eastAsia" w:ascii="仿宋" w:hAnsi="仿宋" w:eastAsia="仿宋" w:cstheme="minorBidi"/>
          <w:b w:val="0"/>
          <w:bCs/>
          <w:sz w:val="32"/>
          <w:szCs w:val="32"/>
        </w:rPr>
        <w:t xml:space="preserve"> 支出决算为291.32万元，完成预算100%</w:t>
      </w:r>
    </w:p>
    <w:p>
      <w:pPr>
        <w:pStyle w:val="2"/>
        <w:snapToGrid w:val="0"/>
        <w:spacing w:beforeLines="0" w:line="550" w:lineRule="exact"/>
        <w:ind w:firstLine="640" w:firstLineChars="200"/>
        <w:outlineLvl w:val="2"/>
        <w:rPr>
          <w:rFonts w:ascii="仿宋" w:hAnsi="仿宋" w:eastAsia="仿宋"/>
          <w:b/>
          <w:bCs/>
          <w:kern w:val="2"/>
          <w:sz w:val="32"/>
          <w:szCs w:val="32"/>
        </w:rPr>
      </w:pPr>
      <w:bookmarkStart w:id="20" w:name="_Toc25871"/>
      <w:r>
        <w:rPr>
          <w:rStyle w:val="15"/>
          <w:rFonts w:hint="eastAsia" w:ascii="仿宋" w:hAnsi="仿宋" w:eastAsia="仿宋" w:cstheme="minorBidi"/>
          <w:b w:val="0"/>
          <w:bCs/>
          <w:sz w:val="32"/>
          <w:szCs w:val="32"/>
        </w:rPr>
        <w:t>六、</w:t>
      </w:r>
      <w:r>
        <w:rPr>
          <w:rFonts w:hint="eastAsia" w:ascii="仿宋" w:hAnsi="仿宋" w:eastAsia="仿宋"/>
          <w:b/>
          <w:bCs/>
          <w:kern w:val="2"/>
          <w:sz w:val="32"/>
          <w:szCs w:val="32"/>
        </w:rPr>
        <w:t>一般公共预算财政拨款基本支出决算情况说明</w:t>
      </w:r>
      <w:bookmarkEnd w:id="20"/>
      <w:r>
        <w:rPr>
          <w:rFonts w:ascii="仿宋" w:hAnsi="仿宋" w:eastAsia="仿宋"/>
          <w:b/>
          <w:bCs/>
          <w:kern w:val="2"/>
          <w:sz w:val="32"/>
          <w:szCs w:val="32"/>
        </w:rPr>
        <w:tab/>
      </w:r>
    </w:p>
    <w:p>
      <w:pPr>
        <w:snapToGrid w:val="0"/>
        <w:spacing w:line="550" w:lineRule="exact"/>
        <w:ind w:firstLine="645"/>
        <w:outlineLvl w:val="2"/>
        <w:rPr>
          <w:rFonts w:hint="eastAsia" w:ascii="仿宋" w:hAnsi="仿宋" w:eastAsia="仿宋"/>
          <w:color w:val="000000" w:themeColor="text1"/>
          <w:spacing w:val="-6"/>
          <w:sz w:val="32"/>
          <w:szCs w:val="32"/>
        </w:rPr>
      </w:pPr>
      <w:r>
        <w:rPr>
          <w:rFonts w:ascii="仿宋" w:hAnsi="仿宋" w:eastAsia="仿宋"/>
          <w:color w:val="000000" w:themeColor="text1"/>
          <w:sz w:val="32"/>
          <w:szCs w:val="32"/>
        </w:rPr>
        <w:t>2</w:t>
      </w:r>
      <w:r>
        <w:rPr>
          <w:rFonts w:ascii="仿宋" w:hAnsi="仿宋" w:eastAsia="仿宋"/>
          <w:color w:val="000000" w:themeColor="text1"/>
          <w:spacing w:val="-6"/>
          <w:sz w:val="32"/>
          <w:szCs w:val="32"/>
        </w:rPr>
        <w:t>0</w:t>
      </w:r>
      <w:r>
        <w:rPr>
          <w:rFonts w:hint="eastAsia" w:ascii="仿宋" w:hAnsi="仿宋" w:eastAsia="仿宋"/>
          <w:color w:val="000000" w:themeColor="text1"/>
          <w:spacing w:val="-6"/>
          <w:sz w:val="32"/>
          <w:szCs w:val="32"/>
        </w:rPr>
        <w:t>22年一般公共预算财政拨款基本支出</w:t>
      </w:r>
      <w:r>
        <w:rPr>
          <w:rFonts w:ascii="仿宋" w:hAnsi="仿宋" w:eastAsia="仿宋"/>
          <w:color w:val="000000" w:themeColor="text1"/>
          <w:spacing w:val="-6"/>
          <w:sz w:val="32"/>
          <w:szCs w:val="32"/>
        </w:rPr>
        <w:t>5335.37</w:t>
      </w:r>
      <w:r>
        <w:rPr>
          <w:rFonts w:hint="eastAsia" w:ascii="仿宋" w:hAnsi="仿宋" w:eastAsia="仿宋"/>
          <w:color w:val="000000" w:themeColor="text1"/>
          <w:spacing w:val="-6"/>
          <w:sz w:val="32"/>
          <w:szCs w:val="32"/>
        </w:rPr>
        <w:t>万元，其中：</w:t>
      </w:r>
    </w:p>
    <w:p>
      <w:pPr>
        <w:snapToGrid w:val="0"/>
        <w:spacing w:line="550" w:lineRule="exact"/>
        <w:ind w:firstLine="645"/>
        <w:outlineLvl w:val="2"/>
        <w:rPr>
          <w:rFonts w:ascii="仿宋" w:hAnsi="仿宋" w:eastAsia="仿宋"/>
          <w:sz w:val="32"/>
          <w:szCs w:val="32"/>
        </w:rPr>
      </w:pPr>
      <w:r>
        <w:rPr>
          <w:rFonts w:hint="eastAsia" w:ascii="仿宋" w:hAnsi="仿宋" w:eastAsia="仿宋"/>
          <w:color w:val="000000" w:themeColor="text1"/>
          <w:sz w:val="32"/>
          <w:szCs w:val="32"/>
        </w:rPr>
        <w:t>人员经费</w:t>
      </w:r>
      <w:r>
        <w:rPr>
          <w:rFonts w:ascii="仿宋" w:hAnsi="仿宋" w:eastAsia="仿宋"/>
          <w:color w:val="000000" w:themeColor="text1"/>
          <w:spacing w:val="-6"/>
          <w:sz w:val="32"/>
          <w:szCs w:val="32"/>
        </w:rPr>
        <w:t>4804.32</w:t>
      </w:r>
      <w:r>
        <w:rPr>
          <w:rFonts w:hint="eastAsia" w:ascii="仿宋" w:hAnsi="仿宋" w:eastAsia="仿宋"/>
          <w:color w:val="000000" w:themeColor="text1"/>
          <w:spacing w:val="-6"/>
          <w:sz w:val="32"/>
          <w:szCs w:val="32"/>
        </w:rPr>
        <w:t>万元</w:t>
      </w:r>
      <w:r>
        <w:rPr>
          <w:rFonts w:hint="eastAsia" w:ascii="仿宋" w:hAnsi="仿宋" w:eastAsia="仿宋"/>
          <w:color w:val="000000" w:themeColor="text1"/>
          <w:sz w:val="32"/>
          <w:szCs w:val="32"/>
        </w:rPr>
        <w:t>元，主要包括：基本工资、津贴补贴、绩效工资、机</w:t>
      </w:r>
      <w:r>
        <w:rPr>
          <w:rFonts w:hint="eastAsia" w:ascii="仿宋" w:hAnsi="仿宋" w:eastAsia="仿宋"/>
          <w:sz w:val="32"/>
          <w:szCs w:val="32"/>
        </w:rPr>
        <w:t>关事业单位基本养老保险缴费、其他社会保障缴费、其他工资福利支出、生活补助、</w:t>
      </w:r>
      <w:r>
        <w:rPr>
          <w:rFonts w:hint="eastAsia" w:ascii="仿宋" w:hAnsi="仿宋" w:eastAsia="仿宋"/>
          <w:sz w:val="32"/>
          <w:szCs w:val="32"/>
          <w:lang w:val="en-US" w:eastAsia="zh-CN"/>
        </w:rPr>
        <w:t>奖励金、职工基本医疗保险缴费、</w:t>
      </w:r>
      <w:r>
        <w:rPr>
          <w:rFonts w:hint="eastAsia" w:ascii="仿宋" w:hAnsi="仿宋" w:eastAsia="仿宋"/>
          <w:sz w:val="32"/>
          <w:szCs w:val="32"/>
        </w:rPr>
        <w:t>住房公积金、其他对个人和家庭的补助支出等。</w:t>
      </w:r>
    </w:p>
    <w:p>
      <w:pPr>
        <w:snapToGrid w:val="0"/>
        <w:spacing w:line="550" w:lineRule="exact"/>
        <w:ind w:firstLine="645"/>
        <w:outlineLvl w:val="2"/>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531.05</w:t>
      </w:r>
      <w:r>
        <w:rPr>
          <w:rFonts w:hint="eastAsia" w:ascii="仿宋" w:hAnsi="仿宋" w:eastAsia="仿宋"/>
          <w:sz w:val="32"/>
          <w:szCs w:val="32"/>
        </w:rPr>
        <w:t>万元，主要包括：办公费、印刷费、手续费、水费、电费、邮电费、差旅费、维修（护）费</w:t>
      </w:r>
      <w:r>
        <w:rPr>
          <w:rFonts w:hint="eastAsia" w:ascii="仿宋" w:hAnsi="仿宋" w:eastAsia="仿宋"/>
          <w:sz w:val="32"/>
          <w:szCs w:val="32"/>
          <w:lang w:eastAsia="zh-CN"/>
        </w:rPr>
        <w:t>、</w:t>
      </w:r>
      <w:r>
        <w:rPr>
          <w:rFonts w:hint="eastAsia" w:ascii="仿宋" w:hAnsi="仿宋" w:eastAsia="仿宋"/>
          <w:sz w:val="32"/>
          <w:szCs w:val="32"/>
        </w:rPr>
        <w:t>培训费、工会经费、福利费</w:t>
      </w:r>
      <w:r>
        <w:rPr>
          <w:rFonts w:hint="eastAsia" w:ascii="仿宋" w:hAnsi="仿宋" w:eastAsia="仿宋"/>
          <w:sz w:val="32"/>
          <w:szCs w:val="32"/>
          <w:lang w:val="en-US" w:eastAsia="zh-CN"/>
        </w:rPr>
        <w:t>等</w:t>
      </w:r>
      <w:r>
        <w:rPr>
          <w:rFonts w:hint="eastAsia" w:ascii="仿宋" w:hAnsi="仿宋" w:eastAsia="仿宋"/>
          <w:sz w:val="32"/>
          <w:szCs w:val="32"/>
        </w:rPr>
        <w:t>。</w:t>
      </w:r>
    </w:p>
    <w:p>
      <w:pPr>
        <w:snapToGrid w:val="0"/>
        <w:spacing w:line="550" w:lineRule="exact"/>
        <w:ind w:firstLine="640"/>
        <w:outlineLvl w:val="1"/>
        <w:rPr>
          <w:rStyle w:val="26"/>
          <w:rFonts w:ascii="黑体" w:hAnsi="黑体" w:eastAsia="黑体"/>
          <w:b w:val="0"/>
        </w:rPr>
      </w:pPr>
      <w:bookmarkStart w:id="21" w:name="_Toc26671"/>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21"/>
    </w:p>
    <w:p>
      <w:pPr>
        <w:snapToGrid w:val="0"/>
        <w:spacing w:line="550" w:lineRule="exact"/>
        <w:ind w:firstLine="640"/>
        <w:outlineLvl w:val="2"/>
        <w:rPr>
          <w:rFonts w:ascii="楷体" w:hAnsi="楷体" w:eastAsia="楷体" w:cs="楷体"/>
          <w:bCs/>
          <w:sz w:val="32"/>
          <w:szCs w:val="32"/>
        </w:rPr>
      </w:pPr>
      <w:r>
        <w:rPr>
          <w:rFonts w:hint="eastAsia" w:ascii="楷体" w:hAnsi="楷体" w:eastAsia="楷体" w:cs="楷体"/>
          <w:bCs/>
          <w:sz w:val="32"/>
          <w:szCs w:val="32"/>
        </w:rPr>
        <w:t>（一）“三公”经费财政拨款支出决算总体情况说明</w:t>
      </w:r>
    </w:p>
    <w:p>
      <w:pPr>
        <w:snapToGrid w:val="0"/>
        <w:spacing w:line="55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22年“三公”经费财政拨款支出决算为0.00万元，完成预算0.00</w:t>
      </w:r>
      <w:r>
        <w:rPr>
          <w:rFonts w:ascii="仿宋" w:hAnsi="仿宋" w:eastAsia="仿宋"/>
          <w:sz w:val="32"/>
          <w:szCs w:val="32"/>
        </w:rPr>
        <w:t>%</w:t>
      </w:r>
      <w:r>
        <w:rPr>
          <w:rFonts w:hint="eastAsia" w:ascii="仿宋" w:hAnsi="仿宋" w:eastAsia="仿宋"/>
          <w:sz w:val="32"/>
          <w:szCs w:val="32"/>
        </w:rPr>
        <w:t>。</w:t>
      </w:r>
      <w:r>
        <w:rPr>
          <w:rFonts w:hint="eastAsia" w:ascii="宋体" w:hAnsi="宋体" w:cs="宋体"/>
          <w:bCs/>
          <w:color w:val="333333"/>
          <w:kern w:val="0"/>
          <w:sz w:val="28"/>
          <w:szCs w:val="28"/>
          <w:shd w:val="clear" w:color="auto" w:fill="FFFFFF"/>
        </w:rPr>
        <w:t>与2021年决算相比</w:t>
      </w:r>
      <w:r>
        <w:rPr>
          <w:rFonts w:hint="eastAsia" w:ascii="宋体" w:hAnsi="宋体" w:cs="宋体"/>
          <w:color w:val="333333"/>
          <w:kern w:val="0"/>
          <w:sz w:val="28"/>
          <w:szCs w:val="28"/>
          <w:shd w:val="clear" w:color="auto" w:fill="FFFFFF"/>
        </w:rPr>
        <w:t>持平，无增减。</w:t>
      </w:r>
    </w:p>
    <w:p>
      <w:pPr>
        <w:snapToGrid w:val="0"/>
        <w:spacing w:line="550" w:lineRule="exact"/>
        <w:ind w:firstLine="640"/>
        <w:outlineLvl w:val="2"/>
        <w:rPr>
          <w:rFonts w:ascii="楷体" w:hAnsi="楷体" w:eastAsia="楷体" w:cs="楷体"/>
          <w:bCs/>
          <w:sz w:val="32"/>
          <w:szCs w:val="32"/>
        </w:rPr>
      </w:pPr>
      <w:r>
        <w:rPr>
          <w:rFonts w:hint="eastAsia" w:ascii="楷体" w:hAnsi="楷体" w:eastAsia="楷体" w:cs="楷体"/>
          <w:bCs/>
          <w:sz w:val="32"/>
          <w:szCs w:val="32"/>
        </w:rPr>
        <w:t>（二）“三公”经费财政拨款支出决算具体情况说明</w:t>
      </w:r>
    </w:p>
    <w:p>
      <w:pPr>
        <w:snapToGrid w:val="0"/>
        <w:spacing w:line="55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；公务接待费支出决算0.00万元，占0.00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61312" behindDoc="0" locked="0" layoutInCell="1" allowOverlap="1">
            <wp:simplePos x="0" y="0"/>
            <wp:positionH relativeFrom="column">
              <wp:posOffset>167005</wp:posOffset>
            </wp:positionH>
            <wp:positionV relativeFrom="paragraph">
              <wp:posOffset>115570</wp:posOffset>
            </wp:positionV>
            <wp:extent cx="5073650" cy="2635250"/>
            <wp:effectExtent l="4445" t="4445" r="8255" b="82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napToGrid w:val="0"/>
        <w:spacing w:line="500" w:lineRule="exact"/>
        <w:jc w:val="center"/>
        <w:outlineLvl w:val="1"/>
        <w:rPr>
          <w:rFonts w:ascii="仿宋" w:hAnsi="仿宋" w:eastAsia="仿宋"/>
          <w:sz w:val="32"/>
          <w:szCs w:val="32"/>
        </w:rPr>
      </w:pPr>
      <w:bookmarkStart w:id="22" w:name="_Toc12146"/>
      <w:bookmarkStart w:id="23" w:name="_Toc1682"/>
      <w:r>
        <w:rPr>
          <w:rFonts w:hint="eastAsia" w:ascii="仿宋" w:hAnsi="仿宋" w:eastAsia="仿宋"/>
          <w:sz w:val="32"/>
          <w:szCs w:val="32"/>
        </w:rPr>
        <w:t>（图7：“三公”经费财政拨款支出结构）（饼状图）</w:t>
      </w:r>
      <w:bookmarkEnd w:id="22"/>
      <w:bookmarkEnd w:id="23"/>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5"/>
          <w:rFonts w:hint="eastAsia" w:ascii="仿宋" w:hAnsi="仿宋" w:eastAsia="仿宋"/>
          <w:b w:val="0"/>
          <w:bCs/>
          <w:sz w:val="32"/>
          <w:szCs w:val="32"/>
        </w:rPr>
        <w:t>完成预算</w:t>
      </w:r>
      <w:r>
        <w:rPr>
          <w:rFonts w:hint="eastAsia" w:ascii="仿宋_GB2312" w:eastAsia="仿宋_GB2312"/>
          <w:sz w:val="32"/>
          <w:szCs w:val="32"/>
        </w:rPr>
        <w:t>0.00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pPr>
        <w:spacing w:line="560" w:lineRule="exact"/>
        <w:ind w:firstLine="640"/>
        <w:outlineLvl w:val="2"/>
        <w:rPr>
          <w:rFonts w:ascii="仿宋_GB2312" w:eastAsia="仿宋_GB2312"/>
          <w:sz w:val="32"/>
          <w:szCs w:val="32"/>
        </w:rPr>
      </w:pPr>
      <w:r>
        <w:rPr>
          <w:rFonts w:hint="eastAsia" w:ascii="仿宋_GB2312" w:eastAsia="仿宋_GB2312"/>
          <w:sz w:val="32"/>
          <w:szCs w:val="32"/>
        </w:rPr>
        <w:t>开支内容包括：本年度未安排因公出国。</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5"/>
          <w:rFonts w:hint="eastAsia" w:ascii="仿宋" w:hAnsi="仿宋" w:eastAsia="仿宋"/>
          <w:b w:val="0"/>
          <w:bCs/>
          <w:sz w:val="32"/>
          <w:szCs w:val="32"/>
        </w:rPr>
        <w:t>完成预算0.00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。主要原因是未保留公务用车，2022年未安排公务用车购置及运行维护费支出预算，无公务用车购置及运行维护费支出。</w:t>
      </w:r>
    </w:p>
    <w:p>
      <w:pPr>
        <w:spacing w:line="560" w:lineRule="exact"/>
        <w:ind w:firstLine="640" w:firstLineChars="200"/>
        <w:outlineLvl w:val="2"/>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0.00万元。全年按规定更新购置公务用车0辆。截至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w:t>
      </w:r>
    </w:p>
    <w:p>
      <w:pPr>
        <w:spacing w:line="560" w:lineRule="exact"/>
        <w:ind w:firstLine="640"/>
        <w:outlineLvl w:val="2"/>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560" w:lineRule="exact"/>
        <w:ind w:firstLine="640"/>
        <w:outlineLvl w:val="2"/>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0.00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Fonts w:hint="eastAsia" w:ascii="仿宋" w:hAnsi="仿宋" w:eastAsia="仿宋"/>
          <w:sz w:val="32"/>
          <w:szCs w:val="32"/>
        </w:rPr>
        <w:t>0.00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560" w:lineRule="exact"/>
        <w:ind w:firstLine="642" w:firstLineChars="200"/>
        <w:outlineLvl w:val="2"/>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0.00</w:t>
      </w:r>
      <w:r>
        <w:rPr>
          <w:rFonts w:hint="eastAsia" w:ascii="仿宋_GB2312" w:eastAsia="仿宋_GB2312"/>
          <w:sz w:val="32"/>
          <w:szCs w:val="32"/>
        </w:rPr>
        <w:t>万元，外事接待0批次，0人，共计支出0.00万元。</w:t>
      </w:r>
    </w:p>
    <w:p>
      <w:pPr>
        <w:spacing w:line="560" w:lineRule="exact"/>
        <w:ind w:firstLine="640"/>
        <w:outlineLvl w:val="1"/>
        <w:rPr>
          <w:rStyle w:val="26"/>
          <w:rFonts w:ascii="黑体" w:hAnsi="黑体" w:eastAsia="黑体"/>
        </w:rPr>
      </w:pPr>
      <w:bookmarkStart w:id="24" w:name="_Toc21937"/>
      <w:r>
        <w:rPr>
          <w:rFonts w:hint="eastAsia" w:ascii="黑体" w:eastAsia="黑体"/>
          <w:sz w:val="32"/>
          <w:szCs w:val="32"/>
        </w:rPr>
        <w:t>八、</w:t>
      </w:r>
      <w:r>
        <w:rPr>
          <w:rStyle w:val="26"/>
          <w:rFonts w:hint="eastAsia" w:ascii="黑体" w:hAnsi="黑体" w:eastAsia="黑体"/>
          <w:b w:val="0"/>
        </w:rPr>
        <w:t>政府性基金预算支出决算情况说明</w:t>
      </w:r>
      <w:bookmarkEnd w:id="24"/>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22年政府性基金预算财政拨款支出0.00万元。</w:t>
      </w:r>
    </w:p>
    <w:p>
      <w:pPr>
        <w:numPr>
          <w:ilvl w:val="0"/>
          <w:numId w:val="1"/>
        </w:numPr>
        <w:spacing w:line="560" w:lineRule="exact"/>
        <w:ind w:firstLine="640"/>
        <w:outlineLvl w:val="1"/>
        <w:rPr>
          <w:rStyle w:val="26"/>
          <w:rFonts w:ascii="黑体" w:hAnsi="黑体" w:eastAsia="黑体"/>
          <w:b w:val="0"/>
        </w:rPr>
      </w:pPr>
      <w:bookmarkStart w:id="25" w:name="_Toc25869"/>
      <w:r>
        <w:rPr>
          <w:rStyle w:val="26"/>
          <w:rFonts w:hint="eastAsia" w:ascii="黑体" w:hAnsi="黑体" w:eastAsia="黑体"/>
          <w:b w:val="0"/>
        </w:rPr>
        <w:t>国有资本经营预算支出决算情况说明</w:t>
      </w:r>
      <w:bookmarkEnd w:id="25"/>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22年国有资本经营预算财政拨款支出0.00万元。</w:t>
      </w:r>
    </w:p>
    <w:p>
      <w:pPr>
        <w:numPr>
          <w:ilvl w:val="0"/>
          <w:numId w:val="1"/>
        </w:numPr>
        <w:spacing w:line="560" w:lineRule="exact"/>
        <w:ind w:firstLine="640"/>
        <w:outlineLvl w:val="1"/>
        <w:rPr>
          <w:rStyle w:val="26"/>
          <w:rFonts w:ascii="黑体" w:hAnsi="黑体" w:eastAsia="黑体"/>
          <w:b w:val="0"/>
        </w:rPr>
      </w:pPr>
      <w:bookmarkStart w:id="26" w:name="_Toc3617"/>
      <w:r>
        <w:rPr>
          <w:rStyle w:val="26"/>
          <w:rFonts w:hint="eastAsia" w:ascii="黑体" w:hAnsi="黑体" w:eastAsia="黑体"/>
          <w:b w:val="0"/>
        </w:rPr>
        <w:t>其他重要事项的情况说明</w:t>
      </w:r>
      <w:bookmarkEnd w:id="26"/>
    </w:p>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（一）机关运行经费支出情况</w:t>
      </w:r>
    </w:p>
    <w:p>
      <w:pPr>
        <w:spacing w:line="560" w:lineRule="exact"/>
        <w:ind w:firstLine="640" w:firstLineChars="200"/>
        <w:outlineLvl w:val="2"/>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22年，四川省广元市宝轮中学机关运行经费支出</w:t>
      </w:r>
      <w:r>
        <w:rPr>
          <w:rFonts w:hint="eastAsia" w:ascii="仿宋" w:hAnsi="仿宋" w:eastAsia="仿宋"/>
          <w:sz w:val="32"/>
          <w:szCs w:val="32"/>
        </w:rPr>
        <w:t>0.00</w:t>
      </w:r>
      <w:r>
        <w:rPr>
          <w:rFonts w:hint="eastAsia" w:ascii="仿宋_GB2312" w:eastAsia="仿宋_GB2312"/>
          <w:sz w:val="32"/>
          <w:szCs w:val="32"/>
        </w:rPr>
        <w:t>万元。</w:t>
      </w:r>
    </w:p>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（二）政府采购支出情况</w:t>
      </w:r>
    </w:p>
    <w:p>
      <w:pPr>
        <w:spacing w:line="560" w:lineRule="exact"/>
        <w:ind w:firstLine="640" w:firstLineChars="200"/>
        <w:outlineLvl w:val="2"/>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22年，四川省广元市宝轮中学政府采购支出总额0.00万元。授予中小企业合同金额0.00万元，占政府采购支出总额的0.00</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（三）国有资产占有使用情况</w:t>
      </w:r>
    </w:p>
    <w:p>
      <w:pPr>
        <w:autoSpaceDE w:val="0"/>
        <w:autoSpaceDN w:val="0"/>
        <w:adjustRightInd w:val="0"/>
        <w:spacing w:line="56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日，四川省广元市宝轮中学共有车辆1辆。</w:t>
      </w:r>
    </w:p>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（四）预算绩效管理情况</w:t>
      </w:r>
    </w:p>
    <w:p>
      <w:pPr>
        <w:snapToGrid w:val="0"/>
        <w:spacing w:line="54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28"/>
          <w:szCs w:val="28"/>
        </w:rPr>
        <w:t>根据预算绩效管理要求，本部门（单位）在年初预算编制阶段，组织对高中减免学费、助学金、学生营养改善计划等项目开展了预算事前绩效评估，对项目编制了绩效目标，预算执行过程中，选取高中助学金项目开展绩效监控，年终执行完毕后，对项目开展了绩效目标完成情况梳理填报</w:t>
      </w:r>
      <w:r>
        <w:rPr>
          <w:rFonts w:hint="eastAsia" w:ascii="仿宋_GB2312" w:hAnsi="仿宋_GB2312" w:eastAsia="仿宋_GB2312" w:cs="仿宋_GB2312"/>
          <w:sz w:val="32"/>
          <w:szCs w:val="32"/>
        </w:rPr>
        <w:t>，2022年特定目标类部门预算项目绩效目标自评表见附件（第四部分）。</w:t>
      </w: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numPr>
          <w:ilvl w:val="0"/>
          <w:numId w:val="2"/>
        </w:numPr>
        <w:spacing w:line="600" w:lineRule="exact"/>
        <w:ind w:firstLine="660" w:firstLineChars="150"/>
        <w:jc w:val="center"/>
        <w:outlineLvl w:val="0"/>
        <w:rPr>
          <w:rStyle w:val="25"/>
          <w:rFonts w:ascii="黑体" w:hAnsi="黑体" w:eastAsia="黑体"/>
          <w:b w:val="0"/>
        </w:rPr>
      </w:pPr>
      <w:bookmarkStart w:id="27" w:name="_Toc13602"/>
      <w:r>
        <w:rPr>
          <w:rFonts w:hint="eastAsia" w:ascii="黑体" w:hAnsi="黑体" w:eastAsia="黑体"/>
          <w:sz w:val="44"/>
          <w:szCs w:val="44"/>
        </w:rPr>
        <w:t>名</w:t>
      </w:r>
      <w:r>
        <w:rPr>
          <w:rStyle w:val="25"/>
          <w:rFonts w:hint="eastAsia" w:ascii="黑体" w:hAnsi="黑体" w:eastAsia="黑体"/>
          <w:b w:val="0"/>
        </w:rPr>
        <w:t>词解释</w:t>
      </w:r>
      <w:bookmarkEnd w:id="27"/>
    </w:p>
    <w:p>
      <w:pPr>
        <w:snapToGrid w:val="0"/>
        <w:spacing w:line="560" w:lineRule="exact"/>
        <w:jc w:val="left"/>
        <w:rPr>
          <w:rFonts w:ascii="宋体"/>
          <w:b/>
          <w:sz w:val="44"/>
          <w:szCs w:val="44"/>
        </w:rPr>
      </w:pPr>
    </w:p>
    <w:p>
      <w:pPr>
        <w:pStyle w:val="23"/>
        <w:snapToGrid w:val="0"/>
        <w:spacing w:line="560" w:lineRule="exact"/>
        <w:ind w:firstLine="640" w:firstLineChars="200"/>
        <w:rPr>
          <w:rFonts w:ascii="仿宋_GB2312" w:eastAsia="仿宋_GB2312"/>
          <w:color w:val="auto"/>
          <w:sz w:val="32"/>
          <w:szCs w:val="32"/>
        </w:rPr>
      </w:pPr>
      <w:bookmarkStart w:id="28"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28"/>
    </w:p>
    <w:p>
      <w:pPr>
        <w:pStyle w:val="23"/>
        <w:snapToGrid w:val="0"/>
        <w:spacing w:line="560" w:lineRule="exact"/>
        <w:ind w:firstLine="640" w:firstLineChars="200"/>
        <w:rPr>
          <w:rFonts w:ascii="仿宋_GB2312" w:eastAsia="仿宋_GB2312"/>
          <w:color w:val="auto"/>
          <w:sz w:val="32"/>
          <w:szCs w:val="32"/>
        </w:rPr>
      </w:pPr>
      <w:bookmarkStart w:id="29" w:name="_Toc18447"/>
      <w:r>
        <w:rPr>
          <w:rFonts w:hint="eastAsia" w:ascii="仿宋_GB2312" w:eastAsia="仿宋_GB2312"/>
          <w:color w:val="auto"/>
          <w:sz w:val="32"/>
          <w:szCs w:val="32"/>
        </w:rPr>
        <w:t>2.事业收入：指事业单位开展专业业务活动及辅助活动取得的收入。</w:t>
      </w:r>
      <w:bookmarkEnd w:id="29"/>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napToGrid w:val="0"/>
        <w:spacing w:line="560" w:lineRule="exact"/>
        <w:ind w:firstLine="640" w:firstLineChars="200"/>
        <w:rPr>
          <w:rFonts w:ascii="仿宋_GB2312" w:eastAsia="仿宋_GB2312"/>
          <w:color w:val="auto"/>
          <w:sz w:val="32"/>
          <w:szCs w:val="32"/>
        </w:rPr>
      </w:pPr>
      <w:bookmarkStart w:id="30" w:name="_Toc20496"/>
      <w:r>
        <w:rPr>
          <w:rFonts w:hint="eastAsia" w:ascii="仿宋_GB2312" w:eastAsia="仿宋_GB2312"/>
          <w:color w:val="auto"/>
          <w:sz w:val="32"/>
          <w:szCs w:val="32"/>
        </w:rPr>
        <w:t>6.年初结转和结余：指以前年度尚未完成、结转到本年按有关规定继续使用的资金。</w:t>
      </w:r>
      <w:bookmarkEnd w:id="30"/>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3"/>
        <w:snapToGrid w:val="0"/>
        <w:spacing w:line="560" w:lineRule="exact"/>
        <w:ind w:firstLine="640" w:firstLineChars="200"/>
        <w:rPr>
          <w:rFonts w:ascii="仿宋_GB2312" w:eastAsia="仿宋_GB2312"/>
          <w:color w:val="auto"/>
          <w:sz w:val="32"/>
          <w:szCs w:val="32"/>
        </w:rPr>
      </w:pPr>
      <w:bookmarkStart w:id="31" w:name="_Toc1650"/>
      <w:r>
        <w:rPr>
          <w:rFonts w:hint="eastAsia" w:ascii="仿宋_GB2312" w:eastAsia="仿宋_GB2312"/>
          <w:color w:val="auto"/>
          <w:sz w:val="32"/>
          <w:szCs w:val="32"/>
        </w:rPr>
        <w:t>8、年末结转和结余：指单位按有关规定结转到下年或以后年度继续使用的资金。</w:t>
      </w:r>
      <w:bookmarkEnd w:id="31"/>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 教育支出（类）普通教育（款）初中教育（项）: 反映各部门举办的初中教育支出。政府各部门对社会中介组织等举办的初中教育的资助，如捐赠、补贴等，也在本科目中反映。</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 教育支出（类）普通教育（款）高中教育（项）: 反映各部门举办的高级中学教育支出。政府各部门对社会中介组织等举办的高级中学的资助，如捐赠、补贴等，也在本科目中反映。</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 教育支出（类）普通教育（款）其它普通教育（项）: 反映除上述项目以外其他用于普通教育方面的支出。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指行政事业单位按人力资源和社会保障部、财政部规定的基本工资和津贴补贴以及规定比例为职工缴纳的住房公积金。</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.基本支出：指为保障机构正常运转、完成日常工作任务而发生的人员支出和公用支出。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 xml:space="preserve">.项目支出：指在基本支出之外为完成特定行政任务和事业发展目标所发生的支出。 </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5.经营支出：指事业单位在专业业务活动及其辅助活动之外开展非独立核算经营活动发生的支出。</w:t>
      </w:r>
    </w:p>
    <w:p>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60" w:lineRule="exact"/>
        <w:ind w:firstLine="640" w:firstLineChars="200"/>
        <w:outlineLvl w:val="2"/>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93"/>
        <w:rPr>
          <w:rFonts w:ascii="宋体"/>
          <w:b/>
          <w:sz w:val="44"/>
          <w:szCs w:val="44"/>
        </w:rPr>
      </w:pPr>
      <w:r>
        <w:rPr>
          <w:rFonts w:ascii="宋体"/>
          <w:b/>
          <w:sz w:val="44"/>
          <w:szCs w:val="44"/>
        </w:rPr>
        <w:br w:type="page"/>
      </w:r>
      <w:bookmarkStart w:id="32" w:name="_Toc21571"/>
    </w:p>
    <w:p>
      <w:pPr>
        <w:pStyle w:val="2"/>
        <w:spacing w:before="93"/>
        <w:rPr>
          <w:rFonts w:ascii="宋体"/>
          <w:b/>
          <w:sz w:val="44"/>
          <w:szCs w:val="44"/>
        </w:rPr>
      </w:pPr>
    </w:p>
    <w:p>
      <w:pPr>
        <w:spacing w:line="600" w:lineRule="exact"/>
        <w:jc w:val="center"/>
        <w:outlineLvl w:val="0"/>
        <w:rPr>
          <w:rStyle w:val="25"/>
          <w:rFonts w:hint="eastAsia" w:ascii="黑体" w:hAnsi="黑体" w:eastAsia="黑体"/>
          <w:b w:val="0"/>
          <w:color w:val="auto"/>
          <w:highlight w:val="none"/>
        </w:rPr>
      </w:pPr>
      <w:bookmarkStart w:id="33"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33"/>
    </w:p>
    <w:p>
      <w:pPr>
        <w:spacing w:line="600" w:lineRule="exact"/>
        <w:jc w:val="center"/>
        <w:outlineLvl w:val="0"/>
        <w:rPr>
          <w:rStyle w:val="25"/>
          <w:rFonts w:hint="eastAsia" w:ascii="黑体" w:hAnsi="黑体" w:eastAsia="黑体"/>
          <w:b w:val="0"/>
          <w:color w:val="auto"/>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部门预算项目支出绩效自评表(2022年度)</w:t>
      </w: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pStyle w:val="2"/>
        <w:spacing w:before="93"/>
        <w:rPr>
          <w:rFonts w:ascii="宋体"/>
          <w:b/>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32"/>
    </w:p>
    <w:p>
      <w:pPr>
        <w:pStyle w:val="5"/>
        <w:snapToGrid w:val="0"/>
        <w:spacing w:before="0" w:after="0" w:line="560" w:lineRule="exact"/>
        <w:rPr>
          <w:rFonts w:ascii="仿宋" w:hAnsi="仿宋" w:eastAsia="仿宋"/>
          <w:b w:val="0"/>
        </w:rPr>
      </w:pPr>
    </w:p>
    <w:p>
      <w:pPr>
        <w:pStyle w:val="5"/>
        <w:snapToGrid w:val="0"/>
        <w:spacing w:before="0" w:after="0" w:line="620" w:lineRule="exact"/>
        <w:ind w:firstLine="640" w:firstLineChars="200"/>
        <w:rPr>
          <w:rFonts w:ascii="仿宋" w:hAnsi="仿宋" w:eastAsia="仿宋"/>
        </w:rPr>
      </w:pPr>
      <w:bookmarkStart w:id="34" w:name="_Toc2168"/>
      <w:r>
        <w:rPr>
          <w:rFonts w:hint="eastAsia" w:ascii="仿宋" w:hAnsi="仿宋" w:eastAsia="仿宋"/>
          <w:b w:val="0"/>
        </w:rPr>
        <w:t>一、收</w:t>
      </w:r>
      <w:r>
        <w:rPr>
          <w:rStyle w:val="26"/>
          <w:rFonts w:hint="eastAsia" w:ascii="仿宋" w:hAnsi="仿宋" w:eastAsia="仿宋"/>
          <w:b w:val="0"/>
          <w:bCs w:val="0"/>
        </w:rPr>
        <w:t>入支出决算总表</w:t>
      </w:r>
      <w:bookmarkEnd w:id="34"/>
    </w:p>
    <w:p>
      <w:pPr>
        <w:pStyle w:val="5"/>
        <w:snapToGrid w:val="0"/>
        <w:spacing w:before="0" w:after="0" w:line="620" w:lineRule="exact"/>
        <w:ind w:firstLine="640" w:firstLineChars="200"/>
        <w:rPr>
          <w:rFonts w:ascii="仿宋" w:hAnsi="仿宋" w:eastAsia="仿宋"/>
        </w:rPr>
      </w:pPr>
      <w:bookmarkStart w:id="35" w:name="_Toc22077"/>
      <w:r>
        <w:rPr>
          <w:rFonts w:hint="eastAsia" w:ascii="仿宋" w:hAnsi="仿宋" w:eastAsia="仿宋"/>
          <w:b w:val="0"/>
        </w:rPr>
        <w:t>二、收</w:t>
      </w:r>
      <w:r>
        <w:rPr>
          <w:rStyle w:val="26"/>
          <w:rFonts w:hint="eastAsia" w:ascii="仿宋" w:hAnsi="仿宋" w:eastAsia="仿宋"/>
          <w:b w:val="0"/>
          <w:bCs w:val="0"/>
        </w:rPr>
        <w:t>入决算表</w:t>
      </w:r>
      <w:bookmarkEnd w:id="35"/>
    </w:p>
    <w:p>
      <w:pPr>
        <w:pStyle w:val="5"/>
        <w:snapToGrid w:val="0"/>
        <w:spacing w:before="0" w:after="0" w:line="620" w:lineRule="exact"/>
        <w:ind w:firstLine="640" w:firstLineChars="200"/>
        <w:rPr>
          <w:rFonts w:ascii="仿宋" w:hAnsi="仿宋" w:eastAsia="仿宋"/>
        </w:rPr>
      </w:pPr>
      <w:bookmarkStart w:id="36" w:name="_Toc575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36"/>
    </w:p>
    <w:p>
      <w:pPr>
        <w:pStyle w:val="5"/>
        <w:snapToGrid w:val="0"/>
        <w:spacing w:before="0" w:after="0" w:line="620" w:lineRule="exact"/>
        <w:ind w:firstLine="640" w:firstLineChars="200"/>
        <w:rPr>
          <w:rFonts w:ascii="仿宋" w:hAnsi="仿宋" w:eastAsia="仿宋"/>
          <w:b w:val="0"/>
        </w:rPr>
      </w:pPr>
      <w:bookmarkStart w:id="37" w:name="_Toc24351"/>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37"/>
    </w:p>
    <w:p>
      <w:pPr>
        <w:pStyle w:val="5"/>
        <w:snapToGrid w:val="0"/>
        <w:spacing w:before="0" w:after="0" w:line="620" w:lineRule="exact"/>
        <w:ind w:firstLine="640" w:firstLineChars="200"/>
        <w:rPr>
          <w:rStyle w:val="26"/>
          <w:rFonts w:ascii="仿宋" w:hAnsi="仿宋" w:eastAsia="仿宋"/>
          <w:b w:val="0"/>
          <w:bCs w:val="0"/>
        </w:rPr>
      </w:pPr>
      <w:bookmarkStart w:id="38" w:name="_Toc597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38"/>
    </w:p>
    <w:p>
      <w:pPr>
        <w:pStyle w:val="5"/>
        <w:snapToGrid w:val="0"/>
        <w:spacing w:before="0" w:after="0" w:line="620" w:lineRule="exact"/>
        <w:ind w:firstLine="640" w:firstLineChars="200"/>
        <w:rPr>
          <w:rFonts w:ascii="仿宋" w:hAnsi="仿宋" w:eastAsia="仿宋"/>
        </w:rPr>
      </w:pPr>
      <w:bookmarkStart w:id="39" w:name="_Toc2805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39"/>
    </w:p>
    <w:p>
      <w:pPr>
        <w:pStyle w:val="5"/>
        <w:snapToGrid w:val="0"/>
        <w:spacing w:before="0" w:after="0" w:line="620" w:lineRule="exact"/>
        <w:ind w:firstLine="640" w:firstLineChars="200"/>
        <w:rPr>
          <w:rFonts w:ascii="仿宋" w:hAnsi="仿宋" w:eastAsia="仿宋"/>
        </w:rPr>
      </w:pPr>
      <w:bookmarkStart w:id="40" w:name="_Toc3541"/>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40"/>
    </w:p>
    <w:p>
      <w:pPr>
        <w:pStyle w:val="5"/>
        <w:snapToGrid w:val="0"/>
        <w:spacing w:before="0" w:after="0" w:line="620" w:lineRule="exact"/>
        <w:ind w:firstLine="640" w:firstLineChars="200"/>
        <w:rPr>
          <w:rFonts w:ascii="仿宋" w:hAnsi="仿宋" w:eastAsia="仿宋"/>
        </w:rPr>
      </w:pPr>
      <w:bookmarkStart w:id="41" w:name="_Toc9470"/>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41"/>
    </w:p>
    <w:p>
      <w:pPr>
        <w:pStyle w:val="5"/>
        <w:snapToGrid w:val="0"/>
        <w:spacing w:before="0" w:after="0" w:line="620" w:lineRule="exact"/>
        <w:ind w:firstLine="640" w:firstLineChars="200"/>
        <w:rPr>
          <w:rFonts w:ascii="仿宋" w:hAnsi="仿宋" w:eastAsia="仿宋"/>
        </w:rPr>
      </w:pPr>
      <w:bookmarkStart w:id="42" w:name="_Toc5378"/>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42"/>
    </w:p>
    <w:p>
      <w:pPr>
        <w:pStyle w:val="5"/>
        <w:snapToGrid w:val="0"/>
        <w:spacing w:before="0" w:after="0" w:line="620" w:lineRule="exact"/>
        <w:ind w:firstLine="640" w:firstLineChars="200"/>
        <w:rPr>
          <w:rFonts w:ascii="仿宋" w:hAnsi="仿宋" w:eastAsia="仿宋"/>
        </w:rPr>
      </w:pPr>
      <w:bookmarkStart w:id="43" w:name="_Toc3305"/>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43"/>
    </w:p>
    <w:p>
      <w:pPr>
        <w:pStyle w:val="5"/>
        <w:snapToGrid w:val="0"/>
        <w:spacing w:before="0" w:after="0" w:line="620" w:lineRule="exact"/>
        <w:ind w:firstLine="640" w:firstLineChars="200"/>
        <w:rPr>
          <w:rFonts w:ascii="仿宋" w:hAnsi="仿宋" w:eastAsia="仿宋"/>
        </w:rPr>
      </w:pPr>
      <w:bookmarkStart w:id="44" w:name="_Toc21518"/>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44"/>
    </w:p>
    <w:p>
      <w:pPr>
        <w:pStyle w:val="5"/>
        <w:snapToGrid w:val="0"/>
        <w:spacing w:before="0" w:after="0" w:line="620" w:lineRule="exact"/>
        <w:ind w:firstLine="640" w:firstLineChars="200"/>
        <w:rPr>
          <w:rFonts w:ascii="仿宋" w:hAnsi="仿宋" w:eastAsia="仿宋"/>
        </w:rPr>
      </w:pPr>
      <w:bookmarkStart w:id="45" w:name="_Toc7681"/>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45"/>
    </w:p>
    <w:p>
      <w:pPr>
        <w:pStyle w:val="5"/>
        <w:snapToGrid w:val="0"/>
        <w:spacing w:before="0" w:after="0" w:line="620" w:lineRule="exact"/>
        <w:ind w:firstLine="640" w:firstLineChars="200"/>
        <w:rPr>
          <w:rStyle w:val="26"/>
          <w:rFonts w:ascii="仿宋" w:hAnsi="仿宋" w:eastAsia="仿宋"/>
          <w:b w:val="0"/>
          <w:bCs w:val="0"/>
        </w:rPr>
      </w:pPr>
      <w:bookmarkStart w:id="46" w:name="_Toc7733"/>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46"/>
    </w:p>
    <w:p>
      <w:pPr>
        <w:snapToGrid w:val="0"/>
        <w:spacing w:line="620" w:lineRule="exact"/>
        <w:ind w:firstLine="640" w:firstLineChars="200"/>
        <w:outlineLvl w:val="1"/>
        <w:rPr>
          <w:rStyle w:val="26"/>
          <w:rFonts w:ascii="仿宋" w:hAnsi="仿宋" w:eastAsia="仿宋"/>
          <w:b w:val="0"/>
          <w:bCs w:val="0"/>
        </w:rPr>
      </w:pPr>
      <w:bookmarkStart w:id="47" w:name="_Toc3811"/>
      <w:r>
        <w:rPr>
          <w:rStyle w:val="26"/>
          <w:rFonts w:hint="eastAsia" w:ascii="仿宋" w:hAnsi="仿宋" w:eastAsia="仿宋"/>
          <w:b w:val="0"/>
          <w:bCs w:val="0"/>
        </w:rPr>
        <w:t>十四、国有资本经营预算财政拨款支出决算表</w:t>
      </w:r>
      <w:bookmarkEnd w:id="47"/>
    </w:p>
    <w:p>
      <w:pPr>
        <w:widowControl/>
        <w:jc w:val="left"/>
        <w:rPr>
          <w:rFonts w:eastAsia="仿宋"/>
        </w:rPr>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jZTBmYmZhMjYwMTI1OWZhNWY2NjQ0YTYyMDNmYTAifQ=="/>
  </w:docVars>
  <w:rsids>
    <w:rsidRoot w:val="00F1361C"/>
    <w:rsid w:val="00020F4A"/>
    <w:rsid w:val="0002133A"/>
    <w:rsid w:val="000222C6"/>
    <w:rsid w:val="0002549F"/>
    <w:rsid w:val="000468DB"/>
    <w:rsid w:val="000536CB"/>
    <w:rsid w:val="0006487A"/>
    <w:rsid w:val="00065F8F"/>
    <w:rsid w:val="00070A43"/>
    <w:rsid w:val="000768F2"/>
    <w:rsid w:val="00080CC9"/>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05A2"/>
    <w:rsid w:val="00142216"/>
    <w:rsid w:val="00144D6A"/>
    <w:rsid w:val="0014729F"/>
    <w:rsid w:val="00157BAB"/>
    <w:rsid w:val="0016184B"/>
    <w:rsid w:val="001654D1"/>
    <w:rsid w:val="00174518"/>
    <w:rsid w:val="0018106D"/>
    <w:rsid w:val="001877A7"/>
    <w:rsid w:val="00191536"/>
    <w:rsid w:val="00196687"/>
    <w:rsid w:val="001B0A5B"/>
    <w:rsid w:val="001B1F82"/>
    <w:rsid w:val="001C0962"/>
    <w:rsid w:val="001D7531"/>
    <w:rsid w:val="001E737D"/>
    <w:rsid w:val="001F0592"/>
    <w:rsid w:val="001F1A72"/>
    <w:rsid w:val="001F7506"/>
    <w:rsid w:val="002006CD"/>
    <w:rsid w:val="00202B36"/>
    <w:rsid w:val="00204B7A"/>
    <w:rsid w:val="00204CDE"/>
    <w:rsid w:val="0021101A"/>
    <w:rsid w:val="00220536"/>
    <w:rsid w:val="00234C8C"/>
    <w:rsid w:val="00235629"/>
    <w:rsid w:val="00260C38"/>
    <w:rsid w:val="002614DC"/>
    <w:rsid w:val="002616C0"/>
    <w:rsid w:val="00265372"/>
    <w:rsid w:val="002662AA"/>
    <w:rsid w:val="00280496"/>
    <w:rsid w:val="00294DC9"/>
    <w:rsid w:val="00295205"/>
    <w:rsid w:val="00295495"/>
    <w:rsid w:val="002A31DE"/>
    <w:rsid w:val="002B2613"/>
    <w:rsid w:val="002D6D05"/>
    <w:rsid w:val="002E5835"/>
    <w:rsid w:val="002F1818"/>
    <w:rsid w:val="002F567B"/>
    <w:rsid w:val="003216A9"/>
    <w:rsid w:val="00335A74"/>
    <w:rsid w:val="003441D7"/>
    <w:rsid w:val="003617A0"/>
    <w:rsid w:val="0036561B"/>
    <w:rsid w:val="0037013F"/>
    <w:rsid w:val="00380C92"/>
    <w:rsid w:val="003A484F"/>
    <w:rsid w:val="003A4883"/>
    <w:rsid w:val="003B0BE0"/>
    <w:rsid w:val="003B0C1B"/>
    <w:rsid w:val="003B688C"/>
    <w:rsid w:val="003C0291"/>
    <w:rsid w:val="003C11DD"/>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BD1"/>
    <w:rsid w:val="004F0FBD"/>
    <w:rsid w:val="00505A47"/>
    <w:rsid w:val="00512FDA"/>
    <w:rsid w:val="0051783F"/>
    <w:rsid w:val="00520DA0"/>
    <w:rsid w:val="005664BB"/>
    <w:rsid w:val="00566FFA"/>
    <w:rsid w:val="00570819"/>
    <w:rsid w:val="0057481D"/>
    <w:rsid w:val="00582BCC"/>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1241"/>
    <w:rsid w:val="0066343B"/>
    <w:rsid w:val="00664777"/>
    <w:rsid w:val="006748A4"/>
    <w:rsid w:val="00681A31"/>
    <w:rsid w:val="00683E73"/>
    <w:rsid w:val="006A3141"/>
    <w:rsid w:val="006A5E34"/>
    <w:rsid w:val="006B2422"/>
    <w:rsid w:val="006B2B9A"/>
    <w:rsid w:val="006C1937"/>
    <w:rsid w:val="006F020C"/>
    <w:rsid w:val="00700A88"/>
    <w:rsid w:val="007127B7"/>
    <w:rsid w:val="0071798E"/>
    <w:rsid w:val="00732B3A"/>
    <w:rsid w:val="007416B6"/>
    <w:rsid w:val="00746F48"/>
    <w:rsid w:val="0075404D"/>
    <w:rsid w:val="00755F3B"/>
    <w:rsid w:val="0076182A"/>
    <w:rsid w:val="00767B7E"/>
    <w:rsid w:val="007770C3"/>
    <w:rsid w:val="00784D24"/>
    <w:rsid w:val="00785FBA"/>
    <w:rsid w:val="00786E4A"/>
    <w:rsid w:val="007875EB"/>
    <w:rsid w:val="0079426B"/>
    <w:rsid w:val="007C2541"/>
    <w:rsid w:val="007C32BD"/>
    <w:rsid w:val="007D1682"/>
    <w:rsid w:val="007D312A"/>
    <w:rsid w:val="007D3F19"/>
    <w:rsid w:val="007E1D0C"/>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31BB"/>
    <w:rsid w:val="008E707C"/>
    <w:rsid w:val="008F5A66"/>
    <w:rsid w:val="00900B08"/>
    <w:rsid w:val="00902155"/>
    <w:rsid w:val="00902FA3"/>
    <w:rsid w:val="00923564"/>
    <w:rsid w:val="0092392E"/>
    <w:rsid w:val="009315F9"/>
    <w:rsid w:val="00933499"/>
    <w:rsid w:val="00935C98"/>
    <w:rsid w:val="00946945"/>
    <w:rsid w:val="00951248"/>
    <w:rsid w:val="0095152F"/>
    <w:rsid w:val="00954C49"/>
    <w:rsid w:val="00955D3E"/>
    <w:rsid w:val="00955E37"/>
    <w:rsid w:val="0097099F"/>
    <w:rsid w:val="00971997"/>
    <w:rsid w:val="00971FFC"/>
    <w:rsid w:val="0098284C"/>
    <w:rsid w:val="0098660A"/>
    <w:rsid w:val="009931C3"/>
    <w:rsid w:val="009B2C43"/>
    <w:rsid w:val="009B4EAE"/>
    <w:rsid w:val="009B7573"/>
    <w:rsid w:val="009C22F4"/>
    <w:rsid w:val="009C2A4B"/>
    <w:rsid w:val="009C2E98"/>
    <w:rsid w:val="009D3447"/>
    <w:rsid w:val="009D4711"/>
    <w:rsid w:val="009F1185"/>
    <w:rsid w:val="009F18CD"/>
    <w:rsid w:val="009F1959"/>
    <w:rsid w:val="009F2A13"/>
    <w:rsid w:val="009F45F4"/>
    <w:rsid w:val="009F7527"/>
    <w:rsid w:val="00A00103"/>
    <w:rsid w:val="00A04EB0"/>
    <w:rsid w:val="00A13CC1"/>
    <w:rsid w:val="00A16847"/>
    <w:rsid w:val="00A237D8"/>
    <w:rsid w:val="00A268C4"/>
    <w:rsid w:val="00A307CD"/>
    <w:rsid w:val="00A331C8"/>
    <w:rsid w:val="00A40A00"/>
    <w:rsid w:val="00A4142F"/>
    <w:rsid w:val="00A422EB"/>
    <w:rsid w:val="00A45BB7"/>
    <w:rsid w:val="00A56DF2"/>
    <w:rsid w:val="00A56E6E"/>
    <w:rsid w:val="00A61E5F"/>
    <w:rsid w:val="00A67AB5"/>
    <w:rsid w:val="00A733B2"/>
    <w:rsid w:val="00A741C2"/>
    <w:rsid w:val="00A91760"/>
    <w:rsid w:val="00A93B00"/>
    <w:rsid w:val="00A93C21"/>
    <w:rsid w:val="00AB56B6"/>
    <w:rsid w:val="00AB64C9"/>
    <w:rsid w:val="00AC3C6A"/>
    <w:rsid w:val="00AC74A5"/>
    <w:rsid w:val="00AD5620"/>
    <w:rsid w:val="00AD656B"/>
    <w:rsid w:val="00AD7C1B"/>
    <w:rsid w:val="00AE16BA"/>
    <w:rsid w:val="00AE1EBE"/>
    <w:rsid w:val="00AF0E03"/>
    <w:rsid w:val="00B03C9D"/>
    <w:rsid w:val="00B060AE"/>
    <w:rsid w:val="00B06969"/>
    <w:rsid w:val="00B10517"/>
    <w:rsid w:val="00B14E76"/>
    <w:rsid w:val="00B161B8"/>
    <w:rsid w:val="00B2048C"/>
    <w:rsid w:val="00B310B9"/>
    <w:rsid w:val="00B35F3F"/>
    <w:rsid w:val="00B36CBB"/>
    <w:rsid w:val="00B425E0"/>
    <w:rsid w:val="00B42933"/>
    <w:rsid w:val="00B440AA"/>
    <w:rsid w:val="00B44B70"/>
    <w:rsid w:val="00B53A88"/>
    <w:rsid w:val="00B53C56"/>
    <w:rsid w:val="00B57DAF"/>
    <w:rsid w:val="00B77EA6"/>
    <w:rsid w:val="00B81598"/>
    <w:rsid w:val="00B841F1"/>
    <w:rsid w:val="00B855EA"/>
    <w:rsid w:val="00B944D6"/>
    <w:rsid w:val="00BB4DF0"/>
    <w:rsid w:val="00BC289F"/>
    <w:rsid w:val="00BC2D50"/>
    <w:rsid w:val="00BC5361"/>
    <w:rsid w:val="00BC5460"/>
    <w:rsid w:val="00BC6B50"/>
    <w:rsid w:val="00BD0E25"/>
    <w:rsid w:val="00BF1A76"/>
    <w:rsid w:val="00BF4D98"/>
    <w:rsid w:val="00BF5BD6"/>
    <w:rsid w:val="00C03E31"/>
    <w:rsid w:val="00C33E72"/>
    <w:rsid w:val="00C354B2"/>
    <w:rsid w:val="00C35554"/>
    <w:rsid w:val="00C42709"/>
    <w:rsid w:val="00C533CC"/>
    <w:rsid w:val="00C53632"/>
    <w:rsid w:val="00C5751C"/>
    <w:rsid w:val="00C61BFC"/>
    <w:rsid w:val="00C62B85"/>
    <w:rsid w:val="00C65438"/>
    <w:rsid w:val="00C70F3A"/>
    <w:rsid w:val="00C848E7"/>
    <w:rsid w:val="00C87FD8"/>
    <w:rsid w:val="00C91381"/>
    <w:rsid w:val="00C91CBB"/>
    <w:rsid w:val="00CB4E70"/>
    <w:rsid w:val="00CC09B6"/>
    <w:rsid w:val="00CC666F"/>
    <w:rsid w:val="00CC6AC1"/>
    <w:rsid w:val="00CD1E3F"/>
    <w:rsid w:val="00CE3D49"/>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74DA"/>
    <w:rsid w:val="00D837A9"/>
    <w:rsid w:val="00D87655"/>
    <w:rsid w:val="00DA634F"/>
    <w:rsid w:val="00DA65AC"/>
    <w:rsid w:val="00DB1913"/>
    <w:rsid w:val="00DC410D"/>
    <w:rsid w:val="00DC5A81"/>
    <w:rsid w:val="00DC68CA"/>
    <w:rsid w:val="00DC7CBA"/>
    <w:rsid w:val="00DD3658"/>
    <w:rsid w:val="00DD73B7"/>
    <w:rsid w:val="00DF28BC"/>
    <w:rsid w:val="00DF34B9"/>
    <w:rsid w:val="00E01053"/>
    <w:rsid w:val="00E05DDF"/>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36E0"/>
    <w:rsid w:val="00EF4C34"/>
    <w:rsid w:val="00EF77C6"/>
    <w:rsid w:val="00F05438"/>
    <w:rsid w:val="00F1361C"/>
    <w:rsid w:val="00F156F0"/>
    <w:rsid w:val="00F160C7"/>
    <w:rsid w:val="00F2408F"/>
    <w:rsid w:val="00F240E9"/>
    <w:rsid w:val="00F345B2"/>
    <w:rsid w:val="00F36D8F"/>
    <w:rsid w:val="00F417B1"/>
    <w:rsid w:val="00F45853"/>
    <w:rsid w:val="00F602DF"/>
    <w:rsid w:val="00F754A1"/>
    <w:rsid w:val="00F81FD9"/>
    <w:rsid w:val="00F841AA"/>
    <w:rsid w:val="00F84A94"/>
    <w:rsid w:val="00F87E96"/>
    <w:rsid w:val="00FA23E8"/>
    <w:rsid w:val="00FD3CC1"/>
    <w:rsid w:val="00FE4B2D"/>
    <w:rsid w:val="00FF1E02"/>
    <w:rsid w:val="00FF30B4"/>
    <w:rsid w:val="053A62B5"/>
    <w:rsid w:val="0971298B"/>
    <w:rsid w:val="099F43B8"/>
    <w:rsid w:val="0A2032A3"/>
    <w:rsid w:val="0B8A37D8"/>
    <w:rsid w:val="10C055FF"/>
    <w:rsid w:val="118107EC"/>
    <w:rsid w:val="11DD6519"/>
    <w:rsid w:val="152534E9"/>
    <w:rsid w:val="154F4A0A"/>
    <w:rsid w:val="15A85EC8"/>
    <w:rsid w:val="16BB723D"/>
    <w:rsid w:val="18015F3F"/>
    <w:rsid w:val="1BE8440E"/>
    <w:rsid w:val="1D155CEE"/>
    <w:rsid w:val="1E6D1634"/>
    <w:rsid w:val="1F8923E2"/>
    <w:rsid w:val="20C644B7"/>
    <w:rsid w:val="20F57F95"/>
    <w:rsid w:val="240371BF"/>
    <w:rsid w:val="25711CC6"/>
    <w:rsid w:val="25C741E6"/>
    <w:rsid w:val="27842671"/>
    <w:rsid w:val="29FD04D3"/>
    <w:rsid w:val="2ABE7A3E"/>
    <w:rsid w:val="2CA234A8"/>
    <w:rsid w:val="2CC4681D"/>
    <w:rsid w:val="2DE37D5D"/>
    <w:rsid w:val="2EFA178C"/>
    <w:rsid w:val="2EFF5196"/>
    <w:rsid w:val="30AE03DF"/>
    <w:rsid w:val="30B46D73"/>
    <w:rsid w:val="319F7F4E"/>
    <w:rsid w:val="35867B7C"/>
    <w:rsid w:val="382D42DF"/>
    <w:rsid w:val="383D272C"/>
    <w:rsid w:val="391B682D"/>
    <w:rsid w:val="39AE70AB"/>
    <w:rsid w:val="3BC136BC"/>
    <w:rsid w:val="3C0C0783"/>
    <w:rsid w:val="3EA51073"/>
    <w:rsid w:val="3EE25C0A"/>
    <w:rsid w:val="3F9F3A96"/>
    <w:rsid w:val="439711A6"/>
    <w:rsid w:val="474451A1"/>
    <w:rsid w:val="48BF60AB"/>
    <w:rsid w:val="493C27E9"/>
    <w:rsid w:val="496F39ED"/>
    <w:rsid w:val="49FF41D3"/>
    <w:rsid w:val="4BE068DB"/>
    <w:rsid w:val="4BF6002B"/>
    <w:rsid w:val="4ECE2238"/>
    <w:rsid w:val="51DB4B86"/>
    <w:rsid w:val="55333C3E"/>
    <w:rsid w:val="5AC32B55"/>
    <w:rsid w:val="64CA39A1"/>
    <w:rsid w:val="69630ADE"/>
    <w:rsid w:val="6C4A05C8"/>
    <w:rsid w:val="6D3B1A89"/>
    <w:rsid w:val="711C66C3"/>
    <w:rsid w:val="71BF4EC2"/>
    <w:rsid w:val="71F735F3"/>
    <w:rsid w:val="72734D90"/>
    <w:rsid w:val="7412278C"/>
    <w:rsid w:val="79E7B28D"/>
    <w:rsid w:val="7A5EB706"/>
    <w:rsid w:val="7B5E6DC8"/>
    <w:rsid w:val="7CC55E61"/>
    <w:rsid w:val="7F9F20EE"/>
    <w:rsid w:val="9E3A10E2"/>
    <w:rsid w:val="F2E1F9D4"/>
    <w:rsid w:val="F7880819"/>
    <w:rsid w:val="FEFB15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image" Target="media/image2.png"/><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Lbls>
            <c:dLbl>
              <c:idx val="0"/>
              <c:layout>
                <c:manualLayout>
                  <c:x val="-0.0441459184332534"/>
                  <c:y val="-0.1331269349845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一般公共预算财政拨款收入, 5795.39万元, 93.47%</a:t>
                    </a:r>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329280038526366"/>
                      <c:h val="0.160990712074303"/>
                    </c:manualLayout>
                  </c15:layout>
                </c:ext>
              </c:extLst>
            </c:dLbl>
            <c:dLbl>
              <c:idx val="1"/>
              <c:layout>
                <c:manualLayout>
                  <c:x val="-0.0465004777162107"/>
                  <c:y val="0.0134158926728586"/>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事业收入</a:t>
                    </a:r>
                    <a:r>
                      <a:rPr lang="en-US" altLang="zh-CN"/>
                      <a:t>320</a:t>
                    </a:r>
                    <a:r>
                      <a:rPr altLang="en-US"/>
                      <a:t>万元，</a:t>
                    </a:r>
                    <a:r>
                      <a:rPr lang="en-US" altLang="zh-CN"/>
                      <a:t>5.16</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18676019298803"/>
                  <c:y val="0"/>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其他收入</a:t>
                    </a:r>
                    <a:r>
                      <a:rPr lang="en-US" altLang="zh-CN"/>
                      <a:t>84.6</a:t>
                    </a:r>
                    <a:r>
                      <a:rPr altLang="en-US"/>
                      <a:t>万元</a:t>
                    </a:r>
                    <a:r>
                      <a:rPr lang="en-US" altLang="zh-CN"/>
                      <a:t>,1.36%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5795.39</c:v>
                </c:pt>
                <c:pt idx="1">
                  <c:v>320</c:v>
                </c:pt>
                <c:pt idx="2">
                  <c:v>84.6</c:v>
                </c:pt>
              </c:numCache>
            </c:numRef>
          </c:val>
        </c:ser>
        <c:dLbls>
          <c:showLegendKey val="false"/>
          <c:showVal val="true"/>
          <c:showCatName val="tru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Lbls>
            <c:dLbl>
              <c:idx val="0"/>
              <c:layout>
                <c:manualLayout>
                  <c:x val="-0.0850533087503605"/>
                  <c:y val="0.18786500835710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基本支出
</a:t>
                    </a:r>
                    <a:r>
                      <a:rPr lang="en-US" altLang="en-US"/>
                      <a:t>5739.97</a:t>
                    </a:r>
                    <a:r>
                      <a:rPr altLang="en-US"/>
                      <a:t>
</a:t>
                    </a:r>
                    <a:r>
                      <a:rPr lang="en-US" altLang="en-US"/>
                      <a:t>91.33</a:t>
                    </a:r>
                    <a:r>
                      <a:rPr altLang="en-US"/>
                      <a:t>%</a:t>
                    </a:r>
                    <a:endParaRPr altLang="en-US"/>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23913896462115"/>
                  <c:y val="-0.22066776989791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项目支出
</a:t>
                    </a:r>
                    <a:r>
                      <a:rPr lang="en-US" altLang="en-US"/>
                      <a:t>544.93</a:t>
                    </a:r>
                    <a:r>
                      <a:rPr altLang="en-US"/>
                      <a:t>
</a:t>
                    </a:r>
                    <a:r>
                      <a:rPr lang="en-US" altLang="en-US"/>
                      <a:t>8.67</a:t>
                    </a:r>
                    <a:r>
                      <a:rPr altLang="en-US"/>
                      <a:t>%</a:t>
                    </a:r>
                    <a:endParaRPr altLang="en-US"/>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5644.89</c:v>
                </c:pt>
                <c:pt idx="1">
                  <c:v>669.71</c:v>
                </c:pt>
              </c:numCache>
            </c:numRef>
          </c:val>
        </c:ser>
        <c:dLbls>
          <c:showLegendKey val="false"/>
          <c:showVal val="true"/>
          <c:showCatName val="true"/>
          <c:showSerName val="false"/>
          <c:showPercent val="true"/>
          <c:showBubbleSize val="false"/>
          <c:showLeaderLines val="true"/>
        </c:dLbls>
        <c:firstSliceAng val="0"/>
      </c:pieChart>
    </c:plotArea>
    <c:legend>
      <c:legendPos val="r"/>
      <c:layout>
        <c:manualLayout>
          <c:xMode val="edge"/>
          <c:yMode val="edge"/>
          <c:x val="0.731158198892363"/>
          <c:y val="0.33849329205366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Lbls>
            <c:dLbl>
              <c:idx val="0"/>
              <c:layout>
                <c:manualLayout>
                  <c:x val="-0.00415685620961155"/>
                  <c:y val="-0.26080386823813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教育支出
</a:t>
                    </a:r>
                    <a:r>
                      <a:rPr lang="en-US" altLang="en-US"/>
                      <a:t>5588.98</a:t>
                    </a:r>
                    <a:r>
                      <a:rPr altLang="en-US"/>
                      <a:t>
</a:t>
                    </a:r>
                    <a:r>
                      <a:rPr lang="en-US" altLang="en-US"/>
                      <a:t>95.05</a:t>
                    </a:r>
                    <a:r>
                      <a:rPr altLang="en-US"/>
                      <a:t>%</a:t>
                    </a:r>
                    <a:endParaRPr altLang="en-US"/>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89776407300894"/>
                  <c:y val="0"/>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住房公积金</a:t>
                    </a:r>
                    <a:r>
                      <a:rPr altLang="en-US"/>
                      <a:t>支出
</a:t>
                    </a:r>
                    <a:r>
                      <a:rPr lang="en-US" altLang="en-US"/>
                      <a:t>291.32</a:t>
                    </a:r>
                    <a:r>
                      <a:rPr altLang="en-US"/>
                      <a:t>
</a:t>
                    </a:r>
                    <a:r>
                      <a:rPr lang="en-US" altLang="en-US"/>
                      <a:t>4.95</a:t>
                    </a:r>
                    <a:r>
                      <a:rPr lang="en-US" altLang="zh-CN"/>
                      <a:t>%</a:t>
                    </a:r>
                    <a:endParaRPr altLang="en-US"/>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92066155321189"/>
                      <c:h val="0.238742822605017"/>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教育支出</c:v>
                </c:pt>
                <c:pt idx="1">
                  <c:v>社会保障和就业支出</c:v>
                </c:pt>
              </c:strCache>
            </c:strRef>
          </c:cat>
          <c:val>
            <c:numRef>
              <c:f>Sheet1!$B$2:$B$3</c:f>
              <c:numCache>
                <c:formatCode>#,##0.00</c:formatCode>
                <c:ptCount val="2"/>
                <c:pt idx="0">
                  <c:v>5105.03</c:v>
                </c:pt>
                <c:pt idx="1" c:formatCode="General">
                  <c:v>680.97</c:v>
                </c:pt>
              </c:numCache>
            </c:numRef>
          </c:val>
        </c:ser>
        <c:dLbls>
          <c:showLegendKey val="false"/>
          <c:showVal val="true"/>
          <c:showCatName val="true"/>
          <c:showSerName val="false"/>
          <c:showPercent val="true"/>
          <c:showBubbleSize val="false"/>
          <c:showLeaderLines val="true"/>
        </c:dLbls>
        <c:firstSliceAng val="0"/>
      </c:pieChart>
    </c:plotArea>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false"/>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360450563204009"/>
                  <c:y val="0.0975903614457844"/>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false"/>
          <c:showVal val="true"/>
          <c:showCatName val="true"/>
          <c:showSerName val="false"/>
          <c:showPercent val="true"/>
          <c:showBubbleSize val="false"/>
          <c:showLeaderLines val="true"/>
        </c:dLbls>
        <c:firstSliceAng val="0"/>
      </c:pieChart>
      <c:spPr>
        <a:noFill/>
        <a:ln>
          <a:noFill/>
        </a:ln>
        <a:effectLst/>
      </c:spPr>
    </c:plotArea>
    <c:legend>
      <c:legendPos val="t"/>
      <c:layout>
        <c:manualLayout>
          <c:xMode val="edge"/>
          <c:yMode val="edge"/>
          <c:x val="0.72540675844806"/>
          <c:y val="0.675903614457838"/>
          <c:w val="0.261576971214023"/>
          <c:h val="0.30987951807229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14949</Words>
  <Characters>15725</Characters>
  <Lines>135</Lines>
  <Paragraphs>38</Paragraphs>
  <TotalTime>3</TotalTime>
  <ScaleCrop>false</ScaleCrop>
  <LinksUpToDate>false</LinksUpToDate>
  <CharactersWithSpaces>15929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2023-09-20T00:20:00Z</dcterms:created>
  <dc:creator>曹颖</dc:creator>
  <cp:lastModifiedBy>user</cp:lastModifiedBy>
  <cp:lastPrinted>2023-07-31T18:35:00Z</cp:lastPrinted>
  <dcterms:modified xsi:type="dcterms:W3CDTF">2023-10-15T13:31:50Z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31164C75495546E8A7C1B924A76E3D61_12</vt:lpwstr>
  </property>
</Properties>
</file>