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70"/>
          <w:szCs w:val="70"/>
          <w:highlight w:val="none"/>
        </w:rPr>
      </w:pPr>
      <w:bookmarkStart w:id="1" w:name="_Toc15396597"/>
      <w:bookmarkStart w:id="2" w:name="_Toc19089858"/>
      <w:bookmarkStart w:id="3" w:name="_Toc15396475"/>
      <w:bookmarkStart w:id="4" w:name="_Toc15377425"/>
      <w:bookmarkStart w:id="5" w:name="_Toc15377193"/>
      <w:bookmarkStart w:id="6" w:name="_Toc15378441"/>
      <w:r>
        <w:rPr>
          <w:rFonts w:hint="eastAsia" w:ascii="方正小标宋简体" w:hAnsi="方正小标宋简体" w:eastAsia="方正小标宋简体" w:cs="方正小标宋简体"/>
          <w:color w:val="auto"/>
          <w:sz w:val="70"/>
          <w:szCs w:val="70"/>
          <w:highlight w:val="none"/>
        </w:rPr>
        <w:t>202</w:t>
      </w:r>
      <w:r>
        <w:rPr>
          <w:rFonts w:hint="eastAsia" w:ascii="方正小标宋简体" w:hAnsi="方正小标宋简体" w:eastAsia="方正小标宋简体" w:cs="方正小标宋简体"/>
          <w:color w:val="auto"/>
          <w:sz w:val="70"/>
          <w:szCs w:val="70"/>
          <w:highlight w:val="none"/>
          <w:lang w:val="en-US" w:eastAsia="zh-CN"/>
        </w:rPr>
        <w:t>2</w:t>
      </w:r>
      <w:r>
        <w:rPr>
          <w:rFonts w:hint="eastAsia" w:ascii="方正小标宋简体" w:hAnsi="方正小标宋简体" w:eastAsia="方正小标宋简体" w:cs="方正小标宋简体"/>
          <w:color w:val="auto"/>
          <w:sz w:val="70"/>
          <w:szCs w:val="70"/>
          <w:highlight w:val="none"/>
        </w:rPr>
        <w:t>年度</w:t>
      </w:r>
      <w:bookmarkEnd w:id="1"/>
      <w:bookmarkEnd w:id="2"/>
      <w:bookmarkEnd w:id="3"/>
      <w:bookmarkEnd w:id="4"/>
      <w:bookmarkEnd w:id="5"/>
      <w:bookmarkEnd w:id="6"/>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0"/>
          <w:szCs w:val="70"/>
          <w:highlight w:val="none"/>
          <w:lang w:eastAsia="zh-CN"/>
        </w:rPr>
      </w:pPr>
      <w:bookmarkStart w:id="7" w:name="_Toc19089859"/>
      <w:bookmarkStart w:id="8" w:name="_Toc15306268"/>
      <w:bookmarkStart w:id="9" w:name="_Toc15377426"/>
      <w:bookmarkStart w:id="10" w:name="_Toc15377194"/>
      <w:bookmarkStart w:id="11" w:name="_Toc15378442"/>
      <w:bookmarkStart w:id="12" w:name="_Toc15396598"/>
      <w:bookmarkStart w:id="13" w:name="_Toc15396476"/>
      <w:r>
        <w:rPr>
          <w:rFonts w:hint="eastAsia" w:ascii="方正小标宋简体" w:hAnsi="方正小标宋简体" w:eastAsia="方正小标宋简体" w:cs="方正小标宋简体"/>
          <w:color w:val="auto"/>
          <w:sz w:val="70"/>
          <w:szCs w:val="70"/>
          <w:highlight w:val="none"/>
          <w:lang w:eastAsia="zh-CN"/>
        </w:rPr>
        <w:t>广元市</w:t>
      </w:r>
      <w:r>
        <w:rPr>
          <w:rFonts w:hint="eastAsia" w:ascii="方正小标宋简体" w:hAnsi="方正小标宋简体" w:eastAsia="方正小标宋简体" w:cs="方正小标宋简体"/>
          <w:color w:val="auto"/>
          <w:sz w:val="70"/>
          <w:szCs w:val="70"/>
          <w:highlight w:val="none"/>
        </w:rPr>
        <w:t>利州区</w:t>
      </w:r>
      <w:bookmarkEnd w:id="7"/>
      <w:r>
        <w:rPr>
          <w:rFonts w:hint="eastAsia" w:ascii="方正小标宋简体" w:hAnsi="方正小标宋简体" w:eastAsia="方正小标宋简体" w:cs="方正小标宋简体"/>
          <w:color w:val="auto"/>
          <w:sz w:val="70"/>
          <w:szCs w:val="70"/>
          <w:highlight w:val="none"/>
          <w:lang w:eastAsia="zh-CN"/>
        </w:rPr>
        <w:t>杨家浩小学</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0"/>
          <w:szCs w:val="70"/>
          <w:highlight w:val="none"/>
        </w:rPr>
      </w:pPr>
      <w:bookmarkStart w:id="14" w:name="_Toc19089860"/>
      <w:r>
        <w:rPr>
          <w:rFonts w:hint="eastAsia" w:ascii="方正小标宋简体" w:hAnsi="方正小标宋简体" w:eastAsia="方正小标宋简体" w:cs="方正小标宋简体"/>
          <w:color w:val="auto"/>
          <w:sz w:val="70"/>
          <w:szCs w:val="70"/>
          <w:highlight w:val="none"/>
        </w:rPr>
        <w:t>部门决算</w:t>
      </w:r>
      <w:bookmarkEnd w:id="8"/>
      <w:bookmarkEnd w:id="9"/>
      <w:bookmarkEnd w:id="10"/>
      <w:bookmarkEnd w:id="11"/>
      <w:bookmarkEnd w:id="12"/>
      <w:bookmarkEnd w:id="13"/>
      <w:bookmarkEnd w:id="14"/>
    </w:p>
    <w:p>
      <w:pPr>
        <w:widowControl/>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 xml:space="preserve"> </w:t>
      </w:r>
    </w:p>
    <w:p>
      <w:pPr>
        <w:pStyle w:val="12"/>
        <w:rPr>
          <w:rFonts w:hint="default"/>
          <w:lang w:val="en-US" w:eastAsia="zh-CN"/>
        </w:rPr>
      </w:pPr>
    </w:p>
    <w:p>
      <w:pPr>
        <w:pStyle w:val="12"/>
        <w:rPr>
          <w:rFonts w:hint="eastAsia" w:ascii="方正小标宋简体" w:hAnsi="方正小标宋简体" w:eastAsia="方正小标宋简体" w:cs="方正小标宋简体"/>
          <w:sz w:val="40"/>
          <w:szCs w:val="40"/>
          <w:lang w:val="en-US" w:eastAsia="zh-CN"/>
        </w:rPr>
      </w:pPr>
    </w:p>
    <w:p>
      <w:pPr>
        <w:rPr>
          <w:rFonts w:hint="eastAsia"/>
          <w:lang w:val="en-US" w:eastAsia="zh-CN"/>
        </w:rPr>
      </w:pPr>
    </w:p>
    <w:p>
      <w:pPr>
        <w:widowControl/>
        <w:jc w:val="center"/>
        <w:rPr>
          <w:rFonts w:hint="eastAsia" w:ascii="方正小标宋简体" w:hAnsi="方正小标宋简体" w:eastAsia="方正小标宋简体" w:cs="方正小标宋简体"/>
          <w:sz w:val="44"/>
          <w:szCs w:val="44"/>
        </w:rPr>
      </w:pPr>
    </w:p>
    <w:p>
      <w:pPr>
        <w:widowControl/>
        <w:jc w:val="center"/>
        <w:rPr>
          <w:rFonts w:hint="eastAsia" w:ascii="方正小标宋简体" w:hAnsi="方正小标宋简体" w:eastAsia="方正小标宋简体" w:cs="方正小标宋简体"/>
          <w:sz w:val="44"/>
          <w:szCs w:val="44"/>
        </w:rPr>
      </w:pPr>
    </w:p>
    <w:p>
      <w:pPr>
        <w:widowControl/>
        <w:jc w:val="center"/>
        <w:rPr>
          <w:rFonts w:hint="eastAsia" w:ascii="方正小标宋简体" w:hAnsi="方正小标宋简体" w:eastAsia="方正小标宋简体" w:cs="方正小标宋简体"/>
          <w:sz w:val="44"/>
          <w:szCs w:val="44"/>
        </w:rPr>
      </w:pPr>
    </w:p>
    <w:p>
      <w:pPr>
        <w:widowControl/>
        <w:jc w:val="center"/>
        <w:rPr>
          <w:rFonts w:hint="eastAsia" w:ascii="方正小标宋简体" w:hAnsi="方正小标宋简体" w:eastAsia="方正小标宋简体" w:cs="方正小标宋简体"/>
          <w:sz w:val="44"/>
          <w:szCs w:val="44"/>
        </w:rPr>
      </w:pPr>
    </w:p>
    <w:p>
      <w:pPr>
        <w:widowControl/>
        <w:jc w:val="center"/>
        <w:rPr>
          <w:rFonts w:hint="eastAsia" w:ascii="方正小标宋简体" w:hAnsi="方正小标宋简体" w:eastAsia="方正小标宋简体" w:cs="方正小标宋简体"/>
          <w:sz w:val="44"/>
          <w:szCs w:val="44"/>
        </w:rPr>
      </w:pPr>
    </w:p>
    <w:p>
      <w:pPr>
        <w:widowControl/>
        <w:jc w:val="center"/>
        <w:rPr>
          <w:rFonts w:hint="eastAsia" w:ascii="方正小标宋简体" w:hAnsi="方正小标宋简体" w:eastAsia="方正小标宋简体" w:cs="方正小标宋简体"/>
          <w:sz w:val="44"/>
          <w:szCs w:val="44"/>
        </w:rPr>
      </w:pPr>
    </w:p>
    <w:p>
      <w:pPr>
        <w:widowControl/>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pStyle w:val="11"/>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 xml:space="preserve">10 </w:t>
      </w:r>
      <w:r>
        <w:rPr>
          <w:rFonts w:hint="eastAsia"/>
          <w:color w:val="auto"/>
          <w:highlight w:val="none"/>
        </w:rPr>
        <w:t>月</w:t>
      </w:r>
      <w:r>
        <w:rPr>
          <w:rFonts w:hint="eastAsia"/>
          <w:color w:val="auto"/>
          <w:highlight w:val="none"/>
          <w:lang w:val="en-US" w:eastAsia="zh-CN"/>
        </w:rPr>
        <w:t xml:space="preserve">15 </w:t>
      </w:r>
      <w:r>
        <w:rPr>
          <w:rFonts w:hint="eastAsia"/>
          <w:color w:val="auto"/>
          <w:highlight w:val="none"/>
        </w:rPr>
        <w:t>日</w:t>
      </w:r>
    </w:p>
    <w:p>
      <w:pPr>
        <w:pStyle w:val="12"/>
      </w:pP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黑体" w:hAnsi="黑体" w:eastAsia="黑体"/>
          <w:sz w:val="32"/>
          <w:szCs w:val="32"/>
          <w:lang w:val="en-US" w:eastAsia="zh-CN"/>
        </w:rPr>
      </w:pPr>
      <w:r>
        <w:rPr>
          <w:rFonts w:hint="eastAsia" w:ascii="黑体" w:hAnsi="黑体" w:eastAsia="黑体"/>
          <w:sz w:val="32"/>
          <w:szCs w:val="32"/>
        </w:rPr>
        <w:t>第一部分 部门概况</w:t>
      </w:r>
      <w:r>
        <w:rPr>
          <w:rFonts w:hint="eastAsia" w:ascii="黑体" w:hAnsi="黑体" w:eastAsia="黑体"/>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rPr>
        <w:t>一、</w:t>
      </w:r>
      <w:r>
        <w:rPr>
          <w:rFonts w:hint="eastAsia" w:ascii="仿宋" w:hAnsi="仿宋" w:eastAsia="仿宋"/>
          <w:sz w:val="32"/>
          <w:szCs w:val="32"/>
          <w:lang w:val="en-US" w:eastAsia="zh-CN"/>
        </w:rPr>
        <w:t>职能简介</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二</w:t>
      </w:r>
      <w:r>
        <w:rPr>
          <w:rFonts w:hint="eastAsia" w:ascii="仿宋" w:hAnsi="仿宋" w:eastAsia="仿宋"/>
          <w:sz w:val="32"/>
          <w:szCs w:val="32"/>
        </w:rPr>
        <w:t>、</w:t>
      </w:r>
      <w:r>
        <w:rPr>
          <w:rFonts w:hint="eastAsia" w:ascii="仿宋" w:hAnsi="仿宋" w:eastAsia="仿宋"/>
          <w:sz w:val="32"/>
          <w:szCs w:val="32"/>
          <w:lang w:val="en-US" w:eastAsia="zh-CN"/>
        </w:rPr>
        <w:t xml:space="preserve">2022 年重点工作完成情况 </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default" w:ascii="仿宋" w:hAnsi="仿宋" w:eastAsia="仿宋"/>
          <w:sz w:val="32"/>
          <w:szCs w:val="32"/>
          <w:lang w:val="en-US" w:eastAsia="zh-CN"/>
        </w:rPr>
      </w:pPr>
      <w:r>
        <w:rPr>
          <w:rFonts w:hint="eastAsia" w:ascii="黑体" w:hAnsi="黑体" w:eastAsia="黑体"/>
          <w:sz w:val="32"/>
          <w:szCs w:val="32"/>
        </w:rPr>
        <w:t>第二部分 202</w:t>
      </w:r>
      <w:r>
        <w:rPr>
          <w:rFonts w:hint="eastAsia" w:ascii="黑体" w:hAnsi="黑体" w:eastAsia="黑体"/>
          <w:sz w:val="32"/>
          <w:szCs w:val="32"/>
          <w:lang w:val="en-US" w:eastAsia="zh-CN"/>
        </w:rPr>
        <w:t>2</w:t>
      </w:r>
      <w:r>
        <w:rPr>
          <w:rFonts w:hint="eastAsia" w:ascii="黑体" w:hAnsi="黑体" w:eastAsia="黑体"/>
          <w:sz w:val="32"/>
          <w:szCs w:val="32"/>
        </w:rPr>
        <w:t>年度部门决算情况说明</w:t>
      </w:r>
      <w:r>
        <w:rPr>
          <w:rFonts w:hint="eastAsia" w:ascii="黑体" w:hAnsi="黑体" w:eastAsia="黑体"/>
          <w:sz w:val="22"/>
          <w:szCs w:val="22"/>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default" w:ascii="仿宋" w:hAnsi="仿宋" w:eastAsia="仿宋"/>
          <w:sz w:val="32"/>
          <w:szCs w:val="32"/>
          <w:lang w:val="en-US" w:eastAsia="zh-CN"/>
        </w:rPr>
      </w:pPr>
      <w:r>
        <w:rPr>
          <w:rFonts w:hint="eastAsia" w:ascii="仿宋" w:hAnsi="仿宋" w:eastAsia="仿宋"/>
          <w:sz w:val="32"/>
          <w:szCs w:val="32"/>
        </w:rPr>
        <w:t>一、收入支出决算总体情况说明</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default" w:ascii="仿宋" w:hAnsi="仿宋" w:eastAsia="仿宋"/>
          <w:sz w:val="32"/>
          <w:szCs w:val="32"/>
          <w:lang w:val="en-US" w:eastAsia="zh-CN"/>
        </w:rPr>
      </w:pPr>
      <w:r>
        <w:rPr>
          <w:rFonts w:hint="eastAsia" w:ascii="仿宋" w:hAnsi="仿宋" w:eastAsia="仿宋"/>
          <w:sz w:val="32"/>
          <w:szCs w:val="32"/>
        </w:rPr>
        <w:t>二、收入决算情况说明</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default" w:ascii="仿宋" w:hAnsi="仿宋" w:eastAsia="仿宋"/>
          <w:sz w:val="32"/>
          <w:szCs w:val="32"/>
          <w:lang w:val="en-US" w:eastAsia="zh-CN"/>
        </w:rPr>
      </w:pPr>
      <w:r>
        <w:rPr>
          <w:rFonts w:hint="eastAsia" w:ascii="仿宋" w:hAnsi="仿宋" w:eastAsia="仿宋"/>
          <w:sz w:val="32"/>
          <w:szCs w:val="32"/>
        </w:rPr>
        <w:t>三、支出决算情况说明</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default" w:ascii="仿宋" w:hAnsi="仿宋" w:eastAsia="仿宋"/>
          <w:sz w:val="32"/>
          <w:szCs w:val="32"/>
          <w:lang w:val="en-US" w:eastAsia="zh-CN"/>
        </w:rPr>
      </w:pPr>
      <w:r>
        <w:rPr>
          <w:rFonts w:hint="eastAsia" w:ascii="仿宋" w:hAnsi="仿宋" w:eastAsia="仿宋"/>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default" w:ascii="仿宋" w:hAnsi="仿宋" w:eastAsia="仿宋"/>
          <w:sz w:val="32"/>
          <w:szCs w:val="32"/>
          <w:lang w:val="en-US" w:eastAsia="zh-CN"/>
        </w:rPr>
      </w:pPr>
      <w:r>
        <w:rPr>
          <w:rFonts w:hint="eastAsia" w:ascii="仿宋" w:hAnsi="仿宋" w:eastAsia="仿宋"/>
          <w:sz w:val="32"/>
          <w:szCs w:val="32"/>
        </w:rPr>
        <w:t>五、一般公共预算财政拨款支出决算情况说明</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default" w:ascii="仿宋" w:hAnsi="仿宋" w:eastAsia="仿宋"/>
          <w:sz w:val="32"/>
          <w:szCs w:val="32"/>
          <w:lang w:val="en-US" w:eastAsia="zh-CN"/>
        </w:rPr>
      </w:pPr>
      <w:r>
        <w:rPr>
          <w:rFonts w:hint="eastAsia" w:ascii="仿宋" w:hAnsi="仿宋" w:eastAsia="仿宋"/>
          <w:sz w:val="32"/>
          <w:szCs w:val="32"/>
        </w:rPr>
        <w:t>六、一般公共预算财政拨款基本支出决算情况说明</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default" w:ascii="仿宋" w:hAnsi="仿宋" w:eastAsia="仿宋"/>
          <w:sz w:val="32"/>
          <w:szCs w:val="32"/>
          <w:lang w:val="en-US" w:eastAsia="zh-CN"/>
        </w:rPr>
      </w:pPr>
      <w:r>
        <w:rPr>
          <w:rFonts w:hint="eastAsia" w:ascii="仿宋" w:hAnsi="仿宋" w:eastAsia="仿宋"/>
          <w:sz w:val="32"/>
          <w:szCs w:val="32"/>
        </w:rPr>
        <w:t>七、“三公”经费财政拨款支出决算情况说明</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default" w:ascii="仿宋" w:hAnsi="仿宋" w:eastAsia="仿宋"/>
          <w:sz w:val="32"/>
          <w:szCs w:val="32"/>
          <w:lang w:val="en-US" w:eastAsia="zh-CN"/>
        </w:rPr>
      </w:pPr>
      <w:r>
        <w:rPr>
          <w:rFonts w:hint="eastAsia" w:ascii="仿宋" w:hAnsi="仿宋" w:eastAsia="仿宋"/>
          <w:sz w:val="32"/>
          <w:szCs w:val="32"/>
        </w:rPr>
        <w:t>八、政府性基金预算支出决算情况说明</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default" w:ascii="仿宋" w:hAnsi="仿宋" w:eastAsia="仿宋"/>
          <w:sz w:val="32"/>
          <w:szCs w:val="32"/>
          <w:lang w:val="en-US" w:eastAsia="zh-CN"/>
        </w:rPr>
      </w:pPr>
      <w:r>
        <w:rPr>
          <w:rFonts w:hint="eastAsia" w:ascii="仿宋" w:hAnsi="仿宋" w:eastAsia="仿宋"/>
          <w:sz w:val="32"/>
          <w:szCs w:val="32"/>
        </w:rPr>
        <w:t>九、国有资本经营预算支出决算情况说明</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default" w:ascii="仿宋" w:hAnsi="仿宋" w:eastAsia="仿宋"/>
          <w:sz w:val="32"/>
          <w:szCs w:val="32"/>
          <w:lang w:val="en-US" w:eastAsia="zh-CN"/>
        </w:rPr>
      </w:pPr>
      <w:r>
        <w:rPr>
          <w:rFonts w:hint="eastAsia" w:ascii="仿宋" w:hAnsi="仿宋" w:eastAsia="仿宋"/>
          <w:sz w:val="32"/>
          <w:szCs w:val="32"/>
        </w:rPr>
        <w:t>十、预算绩效情况说明</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default" w:ascii="仿宋" w:hAnsi="仿宋" w:eastAsia="仿宋"/>
          <w:sz w:val="32"/>
          <w:szCs w:val="32"/>
          <w:lang w:val="en-US" w:eastAsia="zh-CN"/>
        </w:rPr>
      </w:pPr>
      <w:r>
        <w:rPr>
          <w:rFonts w:hint="eastAsia" w:ascii="仿宋" w:hAnsi="仿宋" w:eastAsia="仿宋"/>
          <w:sz w:val="32"/>
          <w:szCs w:val="32"/>
        </w:rPr>
        <w:t>十一、其他重要事项的情况说明</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default" w:ascii="仿宋" w:hAnsi="仿宋" w:eastAsia="仿宋"/>
          <w:sz w:val="32"/>
          <w:szCs w:val="32"/>
          <w:lang w:val="en-US" w:eastAsia="zh-CN"/>
        </w:rPr>
      </w:pPr>
      <w:r>
        <w:rPr>
          <w:rFonts w:hint="eastAsia" w:ascii="黑体" w:hAnsi="黑体" w:eastAsia="黑体" w:cs="黑体"/>
          <w:sz w:val="32"/>
          <w:szCs w:val="32"/>
        </w:rPr>
        <w:t>第三部分 名词解释</w:t>
      </w:r>
      <w:r>
        <w:rPr>
          <w:rFonts w:hint="eastAsia" w:ascii="黑体" w:hAnsi="黑体" w:eastAsia="黑体" w:cs="黑体"/>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default" w:ascii="仿宋" w:hAnsi="仿宋" w:eastAsia="仿宋"/>
          <w:sz w:val="32"/>
          <w:szCs w:val="32"/>
          <w:lang w:val="en-US" w:eastAsia="zh-CN"/>
        </w:rPr>
      </w:pPr>
      <w:r>
        <w:rPr>
          <w:rFonts w:hint="eastAsia" w:ascii="黑体" w:hAnsi="黑体" w:eastAsia="黑体" w:cs="黑体"/>
          <w:sz w:val="32"/>
          <w:szCs w:val="32"/>
        </w:rPr>
        <w:t>第四部分 附件</w:t>
      </w:r>
      <w:r>
        <w:rPr>
          <w:rFonts w:hint="eastAsia" w:ascii="黑体" w:hAnsi="黑体" w:eastAsia="黑体" w:cs="黑体"/>
          <w:sz w:val="32"/>
          <w:szCs w:val="32"/>
          <w:lang w:val="en-US" w:eastAsia="zh-CN"/>
        </w:rPr>
        <w:t xml:space="preserve"> </w:t>
      </w:r>
    </w:p>
    <w:p>
      <w:pPr>
        <w:ind w:firstLine="640" w:firstLineChars="200"/>
      </w:pPr>
      <w:r>
        <w:rPr>
          <w:rStyle w:val="30"/>
          <w:rFonts w:hint="eastAsia" w:ascii="仿宋" w:hAnsi="仿宋" w:eastAsia="仿宋"/>
          <w:b w:val="0"/>
          <w:bCs w:val="0"/>
          <w:color w:val="auto"/>
          <w:highlight w:val="none"/>
          <w:lang w:val="en-US" w:eastAsia="zh-CN" w:bidi="ar-SA"/>
        </w:rPr>
        <w:t>部门预算项目支出绩效自评表（2022年度）</w:t>
      </w:r>
    </w:p>
    <w:p>
      <w:pPr>
        <w:pStyle w:val="2"/>
        <w:numPr>
          <w:ilvl w:val="0"/>
          <w:numId w:val="1"/>
        </w:numPr>
        <w:spacing w:line="360" w:lineRule="auto"/>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附表 </w:t>
      </w:r>
    </w:p>
    <w:p>
      <w:pPr>
        <w:keepNext w:val="0"/>
        <w:keepLines w:val="0"/>
        <w:pageBreakBefore w:val="0"/>
        <w:widowControl/>
        <w:kinsoku/>
        <w:wordWrap/>
        <w:overflowPunct/>
        <w:topLinePunct w:val="0"/>
        <w:autoSpaceDE/>
        <w:autoSpaceDN/>
        <w:bidi w:val="0"/>
        <w:adjustRightInd/>
        <w:snapToGrid w:val="0"/>
        <w:spacing w:line="360" w:lineRule="auto"/>
        <w:ind w:firstLine="320" w:firstLineChars="1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一、收入支出决算总表</w:t>
      </w:r>
    </w:p>
    <w:p>
      <w:pPr>
        <w:keepNext w:val="0"/>
        <w:keepLines w:val="0"/>
        <w:pageBreakBefore w:val="0"/>
        <w:widowControl/>
        <w:kinsoku/>
        <w:wordWrap/>
        <w:overflowPunct/>
        <w:topLinePunct w:val="0"/>
        <w:autoSpaceDE/>
        <w:autoSpaceDN/>
        <w:bidi w:val="0"/>
        <w:adjustRightInd/>
        <w:snapToGrid w:val="0"/>
        <w:spacing w:line="360" w:lineRule="auto"/>
        <w:ind w:firstLine="320" w:firstLineChars="1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二、收入决算表</w:t>
      </w:r>
    </w:p>
    <w:p>
      <w:pPr>
        <w:keepNext w:val="0"/>
        <w:keepLines w:val="0"/>
        <w:pageBreakBefore w:val="0"/>
        <w:widowControl/>
        <w:kinsoku/>
        <w:wordWrap/>
        <w:overflowPunct/>
        <w:topLinePunct w:val="0"/>
        <w:autoSpaceDE/>
        <w:autoSpaceDN/>
        <w:bidi w:val="0"/>
        <w:adjustRightInd/>
        <w:snapToGrid w:val="0"/>
        <w:spacing w:line="360" w:lineRule="auto"/>
        <w:ind w:firstLine="320" w:firstLineChars="1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三、支出决算表</w:t>
      </w:r>
    </w:p>
    <w:p>
      <w:pPr>
        <w:keepNext w:val="0"/>
        <w:keepLines w:val="0"/>
        <w:pageBreakBefore w:val="0"/>
        <w:widowControl/>
        <w:kinsoku/>
        <w:wordWrap/>
        <w:overflowPunct/>
        <w:topLinePunct w:val="0"/>
        <w:autoSpaceDE/>
        <w:autoSpaceDN/>
        <w:bidi w:val="0"/>
        <w:adjustRightInd/>
        <w:snapToGrid w:val="0"/>
        <w:spacing w:line="360" w:lineRule="auto"/>
        <w:ind w:firstLine="320" w:firstLineChars="1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四、财政拨款收入支出决算总表</w:t>
      </w:r>
    </w:p>
    <w:p>
      <w:pPr>
        <w:keepNext w:val="0"/>
        <w:keepLines w:val="0"/>
        <w:pageBreakBefore w:val="0"/>
        <w:widowControl/>
        <w:kinsoku/>
        <w:wordWrap/>
        <w:overflowPunct/>
        <w:topLinePunct w:val="0"/>
        <w:autoSpaceDE/>
        <w:autoSpaceDN/>
        <w:bidi w:val="0"/>
        <w:adjustRightInd/>
        <w:snapToGrid w:val="0"/>
        <w:spacing w:line="360" w:lineRule="auto"/>
        <w:ind w:firstLine="320" w:firstLineChars="1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五、财政拨款支出决算明细表</w:t>
      </w:r>
    </w:p>
    <w:p>
      <w:pPr>
        <w:keepNext w:val="0"/>
        <w:keepLines w:val="0"/>
        <w:pageBreakBefore w:val="0"/>
        <w:widowControl/>
        <w:kinsoku/>
        <w:wordWrap/>
        <w:overflowPunct/>
        <w:topLinePunct w:val="0"/>
        <w:autoSpaceDE/>
        <w:autoSpaceDN/>
        <w:bidi w:val="0"/>
        <w:adjustRightInd/>
        <w:snapToGrid w:val="0"/>
        <w:spacing w:line="360" w:lineRule="auto"/>
        <w:ind w:firstLine="320" w:firstLineChars="1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六、一般公共预算财政拨款支出决算表</w:t>
      </w:r>
    </w:p>
    <w:p>
      <w:pPr>
        <w:keepNext w:val="0"/>
        <w:keepLines w:val="0"/>
        <w:pageBreakBefore w:val="0"/>
        <w:widowControl/>
        <w:kinsoku/>
        <w:wordWrap/>
        <w:overflowPunct/>
        <w:topLinePunct w:val="0"/>
        <w:autoSpaceDE/>
        <w:autoSpaceDN/>
        <w:bidi w:val="0"/>
        <w:adjustRightInd/>
        <w:snapToGrid w:val="0"/>
        <w:spacing w:line="360" w:lineRule="auto"/>
        <w:ind w:firstLine="320" w:firstLineChars="1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七、一般公共预算财政拨款支出决算明细表</w:t>
      </w:r>
    </w:p>
    <w:p>
      <w:pPr>
        <w:keepNext w:val="0"/>
        <w:keepLines w:val="0"/>
        <w:pageBreakBefore w:val="0"/>
        <w:widowControl/>
        <w:kinsoku/>
        <w:wordWrap/>
        <w:overflowPunct/>
        <w:topLinePunct w:val="0"/>
        <w:autoSpaceDE/>
        <w:autoSpaceDN/>
        <w:bidi w:val="0"/>
        <w:adjustRightInd/>
        <w:snapToGrid w:val="0"/>
        <w:spacing w:line="360" w:lineRule="auto"/>
        <w:ind w:firstLine="320" w:firstLineChars="1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八、一般公共预算财政拨款基本支出决算表</w:t>
      </w:r>
    </w:p>
    <w:p>
      <w:pPr>
        <w:keepNext w:val="0"/>
        <w:keepLines w:val="0"/>
        <w:pageBreakBefore w:val="0"/>
        <w:widowControl/>
        <w:kinsoku/>
        <w:wordWrap/>
        <w:overflowPunct/>
        <w:topLinePunct w:val="0"/>
        <w:autoSpaceDE/>
        <w:autoSpaceDN/>
        <w:bidi w:val="0"/>
        <w:adjustRightInd/>
        <w:snapToGrid w:val="0"/>
        <w:spacing w:line="360" w:lineRule="auto"/>
        <w:ind w:firstLine="320" w:firstLineChars="1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九、一般公共预算财政拨款项目支出决算表</w:t>
      </w:r>
    </w:p>
    <w:p>
      <w:pPr>
        <w:keepNext w:val="0"/>
        <w:keepLines w:val="0"/>
        <w:pageBreakBefore w:val="0"/>
        <w:widowControl/>
        <w:kinsoku/>
        <w:wordWrap/>
        <w:overflowPunct/>
        <w:topLinePunct w:val="0"/>
        <w:autoSpaceDE/>
        <w:autoSpaceDN/>
        <w:bidi w:val="0"/>
        <w:adjustRightInd/>
        <w:snapToGrid w:val="0"/>
        <w:spacing w:line="360" w:lineRule="auto"/>
        <w:ind w:firstLine="320" w:firstLineChars="1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十、一般公共预算财政拨款“三公”经费支出决算表</w:t>
      </w:r>
    </w:p>
    <w:p>
      <w:pPr>
        <w:keepNext w:val="0"/>
        <w:keepLines w:val="0"/>
        <w:pageBreakBefore w:val="0"/>
        <w:widowControl/>
        <w:kinsoku/>
        <w:wordWrap/>
        <w:overflowPunct/>
        <w:topLinePunct w:val="0"/>
        <w:autoSpaceDE/>
        <w:autoSpaceDN/>
        <w:bidi w:val="0"/>
        <w:adjustRightInd/>
        <w:snapToGrid w:val="0"/>
        <w:spacing w:line="360" w:lineRule="auto"/>
        <w:ind w:firstLine="320" w:firstLineChars="1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十一、政府性基金预算财政拨款收入支出决算表</w:t>
      </w:r>
    </w:p>
    <w:p>
      <w:pPr>
        <w:keepNext w:val="0"/>
        <w:keepLines w:val="0"/>
        <w:pageBreakBefore w:val="0"/>
        <w:widowControl/>
        <w:kinsoku/>
        <w:wordWrap/>
        <w:overflowPunct/>
        <w:topLinePunct w:val="0"/>
        <w:autoSpaceDE/>
        <w:autoSpaceDN/>
        <w:bidi w:val="0"/>
        <w:adjustRightInd/>
        <w:snapToGrid w:val="0"/>
        <w:spacing w:line="360" w:lineRule="auto"/>
        <w:ind w:firstLine="320" w:firstLineChars="1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十二、政府性基金预算财政拨款“三公”经费支出决算表</w:t>
      </w:r>
    </w:p>
    <w:p>
      <w:pPr>
        <w:keepNext w:val="0"/>
        <w:keepLines w:val="0"/>
        <w:pageBreakBefore w:val="0"/>
        <w:widowControl/>
        <w:kinsoku/>
        <w:wordWrap/>
        <w:overflowPunct/>
        <w:topLinePunct w:val="0"/>
        <w:autoSpaceDE/>
        <w:autoSpaceDN/>
        <w:bidi w:val="0"/>
        <w:adjustRightInd/>
        <w:snapToGrid w:val="0"/>
        <w:spacing w:line="360" w:lineRule="auto"/>
        <w:ind w:firstLine="320" w:firstLineChars="1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十三、国有资本经营预算财政拨款收入支出决算表</w:t>
      </w:r>
    </w:p>
    <w:p>
      <w:pPr>
        <w:keepNext w:val="0"/>
        <w:keepLines w:val="0"/>
        <w:pageBreakBefore w:val="0"/>
        <w:widowControl/>
        <w:kinsoku/>
        <w:wordWrap/>
        <w:overflowPunct/>
        <w:topLinePunct w:val="0"/>
        <w:autoSpaceDE/>
        <w:autoSpaceDN/>
        <w:bidi w:val="0"/>
        <w:adjustRightInd/>
        <w:snapToGrid w:val="0"/>
        <w:spacing w:line="360" w:lineRule="auto"/>
        <w:ind w:firstLine="320" w:firstLineChars="100"/>
        <w:jc w:val="left"/>
        <w:textAlignment w:val="auto"/>
        <w:rPr>
          <w:rFonts w:hint="eastAsia"/>
        </w:rPr>
      </w:pPr>
      <w:r>
        <w:rPr>
          <w:rFonts w:hint="eastAsia" w:ascii="仿宋" w:hAnsi="仿宋" w:eastAsia="仿宋"/>
          <w:sz w:val="32"/>
          <w:szCs w:val="32"/>
          <w:lang w:val="en-US" w:eastAsia="zh-CN"/>
        </w:rPr>
        <w:t>十四、国有资本经营预算财政拨款支出决算表</w:t>
      </w:r>
      <w:bookmarkStart w:id="15" w:name="_Toc15377196"/>
      <w:bookmarkStart w:id="16" w:name="_Toc19089861"/>
    </w:p>
    <w:p>
      <w:pPr>
        <w:pStyle w:val="3"/>
        <w:jc w:val="center"/>
        <w:rPr>
          <w:rFonts w:ascii="方正小标宋简体" w:hAnsi="方正小标宋简体" w:eastAsia="方正小标宋简体" w:cs="方正小标宋简体"/>
          <w:bCs w:val="0"/>
        </w:rPr>
      </w:pPr>
      <w:r>
        <w:rPr>
          <w:rFonts w:hint="eastAsia" w:ascii="黑体" w:hAnsi="黑体" w:eastAsia="黑体" w:cs="黑体"/>
          <w:b w:val="0"/>
        </w:rPr>
        <w:t xml:space="preserve">第一部分 </w:t>
      </w:r>
      <w:r>
        <w:rPr>
          <w:rStyle w:val="29"/>
          <w:rFonts w:hint="eastAsia" w:ascii="黑体" w:hAnsi="黑体" w:eastAsia="黑体" w:cs="黑体"/>
          <w:b w:val="0"/>
          <w:bCs w:val="0"/>
        </w:rPr>
        <w:t>部门概况</w:t>
      </w:r>
      <w:bookmarkEnd w:id="15"/>
      <w:bookmarkEnd w:id="16"/>
    </w:p>
    <w:p>
      <w:pPr>
        <w:pStyle w:val="5"/>
        <w:pageBreakBefore w:val="0"/>
        <w:widowControl w:val="0"/>
        <w:numPr>
          <w:ilvl w:val="0"/>
          <w:numId w:val="0"/>
        </w:numPr>
        <w:kinsoku/>
        <w:wordWrap/>
        <w:overflowPunct/>
        <w:topLinePunct w:val="0"/>
        <w:autoSpaceDE/>
        <w:autoSpaceDN/>
        <w:bidi w:val="0"/>
        <w:adjustRightInd/>
        <w:snapToGrid w:val="0"/>
        <w:spacing w:before="0" w:after="0" w:line="560" w:lineRule="exact"/>
        <w:ind w:firstLine="640" w:firstLineChars="200"/>
        <w:jc w:val="both"/>
        <w:textAlignment w:val="auto"/>
        <w:outlineLvl w:val="1"/>
        <w:rPr>
          <w:rStyle w:val="30"/>
          <w:rFonts w:hint="eastAsia" w:ascii="黑体" w:hAnsi="黑体" w:eastAsia="黑体"/>
          <w:b w:val="0"/>
          <w:bCs w:val="0"/>
          <w:color w:val="auto"/>
          <w:highlight w:val="none"/>
          <w:lang w:eastAsia="zh-CN"/>
        </w:rPr>
      </w:pPr>
      <w:bookmarkStart w:id="17" w:name="_Toc15206"/>
      <w:bookmarkStart w:id="18" w:name="_Toc19089862"/>
      <w:bookmarkStart w:id="19" w:name="_Toc15377197"/>
      <w:r>
        <w:rPr>
          <w:rStyle w:val="30"/>
          <w:rFonts w:hint="eastAsia" w:ascii="黑体" w:hAnsi="黑体" w:eastAsia="黑体"/>
          <w:b w:val="0"/>
          <w:bCs w:val="0"/>
          <w:color w:val="auto"/>
          <w:highlight w:val="none"/>
          <w:lang w:eastAsia="zh-CN"/>
        </w:rPr>
        <w:t>一、</w:t>
      </w:r>
      <w:r>
        <w:rPr>
          <w:rStyle w:val="30"/>
          <w:rFonts w:hint="eastAsia" w:ascii="黑体" w:hAnsi="黑体" w:eastAsia="黑体"/>
          <w:b w:val="0"/>
          <w:bCs w:val="0"/>
          <w:color w:val="auto"/>
          <w:highlight w:val="none"/>
        </w:rPr>
        <w:t>职能</w:t>
      </w:r>
      <w:r>
        <w:rPr>
          <w:rStyle w:val="30"/>
          <w:rFonts w:hint="eastAsia" w:ascii="黑体" w:hAnsi="黑体" w:eastAsia="黑体"/>
          <w:b w:val="0"/>
          <w:bCs w:val="0"/>
          <w:color w:val="auto"/>
          <w:highlight w:val="none"/>
          <w:lang w:eastAsia="zh-CN"/>
        </w:rPr>
        <w:t>简介</w:t>
      </w:r>
      <w:bookmarkEnd w:id="17"/>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（一）负责贯彻党的教育方针，坚持社会主义办学方向，对学生进行德育、智育、体育、美育和劳动教育等方面的教育。</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（二）负责配合各级人民政府依法动员适龄儿童、少年入学，严格控制学生辍学，依法保证适龄儿童、少年接受义务教育。</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（三）负责制定学校教育发展规划，并抓好组织实施和落实工作。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（四）负责按照教育主管部门发布的指导性教学计划、教学大纲，组织实施教育教学活动。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（五）决定和实施本校的教学计划，组织教学评比、集体备课，对学生进行统一考核、考试等。负责依据国家主管部门有关教学计划、课程设置等方面的规定。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（六）负责学籍管理。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（七）负责聘任、培训、考核教师，依法奖励或处分有关教师和职工。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（八）负责科学管理、合理使用学校的设施和经费，并积极筹措资金，改善办学条件。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（九）负责维护学校、师生的合法权益，有权拒绝任何组织和个人对教育教学活动进行非法干涉。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2"/>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（十）依法接受各级教育行政部门的检查指导和人民群众的监督。</w:t>
      </w:r>
    </w:p>
    <w:p>
      <w:pPr>
        <w:pStyle w:val="4"/>
        <w:numPr>
          <w:ilvl w:val="0"/>
          <w:numId w:val="0"/>
        </w:numPr>
        <w:ind w:firstLine="320" w:firstLineChars="100"/>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p>
      <w:pPr>
        <w:pStyle w:val="4"/>
        <w:numPr>
          <w:ilvl w:val="0"/>
          <w:numId w:val="0"/>
        </w:numPr>
        <w:ind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1、杨家浩小学是经利州区编制委员会批准成立的，隶属区教育局领导下的一所完全小学校。主要职能：实施小学义务教育，小学学历教育。</w:t>
      </w:r>
    </w:p>
    <w:p>
      <w:pPr>
        <w:widowControl/>
        <w:ind w:firstLine="640" w:firstLineChars="200"/>
        <w:jc w:val="left"/>
        <w:rPr>
          <w:rFonts w:hint="eastAsia" w:ascii="黑体" w:hAnsi="黑体" w:eastAsia="黑体"/>
          <w:b w:val="0"/>
          <w:bCs/>
          <w:color w:val="auto"/>
          <w:highlight w:val="none"/>
        </w:rPr>
        <w:sectPr>
          <w:footerReference r:id="rId4" w:type="first"/>
          <w:footerReference r:id="rId3" w:type="default"/>
          <w:pgSz w:w="11906" w:h="16838"/>
          <w:pgMar w:top="1440" w:right="1800" w:bottom="1440" w:left="1800" w:header="851" w:footer="992" w:gutter="0"/>
          <w:pgNumType w:fmt="decimal" w:start="2"/>
          <w:cols w:space="425" w:num="1"/>
          <w:docGrid w:type="lines" w:linePitch="312" w:charSpace="0"/>
        </w:sectPr>
      </w:pPr>
      <w:r>
        <w:rPr>
          <w:rFonts w:hint="eastAsia" w:ascii="仿宋" w:hAnsi="仿宋" w:eastAsia="仿宋" w:cs="仿宋"/>
          <w:b w:val="0"/>
          <w:bCs w:val="0"/>
          <w:color w:val="auto"/>
          <w:kern w:val="2"/>
          <w:sz w:val="32"/>
          <w:szCs w:val="32"/>
          <w:lang w:val="en-US" w:eastAsia="zh-CN" w:bidi="ar-SA"/>
        </w:rPr>
        <w:t>2、杨家浩小学小学是区编制委员会命名的独立法人机构，为经费独立核算。</w:t>
      </w:r>
    </w:p>
    <w:bookmarkEnd w:id="18"/>
    <w:bookmarkEnd w:id="19"/>
    <w:p>
      <w:pPr>
        <w:pStyle w:val="3"/>
        <w:ind w:right="440" w:firstLine="440" w:firstLineChars="100"/>
        <w:jc w:val="both"/>
        <w:rPr>
          <w:color w:val="auto"/>
          <w:highlight w:val="none"/>
        </w:rPr>
      </w:pPr>
      <w:bookmarkStart w:id="20" w:name="_Toc15396603"/>
      <w:bookmarkStart w:id="21" w:name="_Toc13314"/>
      <w:bookmarkStart w:id="22" w:name="_Toc15396602"/>
      <w:bookmarkStart w:id="23" w:name="_Toc9138"/>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9"/>
          <w:rFonts w:hint="eastAsia" w:ascii="黑体" w:hAnsi="黑体" w:eastAsia="黑体"/>
          <w:b w:val="0"/>
          <w:bCs/>
          <w:color w:val="auto"/>
          <w:highlight w:val="none"/>
          <w:lang w:eastAsia="zh-CN"/>
        </w:rPr>
        <w:t>单位</w:t>
      </w:r>
      <w:r>
        <w:rPr>
          <w:rStyle w:val="29"/>
          <w:rFonts w:hint="eastAsia" w:ascii="黑体" w:hAnsi="黑体" w:eastAsia="黑体"/>
          <w:b w:val="0"/>
          <w:bCs/>
          <w:color w:val="auto"/>
          <w:highlight w:val="none"/>
        </w:rPr>
        <w:t>决算情况说明</w:t>
      </w:r>
    </w:p>
    <w:p>
      <w:pPr>
        <w:pStyle w:val="28"/>
        <w:numPr>
          <w:ilvl w:val="0"/>
          <w:numId w:val="2"/>
        </w:numPr>
        <w:spacing w:line="600" w:lineRule="exact"/>
        <w:ind w:firstLineChars="0"/>
        <w:outlineLvl w:val="1"/>
        <w:rPr>
          <w:rStyle w:val="30"/>
          <w:rFonts w:ascii="黑体" w:hAnsi="黑体" w:eastAsia="黑体"/>
          <w:b w:val="0"/>
          <w:color w:val="auto"/>
          <w:highlight w:val="none"/>
        </w:rPr>
      </w:pPr>
      <w:bookmarkStart w:id="24" w:name="_Toc15377205"/>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入支出决算总体情况说明</w:t>
      </w:r>
      <w:bookmarkEnd w:id="24"/>
    </w:p>
    <w:p>
      <w:pPr>
        <w:spacing w:line="52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413.47</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638.08万元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减少224.61</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54.32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一</w:t>
      </w:r>
      <w:r>
        <w:rPr>
          <w:rFonts w:hint="eastAsia" w:ascii="仿宋" w:hAnsi="仿宋" w:eastAsia="仿宋"/>
          <w:color w:val="auto"/>
          <w:sz w:val="32"/>
          <w:szCs w:val="32"/>
          <w:highlight w:val="none"/>
        </w:rPr>
        <w:t>是</w:t>
      </w:r>
      <w:r>
        <w:rPr>
          <w:rFonts w:hint="eastAsia" w:ascii="仿宋" w:hAnsi="仿宋" w:eastAsia="仿宋"/>
          <w:color w:val="auto"/>
          <w:sz w:val="32"/>
          <w:szCs w:val="32"/>
          <w:highlight w:val="none"/>
          <w:lang w:val="en-US" w:eastAsia="zh-CN"/>
        </w:rPr>
        <w:t>我校因浩口村小新成立为江北小学，教职工人员正常减少。</w:t>
      </w:r>
      <w:r>
        <w:rPr>
          <w:rStyle w:val="19"/>
          <w:rFonts w:hint="eastAsia" w:ascii="仿宋" w:hAnsi="仿宋" w:eastAsia="仿宋" w:cstheme="minorBidi"/>
          <w:b w:val="0"/>
          <w:bCs/>
          <w:color w:val="000000" w:themeColor="text1"/>
          <w:sz w:val="32"/>
          <w:szCs w:val="32"/>
          <w:highlight w:val="none"/>
          <w:lang w:val="en-US" w:eastAsia="zh-CN"/>
          <w14:textFill>
            <w14:solidFill>
              <w14:schemeClr w14:val="tx1"/>
            </w14:solidFill>
          </w14:textFill>
        </w:rPr>
        <w:t>二是</w:t>
      </w:r>
      <w:r>
        <w:rPr>
          <w:rFonts w:hint="eastAsia" w:ascii="仿宋" w:hAnsi="仿宋" w:eastAsia="仿宋"/>
          <w:color w:val="auto"/>
          <w:sz w:val="32"/>
          <w:szCs w:val="32"/>
          <w:highlight w:val="none"/>
          <w:lang w:val="en-US" w:eastAsia="zh-CN"/>
        </w:rPr>
        <w:t>项目资金正常减少。</w:t>
      </w:r>
    </w:p>
    <w:p>
      <w:pPr>
        <w:pStyle w:val="12"/>
        <w:rPr>
          <w:rFonts w:hint="eastAsia"/>
        </w:rPr>
      </w:pPr>
    </w:p>
    <w:p>
      <w:pPr>
        <w:pStyle w:val="12"/>
        <w:ind w:left="0" w:leftChars="0" w:firstLine="0" w:firstLineChars="0"/>
        <w:rPr>
          <w:rFonts w:hint="eastAsia"/>
        </w:rPr>
      </w:pPr>
      <w:r>
        <w:drawing>
          <wp:inline distT="0" distB="0" distL="114300" distR="114300">
            <wp:extent cx="5120640" cy="2676525"/>
            <wp:effectExtent l="4445" t="4445" r="18415" b="5080"/>
            <wp:docPr id="4" name="图表 3" descr="7b0a202020202263686172745265734964223a20223230343736303830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bookmarkEnd w:id="20"/>
    <w:bookmarkEnd w:id="21"/>
    <w:bookmarkEnd w:id="22"/>
    <w:bookmarkEnd w:id="23"/>
    <w:p>
      <w:pPr>
        <w:spacing w:line="600" w:lineRule="exact"/>
        <w:ind w:firstLine="640" w:firstLineChars="200"/>
        <w:outlineLvl w:val="2"/>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ind w:firstLine="640" w:firstLineChars="200"/>
        <w:jc w:val="left"/>
        <w:outlineLvl w:val="1"/>
        <w:rPr>
          <w:rStyle w:val="30"/>
          <w:rFonts w:ascii="黑体" w:hAnsi="黑体" w:eastAsia="黑体"/>
          <w:b w:val="0"/>
          <w:color w:val="auto"/>
          <w:highlight w:val="none"/>
        </w:rPr>
      </w:pPr>
      <w:bookmarkStart w:id="25" w:name="_Toc15396604"/>
      <w:bookmarkStart w:id="26" w:name="_Toc12072"/>
      <w:r>
        <w:rPr>
          <w:rFonts w:hint="eastAsia" w:ascii="黑体" w:hAnsi="黑体" w:eastAsia="黑体"/>
          <w:color w:val="auto"/>
          <w:sz w:val="32"/>
          <w:szCs w:val="32"/>
          <w:highlight w:val="none"/>
          <w:lang w:val="en-US" w:eastAsia="zh-CN"/>
        </w:rPr>
        <w:t>二、</w:t>
      </w:r>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入决算情况说明</w:t>
      </w:r>
      <w:bookmarkEnd w:id="25"/>
      <w:bookmarkEnd w:id="26"/>
    </w:p>
    <w:p>
      <w:pPr>
        <w:spacing w:line="600" w:lineRule="exact"/>
        <w:ind w:firstLine="640" w:firstLineChars="200"/>
        <w:outlineLvl w:val="2"/>
        <w:rPr>
          <w:rFonts w:ascii="仿宋" w:hAnsi="仿宋" w:eastAsia="仿宋"/>
          <w:b w:val="0"/>
          <w:bCs/>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366.29</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359.07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98.03</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7.2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1.96</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0.02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left="0" w:leftChars="0" w:firstLine="0" w:firstLineChars="0"/>
        <w:jc w:val="center"/>
        <w:outlineLvl w:val="2"/>
        <w:rPr>
          <w:rFonts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59264" behindDoc="0" locked="0" layoutInCell="1" allowOverlap="1">
            <wp:simplePos x="0" y="0"/>
            <wp:positionH relativeFrom="column">
              <wp:posOffset>28575</wp:posOffset>
            </wp:positionH>
            <wp:positionV relativeFrom="paragraph">
              <wp:posOffset>142875</wp:posOffset>
            </wp:positionV>
            <wp:extent cx="5274310" cy="2244090"/>
            <wp:effectExtent l="4445" t="4445" r="17145" b="1841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auto"/>
          <w:sz w:val="32"/>
          <w:szCs w:val="32"/>
          <w:highlight w:val="none"/>
        </w:rPr>
        <w:t>（图2：收入决算结构图）（饼状图）</w:t>
      </w:r>
    </w:p>
    <w:p>
      <w:pPr>
        <w:pStyle w:val="28"/>
        <w:numPr>
          <w:ilvl w:val="0"/>
          <w:numId w:val="0"/>
        </w:numPr>
        <w:spacing w:line="600" w:lineRule="exact"/>
        <w:ind w:firstLine="640" w:firstLineChars="200"/>
        <w:outlineLvl w:val="1"/>
        <w:rPr>
          <w:rStyle w:val="30"/>
          <w:rFonts w:ascii="黑体" w:hAnsi="黑体" w:eastAsia="黑体"/>
          <w:b w:val="0"/>
          <w:color w:val="auto"/>
          <w:highlight w:val="none"/>
        </w:rPr>
      </w:pPr>
      <w:bookmarkStart w:id="27" w:name="_Toc15842"/>
      <w:bookmarkStart w:id="28" w:name="_Toc15396605"/>
      <w:r>
        <w:rPr>
          <w:rFonts w:hint="eastAsia" w:ascii="黑体" w:hAnsi="黑体" w:eastAsia="黑体"/>
          <w:color w:val="auto"/>
          <w:sz w:val="32"/>
          <w:szCs w:val="32"/>
          <w:highlight w:val="none"/>
          <w:lang w:val="en-US" w:eastAsia="zh-CN"/>
        </w:rPr>
        <w:t>三、</w:t>
      </w:r>
      <w:r>
        <w:rPr>
          <w:rFonts w:hint="eastAsia" w:ascii="黑体" w:hAnsi="黑体" w:eastAsia="黑体"/>
          <w:color w:val="auto"/>
          <w:sz w:val="32"/>
          <w:szCs w:val="32"/>
          <w:highlight w:val="none"/>
        </w:rPr>
        <w:t>支</w:t>
      </w:r>
      <w:r>
        <w:rPr>
          <w:rStyle w:val="30"/>
          <w:rFonts w:hint="eastAsia" w:ascii="黑体" w:hAnsi="黑体" w:eastAsia="黑体"/>
          <w:b w:val="0"/>
          <w:color w:val="auto"/>
          <w:highlight w:val="none"/>
        </w:rPr>
        <w:t>出决算情况说明</w:t>
      </w:r>
      <w:bookmarkEnd w:id="27"/>
      <w:bookmarkEnd w:id="28"/>
    </w:p>
    <w:p>
      <w:pPr>
        <w:spacing w:line="600" w:lineRule="exact"/>
        <w:ind w:firstLine="640" w:firstLineChars="200"/>
        <w:outlineLvl w:val="2"/>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413.47</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336.44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85.97</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77.03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14.03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0288" behindDoc="0" locked="0" layoutInCell="1" allowOverlap="1">
            <wp:simplePos x="0" y="0"/>
            <wp:positionH relativeFrom="column">
              <wp:posOffset>0</wp:posOffset>
            </wp:positionH>
            <wp:positionV relativeFrom="paragraph">
              <wp:posOffset>178435</wp:posOffset>
            </wp:positionV>
            <wp:extent cx="5320665" cy="2167255"/>
            <wp:effectExtent l="4445" t="4445" r="8890" b="1905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auto"/>
          <w:sz w:val="32"/>
          <w:szCs w:val="32"/>
          <w:highlight w:val="none"/>
        </w:rPr>
        <w:t>（图3：支出决算结构图）（饼状图）</w:t>
      </w:r>
    </w:p>
    <w:p>
      <w:pPr>
        <w:spacing w:line="600" w:lineRule="exact"/>
        <w:ind w:firstLine="640" w:firstLineChars="200"/>
        <w:outlineLvl w:val="1"/>
        <w:rPr>
          <w:rStyle w:val="30"/>
          <w:rFonts w:ascii="黑体" w:hAnsi="黑体" w:eastAsia="黑体"/>
          <w:b w:val="0"/>
          <w:color w:val="auto"/>
          <w:highlight w:val="none"/>
        </w:rPr>
      </w:pPr>
      <w:bookmarkStart w:id="29" w:name="_Toc15396606"/>
      <w:bookmarkStart w:id="30" w:name="_Toc17374"/>
      <w:r>
        <w:rPr>
          <w:rFonts w:hint="eastAsia" w:ascii="黑体" w:hAnsi="黑体" w:eastAsia="黑体"/>
          <w:color w:val="auto"/>
          <w:sz w:val="32"/>
          <w:szCs w:val="32"/>
          <w:highlight w:val="none"/>
        </w:rPr>
        <w:t>四、财</w:t>
      </w:r>
      <w:r>
        <w:rPr>
          <w:rStyle w:val="30"/>
          <w:rFonts w:hint="eastAsia" w:ascii="黑体" w:hAnsi="黑体" w:eastAsia="黑体"/>
          <w:b w:val="0"/>
          <w:color w:val="auto"/>
          <w:highlight w:val="none"/>
        </w:rPr>
        <w:t>政拨款收入支出决算总体情况说明</w:t>
      </w:r>
      <w:bookmarkEnd w:id="29"/>
      <w:bookmarkEnd w:id="30"/>
    </w:p>
    <w:p>
      <w:pPr>
        <w:spacing w:line="52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406.25</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638.08万元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相比，财政拨款收、支总计减少</w:t>
      </w:r>
      <w:r>
        <w:rPr>
          <w:rFonts w:hint="eastAsia" w:ascii="仿宋" w:hAnsi="仿宋" w:eastAsia="仿宋"/>
          <w:color w:val="auto"/>
          <w:sz w:val="32"/>
          <w:szCs w:val="32"/>
          <w:highlight w:val="none"/>
          <w:lang w:val="en-US" w:eastAsia="zh-CN"/>
        </w:rPr>
        <w:t>231.83</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36.33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一</w:t>
      </w:r>
      <w:r>
        <w:rPr>
          <w:rFonts w:hint="eastAsia" w:ascii="仿宋" w:hAnsi="仿宋" w:eastAsia="仿宋"/>
          <w:color w:val="auto"/>
          <w:sz w:val="32"/>
          <w:szCs w:val="32"/>
          <w:highlight w:val="none"/>
        </w:rPr>
        <w:t>是</w:t>
      </w:r>
      <w:r>
        <w:rPr>
          <w:rFonts w:hint="eastAsia" w:ascii="仿宋" w:hAnsi="仿宋" w:eastAsia="仿宋"/>
          <w:color w:val="auto"/>
          <w:sz w:val="32"/>
          <w:szCs w:val="32"/>
          <w:highlight w:val="none"/>
          <w:lang w:val="en-US" w:eastAsia="zh-CN"/>
        </w:rPr>
        <w:t>我校因浩口村小新成立为江北小学，教职工人员正常减少。</w:t>
      </w:r>
      <w:r>
        <w:rPr>
          <w:rStyle w:val="19"/>
          <w:rFonts w:hint="eastAsia" w:ascii="仿宋" w:hAnsi="仿宋" w:eastAsia="仿宋" w:cstheme="minorBidi"/>
          <w:b w:val="0"/>
          <w:bCs/>
          <w:color w:val="000000" w:themeColor="text1"/>
          <w:sz w:val="32"/>
          <w:szCs w:val="32"/>
          <w:highlight w:val="none"/>
          <w:lang w:val="en-US" w:eastAsia="zh-CN"/>
          <w14:textFill>
            <w14:solidFill>
              <w14:schemeClr w14:val="tx1"/>
            </w14:solidFill>
          </w14:textFill>
        </w:rPr>
        <w:t>二是</w:t>
      </w:r>
      <w:r>
        <w:rPr>
          <w:rFonts w:hint="eastAsia" w:ascii="仿宋" w:hAnsi="仿宋" w:eastAsia="仿宋"/>
          <w:color w:val="auto"/>
          <w:sz w:val="32"/>
          <w:szCs w:val="32"/>
          <w:highlight w:val="none"/>
          <w:lang w:val="en-US" w:eastAsia="zh-CN"/>
        </w:rPr>
        <w:t>项目资金正常减少。</w:t>
      </w:r>
    </w:p>
    <w:p>
      <w:pPr>
        <w:pStyle w:val="2"/>
        <w:outlineLvl w:val="2"/>
        <w:rPr>
          <w:rFonts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1312" behindDoc="1" locked="0" layoutInCell="1" allowOverlap="1">
            <wp:simplePos x="0" y="0"/>
            <wp:positionH relativeFrom="column">
              <wp:posOffset>-53340</wp:posOffset>
            </wp:positionH>
            <wp:positionV relativeFrom="paragraph">
              <wp:posOffset>86995</wp:posOffset>
            </wp:positionV>
            <wp:extent cx="5309235" cy="1728470"/>
            <wp:effectExtent l="5080" t="4445" r="19685" b="19685"/>
            <wp:wrapTight wrapText="bothSides">
              <wp:wrapPolygon>
                <wp:start x="-21" y="-56"/>
                <wp:lineTo x="-21" y="21370"/>
                <wp:lineTo x="21525" y="21370"/>
                <wp:lineTo x="21525" y="-56"/>
                <wp:lineTo x="-21" y="-56"/>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auto"/>
          <w:sz w:val="32"/>
          <w:szCs w:val="32"/>
          <w:highlight w:val="none"/>
        </w:rPr>
        <w:t>（图4：财政拨款收、支决算总计变动情况）（柱状图）</w:t>
      </w:r>
    </w:p>
    <w:p>
      <w:pPr>
        <w:spacing w:line="600" w:lineRule="exact"/>
        <w:ind w:firstLine="640" w:firstLineChars="200"/>
        <w:outlineLvl w:val="1"/>
        <w:rPr>
          <w:rStyle w:val="30"/>
          <w:rFonts w:ascii="黑体" w:hAnsi="黑体" w:eastAsia="黑体"/>
          <w:b w:val="0"/>
          <w:color w:val="auto"/>
          <w:highlight w:val="none"/>
        </w:rPr>
      </w:pPr>
      <w:bookmarkStart w:id="31" w:name="_Toc17246"/>
      <w:bookmarkStart w:id="32"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般公共预算财政拨款支出决算情况说明</w:t>
      </w:r>
      <w:bookmarkEnd w:id="31"/>
      <w:bookmarkEnd w:id="32"/>
    </w:p>
    <w:p>
      <w:pPr>
        <w:spacing w:line="600" w:lineRule="exact"/>
        <w:ind w:firstLine="640" w:firstLineChars="200"/>
        <w:outlineLvl w:val="2"/>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（一）一般公共预算财政拨款支出决算总体情况</w:t>
      </w:r>
    </w:p>
    <w:p>
      <w:pPr>
        <w:spacing w:line="520" w:lineRule="exact"/>
        <w:ind w:firstLine="640" w:firstLineChars="200"/>
        <w:rPr>
          <w:rFonts w:hint="default" w:ascii="仿宋" w:hAnsi="仿宋" w:eastAsia="仿宋"/>
          <w:color w:val="000000" w:themeColor="text1"/>
          <w:sz w:val="32"/>
          <w:szCs w:val="32"/>
          <w:highlight w:val="none"/>
          <w:lang w:val="en-US" w:eastAsia="zh-CN"/>
          <w14:textFill>
            <w14:solidFill>
              <w14:schemeClr w14:val="tx1"/>
            </w14:solidFill>
          </w14:textFill>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406.25</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98.25</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578.08万元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171.83</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42.27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一</w:t>
      </w:r>
      <w:r>
        <w:rPr>
          <w:rFonts w:hint="eastAsia" w:ascii="仿宋" w:hAnsi="仿宋" w:eastAsia="仿宋"/>
          <w:color w:val="auto"/>
          <w:sz w:val="32"/>
          <w:szCs w:val="32"/>
          <w:highlight w:val="none"/>
        </w:rPr>
        <w:t>是</w:t>
      </w:r>
      <w:r>
        <w:rPr>
          <w:rFonts w:hint="eastAsia" w:ascii="仿宋" w:hAnsi="仿宋" w:eastAsia="仿宋"/>
          <w:color w:val="auto"/>
          <w:sz w:val="32"/>
          <w:szCs w:val="32"/>
          <w:highlight w:val="none"/>
          <w:lang w:val="en-US" w:eastAsia="zh-CN"/>
        </w:rPr>
        <w:t>我校因浩口村小新成立为江北小学，教职工人员正常减少。</w:t>
      </w:r>
      <w:r>
        <w:rPr>
          <w:rStyle w:val="19"/>
          <w:rFonts w:hint="eastAsia" w:ascii="仿宋" w:hAnsi="仿宋" w:eastAsia="仿宋" w:cstheme="minorBidi"/>
          <w:b w:val="0"/>
          <w:bCs/>
          <w:color w:val="000000" w:themeColor="text1"/>
          <w:sz w:val="32"/>
          <w:szCs w:val="32"/>
          <w:highlight w:val="none"/>
          <w:lang w:val="en-US" w:eastAsia="zh-CN"/>
          <w14:textFill>
            <w14:solidFill>
              <w14:schemeClr w14:val="tx1"/>
            </w14:solidFill>
          </w14:textFill>
        </w:rPr>
        <w:t>二是</w:t>
      </w:r>
      <w:r>
        <w:rPr>
          <w:rFonts w:hint="eastAsia" w:ascii="仿宋" w:hAnsi="仿宋" w:eastAsia="仿宋"/>
          <w:color w:val="auto"/>
          <w:sz w:val="32"/>
          <w:szCs w:val="32"/>
          <w:highlight w:val="none"/>
          <w:lang w:val="en-US" w:eastAsia="zh-CN"/>
        </w:rPr>
        <w:t>项目资金正常减少。</w:t>
      </w:r>
    </w:p>
    <w:p>
      <w:pPr>
        <w:spacing w:line="600" w:lineRule="exact"/>
        <w:outlineLvl w:val="2"/>
        <w:rPr>
          <w:rFonts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2336" behindDoc="1" locked="0" layoutInCell="1" allowOverlap="1">
            <wp:simplePos x="0" y="0"/>
            <wp:positionH relativeFrom="column">
              <wp:posOffset>5080</wp:posOffset>
            </wp:positionH>
            <wp:positionV relativeFrom="paragraph">
              <wp:posOffset>280035</wp:posOffset>
            </wp:positionV>
            <wp:extent cx="5309235" cy="1728470"/>
            <wp:effectExtent l="5080" t="4445" r="19685" b="19685"/>
            <wp:wrapTight wrapText="bothSides">
              <wp:wrapPolygon>
                <wp:start x="-21" y="-56"/>
                <wp:lineTo x="-21" y="21370"/>
                <wp:lineTo x="21525" y="21370"/>
                <wp:lineTo x="21525" y="-56"/>
                <wp:lineTo x="-21" y="-56"/>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auto"/>
          <w:sz w:val="32"/>
          <w:szCs w:val="32"/>
          <w:highlight w:val="none"/>
        </w:rPr>
        <w:t>（图5：一般公共预算财政拨款支出决算变动情况）（柱状图）</w:t>
      </w:r>
    </w:p>
    <w:p>
      <w:pPr>
        <w:spacing w:line="600" w:lineRule="exact"/>
        <w:ind w:firstLine="640" w:firstLineChars="200"/>
        <w:outlineLvl w:val="2"/>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（二）一般公共预算财政拨款支出决算结构情况</w:t>
      </w:r>
    </w:p>
    <w:p>
      <w:pPr>
        <w:spacing w:line="600" w:lineRule="exact"/>
        <w:ind w:firstLine="640"/>
        <w:outlineLvl w:val="2"/>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413.47</w:t>
      </w:r>
      <w:r>
        <w:rPr>
          <w:rFonts w:hint="eastAsia" w:ascii="仿宋" w:hAnsi="仿宋" w:eastAsia="仿宋"/>
          <w:color w:val="auto"/>
          <w:sz w:val="32"/>
          <w:szCs w:val="32"/>
          <w:highlight w:val="none"/>
        </w:rPr>
        <w:t>万元，主要用于以下方面</w:t>
      </w:r>
      <w:r>
        <w:rPr>
          <w:rFonts w:hint="eastAsia" w:ascii="仿宋" w:hAnsi="仿宋" w:eastAsia="仿宋"/>
          <w:color w:val="auto"/>
          <w:sz w:val="32"/>
          <w:szCs w:val="32"/>
          <w:highlight w:val="none"/>
          <w:lang w:eastAsia="zh-CN"/>
        </w:rPr>
        <w:t>：</w:t>
      </w:r>
      <w:r>
        <w:rPr>
          <w:rFonts w:hint="eastAsia" w:ascii="仿宋" w:hAnsi="仿宋" w:eastAsia="仿宋"/>
          <w:b/>
          <w:color w:val="auto"/>
          <w:sz w:val="32"/>
          <w:szCs w:val="32"/>
          <w:highlight w:val="none"/>
        </w:rPr>
        <w:t>教育支出（类）</w:t>
      </w:r>
      <w:r>
        <w:rPr>
          <w:rFonts w:hint="eastAsia" w:ascii="仿宋" w:hAnsi="仿宋" w:eastAsia="仿宋"/>
          <w:b w:val="0"/>
          <w:bCs/>
          <w:color w:val="auto"/>
          <w:sz w:val="32"/>
          <w:szCs w:val="32"/>
          <w:highlight w:val="none"/>
          <w:lang w:val="en-US" w:eastAsia="zh-CN"/>
        </w:rPr>
        <w:t>357.12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86.37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44.63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10.79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11.73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2.84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outlineLvl w:val="2"/>
        <w:rPr>
          <w:rFonts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3360" behindDoc="0" locked="0" layoutInCell="1" allowOverlap="1">
            <wp:simplePos x="0" y="0"/>
            <wp:positionH relativeFrom="column">
              <wp:posOffset>40640</wp:posOffset>
            </wp:positionH>
            <wp:positionV relativeFrom="paragraph">
              <wp:posOffset>54610</wp:posOffset>
            </wp:positionV>
            <wp:extent cx="5298440" cy="2101215"/>
            <wp:effectExtent l="4445" t="4445" r="12065" b="889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color w:val="auto"/>
          <w:sz w:val="32"/>
          <w:szCs w:val="32"/>
          <w:highlight w:val="none"/>
        </w:rPr>
        <w:t>（图6：一般公共预算财政拨款支出决算结构）（饼状图）</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outlineLvl w:val="2"/>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（三）一般公共预算财政拨款支出决算具体情况</w:t>
      </w:r>
    </w:p>
    <w:p>
      <w:pPr>
        <w:keepNext w:val="0"/>
        <w:keepLines w:val="0"/>
        <w:pageBreakBefore w:val="0"/>
        <w:widowControl w:val="0"/>
        <w:kinsoku/>
        <w:wordWrap/>
        <w:overflowPunct/>
        <w:topLinePunct w:val="0"/>
        <w:autoSpaceDE/>
        <w:autoSpaceDN/>
        <w:bidi w:val="0"/>
        <w:adjustRightInd/>
        <w:snapToGrid w:val="0"/>
        <w:spacing w:line="550" w:lineRule="exact"/>
        <w:ind w:firstLine="643" w:firstLineChars="200"/>
        <w:textAlignment w:val="auto"/>
        <w:outlineLvl w:val="2"/>
        <w:rPr>
          <w:rStyle w:val="19"/>
          <w:rFonts w:hint="eastAsia" w:ascii="仿宋" w:hAnsi="仿宋" w:eastAsia="仿宋"/>
          <w:bCs/>
          <w:color w:val="auto"/>
          <w:sz w:val="32"/>
          <w:szCs w:val="32"/>
          <w:highlight w:val="none"/>
        </w:rPr>
      </w:pPr>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406.25万元</w:t>
      </w:r>
      <w:r>
        <w:rPr>
          <w:rFonts w:hint="eastAsia" w:ascii="仿宋" w:hAnsi="仿宋" w:eastAsia="仿宋"/>
          <w:color w:val="auto"/>
          <w:sz w:val="32"/>
          <w:szCs w:val="32"/>
          <w:highlight w:val="none"/>
        </w:rPr>
        <w:t>，</w:t>
      </w:r>
      <w:r>
        <w:rPr>
          <w:rStyle w:val="19"/>
          <w:rFonts w:hint="eastAsia" w:ascii="仿宋" w:hAnsi="仿宋" w:eastAsia="仿宋"/>
          <w:bCs/>
          <w:color w:val="auto"/>
          <w:sz w:val="32"/>
          <w:szCs w:val="32"/>
          <w:highlight w:val="none"/>
        </w:rPr>
        <w:t>完成预算</w:t>
      </w:r>
      <w:r>
        <w:rPr>
          <w:rStyle w:val="19"/>
          <w:rFonts w:hint="eastAsia" w:ascii="仿宋" w:hAnsi="仿宋" w:eastAsia="仿宋"/>
          <w:bCs/>
          <w:color w:val="auto"/>
          <w:sz w:val="32"/>
          <w:szCs w:val="32"/>
          <w:highlight w:val="none"/>
          <w:lang w:val="en-US" w:eastAsia="zh-CN"/>
        </w:rPr>
        <w:t>100</w:t>
      </w:r>
      <w:r>
        <w:rPr>
          <w:rStyle w:val="19"/>
          <w:rFonts w:ascii="仿宋" w:hAnsi="仿宋" w:eastAsia="仿宋"/>
          <w:bCs/>
          <w:color w:val="auto"/>
          <w:sz w:val="32"/>
          <w:szCs w:val="32"/>
          <w:highlight w:val="none"/>
        </w:rPr>
        <w:t>%</w:t>
      </w:r>
      <w:r>
        <w:rPr>
          <w:rStyle w:val="19"/>
          <w:rFonts w:hint="eastAsia" w:ascii="仿宋" w:hAnsi="仿宋" w:eastAsia="仿宋"/>
          <w:bCs/>
          <w:color w:val="auto"/>
          <w:sz w:val="32"/>
          <w:szCs w:val="32"/>
          <w:highlight w:val="none"/>
        </w:rPr>
        <w:t>。其中：</w:t>
      </w:r>
    </w:p>
    <w:p>
      <w:pPr>
        <w:numPr>
          <w:ilvl w:val="0"/>
          <w:numId w:val="0"/>
        </w:numPr>
        <w:spacing w:line="600" w:lineRule="exact"/>
        <w:ind w:firstLine="643" w:firstLineChars="200"/>
        <w:rPr>
          <w:rStyle w:val="19"/>
          <w:rFonts w:hint="eastAsia" w:ascii="仿宋" w:hAnsi="仿宋" w:eastAsia="仿宋"/>
          <w:b w:val="0"/>
          <w:bCs/>
          <w:color w:val="auto"/>
          <w:sz w:val="32"/>
          <w:szCs w:val="32"/>
          <w:highlight w:val="none"/>
        </w:rPr>
      </w:pPr>
      <w:r>
        <w:rPr>
          <w:rStyle w:val="19"/>
          <w:rFonts w:hint="eastAsia" w:ascii="仿宋" w:hAnsi="仿宋" w:eastAsia="仿宋"/>
          <w:bCs/>
          <w:color w:val="auto"/>
          <w:sz w:val="32"/>
          <w:szCs w:val="32"/>
          <w:highlight w:val="none"/>
          <w:lang w:val="en-US" w:eastAsia="zh-CN"/>
        </w:rPr>
        <w:t>1.</w:t>
      </w:r>
      <w:r>
        <w:rPr>
          <w:rStyle w:val="19"/>
          <w:rFonts w:hint="eastAsia" w:ascii="仿宋" w:hAnsi="仿宋" w:eastAsia="仿宋"/>
          <w:bCs/>
          <w:color w:val="auto"/>
          <w:sz w:val="32"/>
          <w:szCs w:val="32"/>
          <w:highlight w:val="none"/>
        </w:rPr>
        <w:t>教育（类）</w:t>
      </w:r>
      <w:r>
        <w:rPr>
          <w:rStyle w:val="19"/>
          <w:rFonts w:hint="eastAsia" w:ascii="仿宋" w:hAnsi="仿宋" w:eastAsia="仿宋"/>
          <w:bCs/>
          <w:color w:val="auto"/>
          <w:sz w:val="32"/>
          <w:szCs w:val="32"/>
          <w:highlight w:val="none"/>
          <w:lang w:val="en-US" w:eastAsia="zh-CN"/>
        </w:rPr>
        <w:t>普通教育</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val="en-US" w:eastAsia="zh-CN"/>
        </w:rPr>
        <w:t>学前教育</w:t>
      </w:r>
      <w:r>
        <w:rPr>
          <w:rStyle w:val="19"/>
          <w:rFonts w:hint="eastAsia" w:ascii="仿宋" w:hAnsi="仿宋" w:eastAsia="仿宋"/>
          <w:bCs/>
          <w:color w:val="auto"/>
          <w:sz w:val="32"/>
          <w:szCs w:val="32"/>
          <w:highlight w:val="none"/>
        </w:rPr>
        <w:t>（项）</w:t>
      </w:r>
      <w:r>
        <w:rPr>
          <w:rStyle w:val="19"/>
          <w:rFonts w:ascii="仿宋" w:hAnsi="仿宋" w:eastAsia="仿宋"/>
          <w:bCs/>
          <w:color w:val="auto"/>
          <w:sz w:val="32"/>
          <w:szCs w:val="32"/>
          <w:highlight w:val="none"/>
        </w:rPr>
        <w:t>:</w:t>
      </w:r>
      <w:r>
        <w:rPr>
          <w:rStyle w:val="19"/>
          <w:rFonts w:ascii="仿宋" w:hAnsi="仿宋" w:eastAsia="仿宋"/>
          <w:b w:val="0"/>
          <w:bCs/>
          <w:color w:val="auto"/>
          <w:sz w:val="32"/>
          <w:szCs w:val="32"/>
          <w:highlight w:val="none"/>
        </w:rPr>
        <w:t xml:space="preserve"> </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11.91</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p>
    <w:p>
      <w:pPr>
        <w:spacing w:line="600" w:lineRule="exact"/>
        <w:ind w:firstLine="643" w:firstLineChars="200"/>
        <w:rPr>
          <w:rStyle w:val="19"/>
          <w:rFonts w:hint="eastAsia" w:ascii="仿宋" w:hAnsi="仿宋" w:eastAsia="仿宋"/>
          <w:b w:val="0"/>
          <w:bCs/>
          <w:color w:val="auto"/>
          <w:sz w:val="32"/>
          <w:szCs w:val="32"/>
          <w:highlight w:val="none"/>
        </w:rPr>
      </w:pPr>
      <w:r>
        <w:rPr>
          <w:rStyle w:val="19"/>
          <w:rFonts w:hint="eastAsia" w:ascii="仿宋" w:hAnsi="仿宋" w:eastAsia="仿宋"/>
          <w:bCs/>
          <w:color w:val="auto"/>
          <w:sz w:val="32"/>
          <w:szCs w:val="32"/>
          <w:highlight w:val="none"/>
          <w:lang w:val="en-US" w:eastAsia="zh-CN"/>
        </w:rPr>
        <w:t>2</w:t>
      </w:r>
      <w:r>
        <w:rPr>
          <w:rStyle w:val="19"/>
          <w:rFonts w:ascii="仿宋" w:hAnsi="仿宋" w:eastAsia="仿宋"/>
          <w:bCs/>
          <w:color w:val="auto"/>
          <w:sz w:val="32"/>
          <w:szCs w:val="32"/>
          <w:highlight w:val="none"/>
        </w:rPr>
        <w:t>.</w:t>
      </w:r>
      <w:r>
        <w:rPr>
          <w:rStyle w:val="19"/>
          <w:rFonts w:hint="eastAsia" w:ascii="仿宋" w:hAnsi="仿宋" w:eastAsia="仿宋"/>
          <w:bCs/>
          <w:color w:val="auto"/>
          <w:sz w:val="32"/>
          <w:szCs w:val="32"/>
          <w:highlight w:val="none"/>
        </w:rPr>
        <w:t>教育（类）</w:t>
      </w:r>
      <w:r>
        <w:rPr>
          <w:rStyle w:val="19"/>
          <w:rFonts w:hint="eastAsia" w:ascii="仿宋" w:hAnsi="仿宋" w:eastAsia="仿宋"/>
          <w:bCs/>
          <w:color w:val="auto"/>
          <w:sz w:val="32"/>
          <w:szCs w:val="32"/>
          <w:highlight w:val="none"/>
          <w:lang w:val="en-US" w:eastAsia="zh-CN"/>
        </w:rPr>
        <w:t>普通教育</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val="en-US" w:eastAsia="zh-CN"/>
        </w:rPr>
        <w:t>小学教育</w:t>
      </w:r>
      <w:r>
        <w:rPr>
          <w:rStyle w:val="19"/>
          <w:rFonts w:hint="eastAsia" w:ascii="仿宋" w:hAnsi="仿宋" w:eastAsia="仿宋"/>
          <w:bCs/>
          <w:color w:val="auto"/>
          <w:sz w:val="32"/>
          <w:szCs w:val="32"/>
          <w:highlight w:val="none"/>
        </w:rPr>
        <w:t>（项）</w:t>
      </w:r>
      <w:r>
        <w:rPr>
          <w:rStyle w:val="19"/>
          <w:rFonts w:ascii="仿宋" w:hAnsi="仿宋" w:eastAsia="仿宋"/>
          <w:bCs/>
          <w:color w:val="auto"/>
          <w:sz w:val="32"/>
          <w:szCs w:val="32"/>
          <w:highlight w:val="none"/>
        </w:rPr>
        <w:t>:</w:t>
      </w:r>
      <w:r>
        <w:rPr>
          <w:rStyle w:val="19"/>
          <w:rFonts w:ascii="仿宋" w:hAnsi="仿宋" w:eastAsia="仿宋"/>
          <w:b w:val="0"/>
          <w:bCs/>
          <w:color w:val="auto"/>
          <w:sz w:val="32"/>
          <w:szCs w:val="32"/>
          <w:highlight w:val="none"/>
        </w:rPr>
        <w:t xml:space="preserve"> </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332.98</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p>
    <w:p>
      <w:pPr>
        <w:spacing w:line="600" w:lineRule="exact"/>
        <w:ind w:firstLine="643" w:firstLineChars="200"/>
        <w:rPr>
          <w:rStyle w:val="19"/>
          <w:rFonts w:hint="eastAsia" w:ascii="仿宋" w:hAnsi="仿宋" w:eastAsia="仿宋"/>
          <w:b w:val="0"/>
          <w:bCs/>
          <w:color w:val="auto"/>
          <w:sz w:val="32"/>
          <w:szCs w:val="32"/>
          <w:highlight w:val="none"/>
        </w:rPr>
      </w:pPr>
      <w:r>
        <w:rPr>
          <w:rStyle w:val="19"/>
          <w:rFonts w:hint="eastAsia" w:ascii="仿宋" w:hAnsi="仿宋" w:eastAsia="仿宋"/>
          <w:bCs/>
          <w:color w:val="auto"/>
          <w:sz w:val="32"/>
          <w:szCs w:val="32"/>
          <w:highlight w:val="none"/>
          <w:lang w:val="en-US" w:eastAsia="zh-CN"/>
        </w:rPr>
        <w:t>3</w:t>
      </w:r>
      <w:r>
        <w:rPr>
          <w:rStyle w:val="19"/>
          <w:rFonts w:ascii="仿宋" w:hAnsi="仿宋" w:eastAsia="仿宋"/>
          <w:bCs/>
          <w:color w:val="auto"/>
          <w:sz w:val="32"/>
          <w:szCs w:val="32"/>
          <w:highlight w:val="none"/>
        </w:rPr>
        <w:t>.</w:t>
      </w:r>
      <w:r>
        <w:rPr>
          <w:rStyle w:val="19"/>
          <w:rFonts w:hint="eastAsia" w:ascii="仿宋" w:hAnsi="仿宋" w:eastAsia="仿宋"/>
          <w:bCs/>
          <w:color w:val="auto"/>
          <w:sz w:val="32"/>
          <w:szCs w:val="32"/>
          <w:highlight w:val="none"/>
        </w:rPr>
        <w:t>教育（类）</w:t>
      </w:r>
      <w:r>
        <w:rPr>
          <w:rStyle w:val="19"/>
          <w:rFonts w:hint="eastAsia" w:ascii="仿宋" w:hAnsi="仿宋" w:eastAsia="仿宋"/>
          <w:bCs/>
          <w:color w:val="auto"/>
          <w:sz w:val="32"/>
          <w:szCs w:val="32"/>
          <w:highlight w:val="none"/>
          <w:lang w:val="en-US" w:eastAsia="zh-CN"/>
        </w:rPr>
        <w:t>普通教育</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val="en-US" w:eastAsia="zh-CN"/>
        </w:rPr>
        <w:t>其他普通教育</w:t>
      </w:r>
      <w:r>
        <w:rPr>
          <w:rStyle w:val="19"/>
          <w:rFonts w:hint="eastAsia" w:ascii="仿宋" w:hAnsi="仿宋" w:eastAsia="仿宋"/>
          <w:bCs/>
          <w:color w:val="auto"/>
          <w:sz w:val="32"/>
          <w:szCs w:val="32"/>
          <w:highlight w:val="none"/>
        </w:rPr>
        <w:t>（项）</w:t>
      </w:r>
      <w:r>
        <w:rPr>
          <w:rStyle w:val="19"/>
          <w:rFonts w:ascii="仿宋" w:hAnsi="仿宋" w:eastAsia="仿宋"/>
          <w:bCs/>
          <w:color w:val="auto"/>
          <w:sz w:val="32"/>
          <w:szCs w:val="32"/>
          <w:highlight w:val="none"/>
        </w:rPr>
        <w:t>:</w:t>
      </w:r>
      <w:r>
        <w:rPr>
          <w:rStyle w:val="19"/>
          <w:rFonts w:ascii="仿宋" w:hAnsi="仿宋" w:eastAsia="仿宋"/>
          <w:b w:val="0"/>
          <w:bCs/>
          <w:color w:val="auto"/>
          <w:sz w:val="32"/>
          <w:szCs w:val="32"/>
          <w:highlight w:val="none"/>
        </w:rPr>
        <w:t xml:space="preserve"> </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5</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9"/>
          <w:rFonts w:hint="eastAsia" w:ascii="仿宋" w:hAnsi="仿宋" w:eastAsia="仿宋"/>
          <w:bCs/>
          <w:color w:val="auto"/>
          <w:sz w:val="32"/>
          <w:szCs w:val="32"/>
          <w:highlight w:val="none"/>
          <w:lang w:val="en-US" w:eastAsia="zh-CN"/>
        </w:rPr>
        <w:t>4</w:t>
      </w:r>
      <w:r>
        <w:rPr>
          <w:rStyle w:val="19"/>
          <w:rFonts w:ascii="仿宋" w:hAnsi="仿宋" w:eastAsia="仿宋"/>
          <w:bCs/>
          <w:color w:val="auto"/>
          <w:sz w:val="32"/>
          <w:szCs w:val="32"/>
          <w:highlight w:val="none"/>
        </w:rPr>
        <w:t>.</w:t>
      </w:r>
      <w:r>
        <w:rPr>
          <w:rStyle w:val="19"/>
          <w:rFonts w:hint="eastAsia" w:ascii="仿宋" w:hAnsi="仿宋" w:eastAsia="仿宋"/>
          <w:bCs/>
          <w:color w:val="auto"/>
          <w:sz w:val="32"/>
          <w:szCs w:val="32"/>
          <w:highlight w:val="none"/>
        </w:rPr>
        <w:t>社会保障和就业（类）行政事业单位养老（款）事业单位离退休（项）</w:t>
      </w:r>
      <w:r>
        <w:rPr>
          <w:rStyle w:val="19"/>
          <w:rFonts w:ascii="仿宋" w:hAnsi="仿宋" w:eastAsia="仿宋"/>
          <w:bCs/>
          <w:color w:val="auto"/>
          <w:sz w:val="32"/>
          <w:szCs w:val="32"/>
          <w:highlight w:val="none"/>
        </w:rPr>
        <w:t>:</w:t>
      </w:r>
      <w:r>
        <w:rPr>
          <w:rStyle w:val="19"/>
          <w:rFonts w:ascii="仿宋" w:hAnsi="仿宋" w:eastAsia="仿宋"/>
          <w:b w:val="0"/>
          <w:bCs/>
          <w:color w:val="auto"/>
          <w:sz w:val="32"/>
          <w:szCs w:val="32"/>
          <w:highlight w:val="none"/>
        </w:rPr>
        <w:t xml:space="preserve"> </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18.3</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p>
    <w:p>
      <w:pPr>
        <w:pStyle w:val="12"/>
      </w:pPr>
    </w:p>
    <w:p>
      <w:pPr>
        <w:numPr>
          <w:ilvl w:val="0"/>
          <w:numId w:val="3"/>
        </w:numPr>
        <w:spacing w:line="600" w:lineRule="exact"/>
        <w:ind w:firstLine="643" w:firstLineChars="200"/>
        <w:rPr>
          <w:rStyle w:val="19"/>
          <w:rFonts w:hint="eastAsia" w:ascii="仿宋" w:hAnsi="仿宋" w:eastAsia="仿宋"/>
          <w:b w:val="0"/>
          <w:bCs/>
          <w:color w:val="auto"/>
          <w:sz w:val="32"/>
          <w:szCs w:val="32"/>
          <w:highlight w:val="none"/>
        </w:rPr>
      </w:pPr>
      <w:r>
        <w:rPr>
          <w:rStyle w:val="19"/>
          <w:rFonts w:hint="eastAsia" w:ascii="仿宋" w:hAnsi="仿宋" w:eastAsia="仿宋"/>
          <w:bCs/>
          <w:color w:val="auto"/>
          <w:sz w:val="32"/>
          <w:szCs w:val="32"/>
          <w:highlight w:val="none"/>
        </w:rPr>
        <w:t>社会保障和就业（类）行政事业单位养老（款）机关事业单位基本养老保险缴费（项）</w:t>
      </w:r>
      <w:r>
        <w:rPr>
          <w:rStyle w:val="19"/>
          <w:rFonts w:ascii="仿宋" w:hAnsi="仿宋" w:eastAsia="仿宋"/>
          <w:bCs/>
          <w:color w:val="auto"/>
          <w:sz w:val="32"/>
          <w:szCs w:val="32"/>
          <w:highlight w:val="none"/>
        </w:rPr>
        <w:t>:</w:t>
      </w:r>
      <w:r>
        <w:rPr>
          <w:rStyle w:val="19"/>
          <w:rFonts w:ascii="仿宋" w:hAnsi="仿宋" w:eastAsia="仿宋"/>
          <w:b w:val="0"/>
          <w:bCs/>
          <w:color w:val="auto"/>
          <w:sz w:val="32"/>
          <w:szCs w:val="32"/>
          <w:highlight w:val="none"/>
        </w:rPr>
        <w:t xml:space="preserve"> </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22.75</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p>
    <w:p>
      <w:pPr>
        <w:spacing w:line="600" w:lineRule="exact"/>
        <w:ind w:firstLine="643" w:firstLineChars="200"/>
      </w:pPr>
      <w:r>
        <w:rPr>
          <w:rStyle w:val="19"/>
          <w:rFonts w:hint="eastAsia" w:ascii="仿宋" w:hAnsi="仿宋" w:eastAsia="仿宋"/>
          <w:bCs/>
          <w:color w:val="auto"/>
          <w:sz w:val="32"/>
          <w:szCs w:val="32"/>
          <w:highlight w:val="none"/>
          <w:lang w:val="en-US" w:eastAsia="zh-CN"/>
        </w:rPr>
        <w:t>6</w:t>
      </w:r>
      <w:r>
        <w:rPr>
          <w:rStyle w:val="19"/>
          <w:rFonts w:ascii="仿宋" w:hAnsi="仿宋" w:eastAsia="仿宋"/>
          <w:bCs/>
          <w:color w:val="auto"/>
          <w:sz w:val="32"/>
          <w:szCs w:val="32"/>
          <w:highlight w:val="none"/>
        </w:rPr>
        <w:t>.</w:t>
      </w:r>
      <w:r>
        <w:rPr>
          <w:rStyle w:val="19"/>
          <w:rFonts w:hint="eastAsia" w:ascii="仿宋" w:hAnsi="仿宋" w:eastAsia="仿宋"/>
          <w:bCs/>
          <w:color w:val="auto"/>
          <w:sz w:val="32"/>
          <w:szCs w:val="32"/>
          <w:highlight w:val="none"/>
        </w:rPr>
        <w:t>社会保障和就业（类）其他社会保障和就业支出（款）其他社会保障和就业支出（项）</w:t>
      </w:r>
      <w:r>
        <w:rPr>
          <w:rStyle w:val="19"/>
          <w:rFonts w:ascii="仿宋" w:hAnsi="仿宋" w:eastAsia="仿宋"/>
          <w:bCs/>
          <w:color w:val="auto"/>
          <w:sz w:val="32"/>
          <w:szCs w:val="32"/>
          <w:highlight w:val="none"/>
        </w:rPr>
        <w:t>:</w:t>
      </w:r>
      <w:r>
        <w:rPr>
          <w:rStyle w:val="19"/>
          <w:rFonts w:ascii="仿宋" w:hAnsi="仿宋" w:eastAsia="仿宋"/>
          <w:b w:val="0"/>
          <w:bCs/>
          <w:color w:val="auto"/>
          <w:sz w:val="32"/>
          <w:szCs w:val="32"/>
          <w:highlight w:val="none"/>
        </w:rPr>
        <w:t xml:space="preserve"> </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3.58</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50" w:lineRule="exact"/>
        <w:ind w:firstLine="643" w:firstLineChars="200"/>
        <w:textAlignment w:val="auto"/>
        <w:outlineLvl w:val="2"/>
      </w:pPr>
      <w:r>
        <w:rPr>
          <w:rStyle w:val="19"/>
          <w:rFonts w:hint="eastAsia" w:ascii="仿宋" w:hAnsi="仿宋" w:eastAsia="仿宋"/>
          <w:bCs/>
          <w:color w:val="auto"/>
          <w:sz w:val="32"/>
          <w:szCs w:val="32"/>
          <w:highlight w:val="none"/>
          <w:lang w:val="en-US" w:eastAsia="zh-CN"/>
        </w:rPr>
        <w:t>7</w:t>
      </w:r>
      <w:r>
        <w:rPr>
          <w:rStyle w:val="19"/>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9"/>
          <w:rFonts w:hint="eastAsia" w:ascii="仿宋" w:hAnsi="仿宋" w:eastAsia="仿宋"/>
          <w:bCs/>
          <w:color w:val="auto"/>
          <w:sz w:val="32"/>
          <w:szCs w:val="32"/>
          <w:highlight w:val="none"/>
        </w:rPr>
        <w:t>（类）</w:t>
      </w:r>
      <w:r>
        <w:rPr>
          <w:rStyle w:val="19"/>
          <w:rFonts w:hint="eastAsia" w:ascii="仿宋" w:hAnsi="仿宋" w:eastAsia="仿宋"/>
          <w:bCs/>
          <w:color w:val="auto"/>
          <w:sz w:val="32"/>
          <w:szCs w:val="32"/>
          <w:highlight w:val="none"/>
          <w:lang w:val="en-US" w:eastAsia="zh-CN"/>
        </w:rPr>
        <w:t>行政事业单位医疗</w:t>
      </w:r>
      <w:r>
        <w:rPr>
          <w:rStyle w:val="19"/>
          <w:rFonts w:hint="eastAsia" w:ascii="仿宋" w:hAnsi="仿宋" w:eastAsia="仿宋"/>
          <w:bCs/>
          <w:color w:val="auto"/>
          <w:sz w:val="32"/>
          <w:szCs w:val="32"/>
          <w:highlight w:val="none"/>
        </w:rPr>
        <w:t>（款）</w:t>
      </w:r>
      <w:r>
        <w:rPr>
          <w:rStyle w:val="19"/>
          <w:rFonts w:hint="eastAsia" w:ascii="仿宋" w:hAnsi="仿宋" w:eastAsia="仿宋"/>
          <w:bCs/>
          <w:color w:val="auto"/>
          <w:sz w:val="32"/>
          <w:szCs w:val="32"/>
          <w:highlight w:val="none"/>
          <w:lang w:val="en-US" w:eastAsia="zh-CN"/>
        </w:rPr>
        <w:t>事业单位医疗</w:t>
      </w:r>
      <w:r>
        <w:rPr>
          <w:rStyle w:val="19"/>
          <w:rFonts w:hint="eastAsia" w:ascii="仿宋" w:hAnsi="仿宋" w:eastAsia="仿宋"/>
          <w:bCs/>
          <w:color w:val="auto"/>
          <w:sz w:val="32"/>
          <w:szCs w:val="32"/>
          <w:highlight w:val="none"/>
        </w:rPr>
        <w:t>（项）</w:t>
      </w:r>
      <w:r>
        <w:rPr>
          <w:rStyle w:val="19"/>
          <w:rFonts w:hint="eastAsia" w:ascii="仿宋" w:hAnsi="仿宋" w:eastAsia="仿宋"/>
          <w:bCs/>
          <w:color w:val="auto"/>
          <w:sz w:val="32"/>
          <w:szCs w:val="32"/>
          <w:highlight w:val="none"/>
          <w:lang w:eastAsia="zh-CN"/>
        </w:rPr>
        <w:t>：</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11.73</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lang w:eastAsia="zh-CN"/>
        </w:rPr>
        <w:t>。</w:t>
      </w:r>
    </w:p>
    <w:p>
      <w:pPr>
        <w:keepNext w:val="0"/>
        <w:keepLines w:val="0"/>
        <w:pageBreakBefore w:val="0"/>
        <w:widowControl w:val="0"/>
        <w:numPr>
          <w:ilvl w:val="0"/>
          <w:numId w:val="4"/>
        </w:numPr>
        <w:tabs>
          <w:tab w:val="right" w:pos="8306"/>
        </w:tabs>
        <w:kinsoku/>
        <w:wordWrap/>
        <w:overflowPunct/>
        <w:topLinePunct w:val="0"/>
        <w:autoSpaceDE/>
        <w:autoSpaceDN/>
        <w:bidi w:val="0"/>
        <w:adjustRightInd/>
        <w:snapToGrid w:val="0"/>
        <w:spacing w:line="550" w:lineRule="exact"/>
        <w:ind w:firstLine="640"/>
        <w:textAlignment w:val="auto"/>
        <w:outlineLvl w:val="1"/>
        <w:rPr>
          <w:rStyle w:val="30"/>
          <w:rFonts w:ascii="黑体" w:hAnsi="黑体" w:eastAsia="黑体"/>
          <w:b w:val="0"/>
          <w:color w:val="auto"/>
          <w:highlight w:val="none"/>
        </w:rPr>
      </w:pPr>
      <w:bookmarkStart w:id="33" w:name="_Toc22707"/>
      <w:bookmarkStart w:id="34" w:name="_Toc15396608"/>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般公共预算财政拨款基本支出决算情况说明</w:t>
      </w:r>
      <w:bookmarkEnd w:id="33"/>
      <w:bookmarkEnd w:id="34"/>
      <w:r>
        <w:rPr>
          <w:rStyle w:val="30"/>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bookmarkStart w:id="35" w:name="_Toc15396609"/>
      <w:bookmarkStart w:id="36" w:name="_Toc17578"/>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329.22</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275.29</w:t>
      </w:r>
      <w:r>
        <w:rPr>
          <w:rFonts w:hint="eastAsia" w:ascii="仿宋" w:hAnsi="仿宋" w:eastAsia="仿宋"/>
          <w:color w:val="auto"/>
          <w:sz w:val="32"/>
          <w:szCs w:val="32"/>
          <w:highlight w:val="none"/>
        </w:rPr>
        <w:t>万元，主要包括：基本工资、津贴补贴、奖金、绩效工资、机关事业单位基本养老保险缴费、职业年金缴费、其他社会保障缴费、其他工资福利支出、抚恤金、生活补助、奖励金、住房公积金、其他对个人和家庭的补助支出等。</w:t>
      </w:r>
    </w:p>
    <w:p>
      <w:pPr>
        <w:spacing w:line="600" w:lineRule="exact"/>
        <w:ind w:firstLine="645"/>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53.93</w:t>
      </w:r>
      <w:r>
        <w:rPr>
          <w:rFonts w:hint="eastAsia" w:ascii="仿宋" w:hAnsi="仿宋" w:eastAsia="仿宋"/>
          <w:color w:val="auto"/>
          <w:sz w:val="32"/>
          <w:szCs w:val="32"/>
          <w:highlight w:val="none"/>
        </w:rPr>
        <w:t>万元，主要包括：办公费、印刷费、咨询费、手续费、水费、电费、邮电费、取暖费、差旅费、维修（护）费、租赁费、会议费、培训费、劳务费、工会经费、福利费、其他交通费、其他商品和服务支出、办公设备购置、专用设备购置、信息网络及软件购置更新、其他资本性支出等。</w:t>
      </w:r>
    </w:p>
    <w:p>
      <w:pPr>
        <w:keepNext w:val="0"/>
        <w:keepLines w:val="0"/>
        <w:pageBreakBefore w:val="0"/>
        <w:widowControl w:val="0"/>
        <w:kinsoku/>
        <w:wordWrap/>
        <w:overflowPunct/>
        <w:topLinePunct w:val="0"/>
        <w:autoSpaceDE/>
        <w:autoSpaceDN/>
        <w:bidi w:val="0"/>
        <w:adjustRightInd/>
        <w:snapToGrid w:val="0"/>
        <w:spacing w:line="550" w:lineRule="exact"/>
        <w:ind w:firstLine="640"/>
        <w:textAlignment w:val="auto"/>
        <w:outlineLvl w:val="1"/>
        <w:rPr>
          <w:rStyle w:val="30"/>
          <w:rFonts w:ascii="黑体" w:hAnsi="黑体" w:eastAsia="黑体"/>
          <w:b w:val="0"/>
          <w:sz w:val="28"/>
          <w:szCs w:val="28"/>
        </w:rPr>
      </w:pPr>
      <w:r>
        <w:rPr>
          <w:rFonts w:hint="eastAsia" w:ascii="黑体" w:eastAsia="黑体"/>
          <w:color w:val="auto"/>
          <w:sz w:val="32"/>
          <w:szCs w:val="32"/>
          <w:highlight w:val="none"/>
        </w:rPr>
        <w:t>七、</w:t>
      </w:r>
      <w:r>
        <w:rPr>
          <w:rStyle w:val="30"/>
          <w:rFonts w:hint="eastAsia" w:ascii="黑体" w:hAnsi="黑体" w:eastAsia="黑体"/>
          <w:color w:val="auto"/>
          <w:highlight w:val="none"/>
        </w:rPr>
        <w:t>“</w:t>
      </w:r>
      <w:r>
        <w:rPr>
          <w:rStyle w:val="30"/>
          <w:rFonts w:hint="eastAsia" w:ascii="黑体" w:hAnsi="黑体" w:eastAsia="黑体"/>
          <w:b w:val="0"/>
          <w:color w:val="auto"/>
          <w:highlight w:val="none"/>
        </w:rPr>
        <w:t>三公”经费财政拨款支出决算情况说明</w:t>
      </w:r>
      <w:bookmarkEnd w:id="35"/>
      <w:bookmarkEnd w:id="36"/>
      <w:bookmarkStart w:id="37" w:name="_Toc15377218"/>
      <w:bookmarkStart w:id="38" w:name="_Toc19089873"/>
    </w:p>
    <w:bookmarkEnd w:id="37"/>
    <w:p>
      <w:pPr>
        <w:spacing w:line="600" w:lineRule="exact"/>
        <w:ind w:firstLine="640"/>
        <w:rPr>
          <w:rFonts w:ascii="仿宋" w:hAnsi="仿宋" w:eastAsia="仿宋"/>
          <w:color w:val="auto"/>
          <w:sz w:val="32"/>
          <w:szCs w:val="32"/>
          <w:highlight w:val="none"/>
        </w:rPr>
      </w:pPr>
      <w:bookmarkStart w:id="39" w:name="_Toc21094"/>
      <w:bookmarkStart w:id="40" w:name="_Toc15396610"/>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与2021年度持平。</w:t>
      </w:r>
      <w:r>
        <w:rPr>
          <w:rFonts w:hint="eastAsia" w:ascii="仿宋" w:hAnsi="仿宋" w:eastAsia="仿宋"/>
          <w:color w:val="auto"/>
          <w:sz w:val="32"/>
          <w:szCs w:val="32"/>
          <w:highlight w:val="none"/>
        </w:rPr>
        <w:t>具体情况如下：</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9"/>
          <w:rFonts w:hint="eastAsia" w:ascii="仿宋" w:hAnsi="仿宋" w:eastAsia="仿宋"/>
          <w:b w:val="0"/>
          <w:bCs/>
          <w:color w:val="auto"/>
          <w:sz w:val="32"/>
          <w:szCs w:val="32"/>
          <w:highlight w:val="none"/>
        </w:rPr>
        <w:t>完成预算</w:t>
      </w:r>
      <w:r>
        <w:rPr>
          <w:rStyle w:val="19"/>
          <w:rFonts w:hint="eastAsia" w:ascii="仿宋" w:hAnsi="仿宋" w:eastAsia="仿宋"/>
          <w:b w:val="0"/>
          <w:bCs/>
          <w:color w:val="auto"/>
          <w:sz w:val="32"/>
          <w:szCs w:val="32"/>
          <w:highlight w:val="none"/>
          <w:lang w:val="en-US" w:eastAsia="zh-CN"/>
        </w:rPr>
        <w:t>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 w:hAnsi="仿宋" w:eastAsia="仿宋"/>
          <w:color w:val="auto"/>
          <w:sz w:val="32"/>
          <w:szCs w:val="32"/>
          <w:highlight w:val="none"/>
          <w:lang w:val="en-US" w:eastAsia="zh-CN"/>
        </w:rPr>
        <w:t>与2021年度持平</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9"/>
          <w:rFonts w:hint="eastAsia" w:ascii="仿宋" w:hAnsi="仿宋" w:eastAsia="仿宋"/>
          <w:b w:val="0"/>
          <w:bCs/>
          <w:color w:val="auto"/>
          <w:sz w:val="32"/>
          <w:szCs w:val="32"/>
          <w:highlight w:val="none"/>
        </w:rPr>
        <w:t>完成预算</w:t>
      </w:r>
      <w:r>
        <w:rPr>
          <w:rStyle w:val="19"/>
          <w:rFonts w:hint="eastAsia" w:ascii="仿宋" w:hAnsi="仿宋" w:eastAsia="仿宋"/>
          <w:b w:val="0"/>
          <w:bCs/>
          <w:color w:val="auto"/>
          <w:sz w:val="32"/>
          <w:szCs w:val="32"/>
          <w:highlight w:val="none"/>
          <w:lang w:val="en-US" w:eastAsia="zh-CN"/>
        </w:rPr>
        <w:t>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与2021年度持平</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9"/>
          <w:rFonts w:hint="eastAsia" w:ascii="仿宋" w:hAnsi="仿宋" w:eastAsia="仿宋"/>
          <w:b w:val="0"/>
          <w:bCs/>
          <w:color w:val="auto"/>
          <w:sz w:val="32"/>
          <w:szCs w:val="32"/>
          <w:highlight w:val="none"/>
        </w:rPr>
        <w:t>完成预算</w:t>
      </w:r>
      <w:r>
        <w:rPr>
          <w:rStyle w:val="19"/>
          <w:rFonts w:hint="eastAsia" w:ascii="仿宋" w:hAnsi="仿宋" w:eastAsia="仿宋"/>
          <w:b w:val="0"/>
          <w:bCs/>
          <w:color w:val="auto"/>
          <w:sz w:val="32"/>
          <w:szCs w:val="32"/>
          <w:highlight w:val="none"/>
          <w:lang w:val="en-US" w:eastAsia="zh-CN"/>
        </w:rPr>
        <w:t>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 w:hAnsi="仿宋" w:eastAsia="仿宋"/>
          <w:color w:val="auto"/>
          <w:sz w:val="32"/>
          <w:szCs w:val="32"/>
          <w:highlight w:val="none"/>
          <w:lang w:val="en-US" w:eastAsia="zh-CN"/>
        </w:rPr>
        <w:t>与2021年度持平</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3" w:firstLineChars="200"/>
        <w:rPr>
          <w:rFonts w:hint="eastAsia" w:ascii="仿宋" w:hAnsi="仿宋" w:eastAsia="仿宋"/>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keepNext w:val="0"/>
        <w:keepLines w:val="0"/>
        <w:pageBreakBefore w:val="0"/>
        <w:widowControl w:val="0"/>
        <w:kinsoku/>
        <w:wordWrap/>
        <w:overflowPunct/>
        <w:topLinePunct w:val="0"/>
        <w:bidi w:val="0"/>
        <w:snapToGrid/>
        <w:spacing w:line="560" w:lineRule="exact"/>
        <w:ind w:firstLine="640"/>
        <w:textAlignment w:val="auto"/>
        <w:outlineLvl w:val="1"/>
        <w:rPr>
          <w:rStyle w:val="30"/>
          <w:rFonts w:ascii="黑体" w:hAnsi="黑体" w:eastAsia="黑体"/>
          <w:color w:val="auto"/>
          <w:highlight w:val="none"/>
        </w:rPr>
      </w:pPr>
      <w:r>
        <w:rPr>
          <w:rFonts w:hint="eastAsia" w:ascii="黑体" w:eastAsia="黑体"/>
          <w:color w:val="auto"/>
          <w:sz w:val="32"/>
          <w:szCs w:val="32"/>
          <w:highlight w:val="none"/>
        </w:rPr>
        <w:t>八、</w:t>
      </w:r>
      <w:r>
        <w:rPr>
          <w:rStyle w:val="30"/>
          <w:rFonts w:hint="eastAsia" w:ascii="黑体" w:hAnsi="黑体" w:eastAsia="黑体"/>
          <w:b w:val="0"/>
          <w:color w:val="auto"/>
          <w:highlight w:val="none"/>
        </w:rPr>
        <w:t>政府性基金预算支出决算情况说明</w:t>
      </w:r>
      <w:bookmarkEnd w:id="39"/>
      <w:bookmarkEnd w:id="40"/>
    </w:p>
    <w:p>
      <w:pPr>
        <w:spacing w:line="560" w:lineRule="exact"/>
        <w:ind w:firstLine="640"/>
        <w:outlineLvl w:val="2"/>
        <w:rPr>
          <w:rFonts w:ascii="仿宋_GB2312" w:eastAsia="仿宋_GB2312"/>
          <w:color w:val="auto"/>
          <w:sz w:val="32"/>
          <w:szCs w:val="32"/>
          <w:highlight w:val="none"/>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年政府性基金预算财政拨款支出0.00万元，本年度未安排基金预算。</w:t>
      </w:r>
    </w:p>
    <w:p>
      <w:pPr>
        <w:keepNext w:val="0"/>
        <w:keepLines w:val="0"/>
        <w:pageBreakBefore w:val="0"/>
        <w:widowControl w:val="0"/>
        <w:numPr>
          <w:ilvl w:val="0"/>
          <w:numId w:val="5"/>
        </w:numPr>
        <w:kinsoku/>
        <w:wordWrap/>
        <w:overflowPunct/>
        <w:topLinePunct w:val="0"/>
        <w:bidi w:val="0"/>
        <w:snapToGrid/>
        <w:spacing w:line="560" w:lineRule="exact"/>
        <w:ind w:firstLine="640"/>
        <w:textAlignment w:val="auto"/>
        <w:outlineLvl w:val="1"/>
        <w:rPr>
          <w:rStyle w:val="30"/>
          <w:rFonts w:ascii="黑体" w:hAnsi="黑体" w:eastAsia="黑体"/>
          <w:b w:val="0"/>
          <w:color w:val="auto"/>
          <w:highlight w:val="none"/>
        </w:rPr>
      </w:pPr>
      <w:bookmarkStart w:id="41" w:name="_Toc4469"/>
      <w:bookmarkStart w:id="42" w:name="_Toc15396611"/>
      <w:bookmarkStart w:id="43" w:name="_Toc15377219"/>
      <w:r>
        <w:rPr>
          <w:rStyle w:val="30"/>
          <w:rFonts w:hint="eastAsia" w:ascii="黑体" w:hAnsi="黑体" w:eastAsia="黑体"/>
          <w:b w:val="0"/>
          <w:color w:val="auto"/>
          <w:highlight w:val="none"/>
        </w:rPr>
        <w:t>国有资本经营预算支出决算情况说明</w:t>
      </w:r>
      <w:bookmarkEnd w:id="41"/>
      <w:bookmarkEnd w:id="42"/>
      <w:bookmarkEnd w:id="43"/>
    </w:p>
    <w:p>
      <w:pPr>
        <w:keepNext w:val="0"/>
        <w:keepLines w:val="0"/>
        <w:pageBreakBefore w:val="0"/>
        <w:widowControl w:val="0"/>
        <w:kinsoku/>
        <w:wordWrap/>
        <w:overflowPunct/>
        <w:topLinePunct w:val="0"/>
        <w:bidi w:val="0"/>
        <w:snapToGrid/>
        <w:spacing w:line="560" w:lineRule="exact"/>
        <w:ind w:firstLine="640"/>
        <w:textAlignment w:val="auto"/>
        <w:outlineLvl w:val="2"/>
        <w:rPr>
          <w:rFonts w:hint="eastAsia"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年国有资本经营预算财政拨款支出0.00万元，本年度未安排国有资本经营预算。</w:t>
      </w:r>
    </w:p>
    <w:p>
      <w:pPr>
        <w:numPr>
          <w:ilvl w:val="0"/>
          <w:numId w:val="5"/>
        </w:numPr>
        <w:spacing w:line="560" w:lineRule="exact"/>
        <w:ind w:firstLine="640"/>
        <w:outlineLvl w:val="1"/>
        <w:rPr>
          <w:rStyle w:val="36"/>
          <w:rFonts w:ascii="黑体" w:hAnsi="黑体" w:eastAsia="黑体"/>
          <w:b w:val="0"/>
        </w:rPr>
      </w:pPr>
      <w:bookmarkStart w:id="44" w:name="_Toc15396612"/>
      <w:bookmarkStart w:id="45" w:name="_Toc10003"/>
      <w:r>
        <w:rPr>
          <w:rStyle w:val="36"/>
          <w:rFonts w:hint="eastAsia" w:ascii="黑体" w:hAnsi="黑体" w:eastAsia="黑体"/>
          <w:b w:val="0"/>
        </w:rPr>
        <w:t>其他重要事项的情况说明</w:t>
      </w:r>
      <w:bookmarkEnd w:id="44"/>
      <w:bookmarkEnd w:id="45"/>
    </w:p>
    <w:bookmarkEnd w:id="38"/>
    <w:p>
      <w:pPr>
        <w:spacing w:line="600" w:lineRule="exact"/>
        <w:ind w:firstLine="643" w:firstLineChars="200"/>
        <w:outlineLvl w:val="2"/>
        <w:rPr>
          <w:rFonts w:ascii="仿宋" w:hAnsi="仿宋" w:eastAsia="仿宋"/>
          <w:color w:val="auto"/>
          <w:sz w:val="32"/>
          <w:szCs w:val="32"/>
          <w:highlight w:val="none"/>
        </w:rPr>
      </w:pPr>
      <w:bookmarkStart w:id="46" w:name="_Toc15377222"/>
      <w:bookmarkStart w:id="47" w:name="_Toc15377221"/>
      <w:bookmarkStart w:id="48" w:name="_Toc19089874"/>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本单位</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年决算数持平。</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9" w:name="_Toc15377223"/>
      <w:r>
        <w:rPr>
          <w:rFonts w:hint="eastAsia" w:ascii="仿宋" w:hAnsi="仿宋" w:eastAsia="仿宋"/>
          <w:b/>
          <w:color w:val="auto"/>
          <w:sz w:val="32"/>
          <w:szCs w:val="32"/>
          <w:highlight w:val="none"/>
        </w:rPr>
        <w:t>（二）政府采购支出情况</w:t>
      </w:r>
      <w:bookmarkEnd w:id="49"/>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本单位</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0" w:name="_Toc15377224"/>
      <w:r>
        <w:rPr>
          <w:rFonts w:hint="eastAsia" w:ascii="仿宋" w:hAnsi="仿宋" w:eastAsia="仿宋"/>
          <w:b/>
          <w:color w:val="auto"/>
          <w:sz w:val="32"/>
          <w:szCs w:val="32"/>
          <w:highlight w:val="none"/>
        </w:rPr>
        <w:t>（三）国有资产占有使用情况</w:t>
      </w:r>
      <w:bookmarkEnd w:id="50"/>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本单位</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spacing w:line="560" w:lineRule="exact"/>
        <w:ind w:firstLine="640" w:firstLineChars="200"/>
        <w:outlineLvl w:val="2"/>
        <w:rPr>
          <w:rFonts w:ascii="楷体" w:hAnsi="楷体" w:eastAsia="楷体" w:cs="楷体"/>
          <w:bCs/>
          <w:sz w:val="32"/>
          <w:szCs w:val="32"/>
        </w:rPr>
      </w:pPr>
      <w:r>
        <w:rPr>
          <w:rFonts w:hint="eastAsia" w:ascii="楷体" w:hAnsi="楷体" w:eastAsia="楷体" w:cs="楷体"/>
          <w:bCs/>
          <w:sz w:val="32"/>
          <w:szCs w:val="32"/>
        </w:rPr>
        <w:t>（四）预算绩效管理情况</w:t>
      </w:r>
    </w:p>
    <w:p>
      <w:pPr>
        <w:pStyle w:val="2"/>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val="en-US" w:eastAsia="zh-CN"/>
        </w:rPr>
        <w:t>营养餐改善计划、特岗教师、农村教师生活补助</w:t>
      </w:r>
      <w:r>
        <w:rPr>
          <w:rFonts w:hint="eastAsia" w:ascii="仿宋_GB2312" w:hAnsi="仿宋_GB2312" w:eastAsia="仿宋_GB2312" w:cs="仿宋_GB2312"/>
          <w:color w:val="auto"/>
          <w:sz w:val="32"/>
          <w:szCs w:val="32"/>
          <w:highlight w:val="none"/>
        </w:rPr>
        <w:t>等</w:t>
      </w:r>
      <w:r>
        <w:rPr>
          <w:rFonts w:hint="eastAsia"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widowControl/>
        <w:jc w:val="left"/>
        <w:rPr>
          <w:highlight w:val="none"/>
        </w:rPr>
      </w:pPr>
    </w:p>
    <w:p>
      <w:pPr>
        <w:pStyle w:val="2"/>
        <w:spacing w:before="93"/>
        <w:rPr>
          <w:highlight w:val="yellow"/>
        </w:rPr>
      </w:pPr>
    </w:p>
    <w:p>
      <w:pPr>
        <w:pStyle w:val="2"/>
        <w:spacing w:before="93"/>
        <w:rPr>
          <w:highlight w:val="yellow"/>
        </w:rPr>
      </w:pPr>
    </w:p>
    <w:p>
      <w:pPr>
        <w:pStyle w:val="2"/>
        <w:spacing w:before="93"/>
        <w:rPr>
          <w:highlight w:val="yellow"/>
        </w:rPr>
      </w:pPr>
    </w:p>
    <w:p>
      <w:pPr>
        <w:pStyle w:val="2"/>
        <w:spacing w:before="93"/>
        <w:rPr>
          <w:highlight w:val="yellow"/>
        </w:rPr>
      </w:pPr>
    </w:p>
    <w:p>
      <w:pPr>
        <w:pStyle w:val="2"/>
        <w:spacing w:before="93"/>
        <w:rPr>
          <w:highlight w:val="yellow"/>
        </w:rPr>
      </w:pPr>
    </w:p>
    <w:p>
      <w:pPr>
        <w:pStyle w:val="2"/>
        <w:spacing w:before="93"/>
        <w:rPr>
          <w:highlight w:val="yellow"/>
        </w:rPr>
      </w:pPr>
    </w:p>
    <w:p>
      <w:pPr>
        <w:pStyle w:val="2"/>
        <w:spacing w:before="93"/>
        <w:rPr>
          <w:highlight w:val="yellow"/>
        </w:rPr>
      </w:pPr>
    </w:p>
    <w:bookmarkEnd w:id="47"/>
    <w:bookmarkEnd w:id="48"/>
    <w:p>
      <w:pPr>
        <w:numPr>
          <w:ilvl w:val="0"/>
          <w:numId w:val="6"/>
        </w:numPr>
        <w:spacing w:line="600" w:lineRule="exact"/>
        <w:ind w:firstLine="660" w:firstLineChars="150"/>
        <w:jc w:val="center"/>
        <w:outlineLvl w:val="0"/>
        <w:rPr>
          <w:rStyle w:val="29"/>
          <w:rFonts w:ascii="黑体" w:hAnsi="黑体" w:eastAsia="黑体"/>
          <w:b w:val="0"/>
          <w:color w:val="auto"/>
          <w:highlight w:val="none"/>
        </w:rPr>
      </w:pPr>
      <w:bookmarkStart w:id="51" w:name="_Toc15396613"/>
      <w:bookmarkStart w:id="52" w:name="_Toc15377225"/>
      <w:bookmarkStart w:id="53" w:name="_Toc19089885"/>
      <w:bookmarkStart w:id="54" w:name="_Toc15377226"/>
      <w:r>
        <w:rPr>
          <w:rFonts w:hint="eastAsia" w:ascii="黑体" w:hAnsi="黑体" w:eastAsia="黑体"/>
          <w:color w:val="auto"/>
          <w:sz w:val="44"/>
          <w:szCs w:val="44"/>
          <w:highlight w:val="none"/>
        </w:rPr>
        <w:t>名</w:t>
      </w:r>
      <w:r>
        <w:rPr>
          <w:rStyle w:val="29"/>
          <w:rFonts w:hint="eastAsia" w:ascii="黑体" w:hAnsi="黑体" w:eastAsia="黑体"/>
          <w:b w:val="0"/>
          <w:color w:val="auto"/>
          <w:highlight w:val="none"/>
        </w:rPr>
        <w:t>词解释</w:t>
      </w:r>
      <w:bookmarkEnd w:id="51"/>
      <w:bookmarkEnd w:id="52"/>
    </w:p>
    <w:p>
      <w:pPr>
        <w:spacing w:line="600" w:lineRule="exact"/>
        <w:jc w:val="left"/>
        <w:rPr>
          <w:rFonts w:ascii="宋体"/>
          <w:b/>
          <w:color w:val="auto"/>
          <w:sz w:val="44"/>
          <w:szCs w:val="44"/>
          <w:highlight w:val="none"/>
        </w:rPr>
      </w:pP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7"/>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7"/>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snapToGrid w:val="0"/>
        <w:spacing w:line="540" w:lineRule="exact"/>
        <w:ind w:firstLine="640" w:firstLineChars="200"/>
        <w:rPr>
          <w:rFonts w:hint="eastAsia" w:ascii="仿宋_GB2312" w:hAnsi="仿宋_GB2312" w:eastAsia="仿宋_GB2312" w:cs="仿宋_GB2312"/>
          <w:sz w:val="28"/>
          <w:szCs w:val="28"/>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其他收入：指单位取得的除上述收入以外的各项收入。主要是学前教育保育教育费收入、银行存款利息收入等。</w:t>
      </w:r>
      <w:r>
        <w:rPr>
          <w:rFonts w:hint="eastAsia" w:ascii="仿宋_GB2312" w:hAnsi="仿宋_GB2312" w:eastAsia="仿宋_GB2312" w:cs="仿宋_GB2312"/>
          <w:sz w:val="28"/>
          <w:szCs w:val="28"/>
        </w:rPr>
        <w:t xml:space="preserve"> </w:t>
      </w: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7"/>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snapToGrid w:val="0"/>
        <w:spacing w:line="54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教育支出（类）普通教育（款）学前教育（项）:反映各部门举办的学前教育支出。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 教育支出（类）普通教育（款）小学教育（项）:反映各部门举办的小学教育支出。政府各部门对社会中介组织等举办的小学的资助，如各类捐赠、补贴等，也在本科目中反映。</w:t>
      </w:r>
    </w:p>
    <w:p>
      <w:pPr>
        <w:pStyle w:val="27"/>
        <w:snapToGrid w:val="0"/>
        <w:spacing w:line="520" w:lineRule="exact"/>
        <w:ind w:firstLine="560" w:firstLineChars="200"/>
        <w:rPr>
          <w:rFonts w:hint="eastAsia"/>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1</w:t>
      </w:r>
      <w:r>
        <w:rPr>
          <w:rFonts w:hint="eastAsia" w:ascii="仿宋_GB2312" w:eastAsia="仿宋_GB2312"/>
          <w:color w:val="auto"/>
          <w:sz w:val="28"/>
          <w:szCs w:val="28"/>
        </w:rPr>
        <w:t>. 教育支出（类）普通教育（款）初中教育（项）: 反映各部门举办的初中教育支出。政府各部门对社会中介组织等举办的初中教育的资助，如捐赠、补贴等，也在本科目中反映。</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 教育支出（类）普通教育（款）其它普通教育（项）: 反映除上述项目以外其他用于普通教育方面的支出。</w:t>
      </w:r>
    </w:p>
    <w:p>
      <w:pPr>
        <w:snapToGrid w:val="0"/>
        <w:spacing w:line="540" w:lineRule="exact"/>
        <w:ind w:firstLine="640" w:firstLineChars="200"/>
      </w:pP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 教育支出（类）其它教育支出（款）其他教育支出（项）: 指上述项目以外其他用于教育方面的支出。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 社会保障和就业支出（类）行政事业单位离退休（款）机关事业单位基本养老保险缴费支出（项）: 指机关事业单位实施养老保险制度由单位缴纳的基本养老保险费支出。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 社会保障和就业支出（类）行政事业单位离退休（款）机关事业单位职业年金缴费支出（项）: 指机关事业单位实施养老保险制度由单位实际缴纳的职业年金支出。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hint="eastAsia" w:ascii="仿宋_GB2312" w:eastAsia="仿宋_GB2312"/>
          <w:color w:val="auto"/>
          <w:sz w:val="32"/>
          <w:szCs w:val="32"/>
          <w:highlight w:val="none"/>
        </w:rPr>
        <w:t>. 社会保障和就业支出（类）抚恤（款）死亡抚恤（项）: 指按规定用于烈士和牺牲、病故人员家属的一次性和定期抚恤金以及丧葬补助费。</w:t>
      </w:r>
    </w:p>
    <w:p>
      <w:pPr>
        <w:snapToGrid w:val="0"/>
        <w:spacing w:line="540" w:lineRule="exact"/>
        <w:ind w:firstLine="640" w:firstLineChars="200"/>
        <w:rPr>
          <w:rFonts w:hint="eastAsia" w:ascii="仿宋_GB2312" w:hAnsi="仿宋_GB2312" w:eastAsia="仿宋_GB2312" w:cs="仿宋_GB2312"/>
          <w:sz w:val="28"/>
          <w:szCs w:val="28"/>
        </w:rPr>
      </w:pPr>
      <w:r>
        <w:rPr>
          <w:rFonts w:hint="eastAsia" w:ascii="仿宋_GB2312" w:eastAsia="仿宋_GB2312"/>
          <w:color w:val="auto"/>
          <w:sz w:val="32"/>
          <w:szCs w:val="32"/>
          <w:highlight w:val="none"/>
          <w:lang w:val="en-US" w:eastAsia="zh-CN"/>
        </w:rPr>
        <w:t>17</w:t>
      </w:r>
      <w:r>
        <w:rPr>
          <w:rFonts w:hint="eastAsia" w:ascii="仿宋_GB2312" w:eastAsia="仿宋_GB2312"/>
          <w:color w:val="auto"/>
          <w:sz w:val="32"/>
          <w:szCs w:val="32"/>
          <w:highlight w:val="none"/>
        </w:rPr>
        <w:t>. 医疗卫生与计划生育（类）行政事业单位医疗（款）事业单位医疗（项）: 指财政部门安排的事业单位基本医疗保险缴费经费，未参加医疗保险的事业单位的公费医疗经费，按国家规定享受离休人员待遇的医疗经费。</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住房保障支出（类）住房改革支出（款）住房公积金（项）: 指行政事业单位按人力资源和社会保障部、财政部规定的基本工资和津贴补贴以及规定比例为职工缴纳的住房公积金。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21</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7"/>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widowControl/>
        <w:jc w:val="left"/>
        <w:rPr>
          <w:rFonts w:ascii="黑体" w:hAnsi="黑体" w:eastAsia="黑体"/>
          <w:bCs/>
          <w:kern w:val="44"/>
          <w:sz w:val="44"/>
          <w:szCs w:val="44"/>
        </w:rPr>
      </w:pPr>
      <w:r>
        <w:rPr>
          <w:rFonts w:hint="eastAsia" w:ascii="仿宋_GB2312" w:eastAsia="仿宋_GB2312"/>
          <w:color w:val="auto"/>
          <w:sz w:val="32"/>
          <w:szCs w:val="32"/>
          <w:highlight w:val="none"/>
          <w:lang w:val="en-US" w:eastAsia="zh-CN"/>
        </w:rPr>
        <w:t>23</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宋体"/>
          <w:b/>
          <w:color w:val="auto"/>
          <w:sz w:val="44"/>
          <w:szCs w:val="44"/>
          <w:highlight w:val="none"/>
        </w:rPr>
        <w:br w:type="page"/>
      </w:r>
    </w:p>
    <w:p>
      <w:pPr>
        <w:numPr>
          <w:ilvl w:val="0"/>
          <w:numId w:val="6"/>
        </w:numPr>
        <w:spacing w:line="600" w:lineRule="exact"/>
        <w:ind w:left="0" w:leftChars="0" w:firstLine="0" w:firstLineChars="0"/>
        <w:jc w:val="center"/>
        <w:outlineLvl w:val="0"/>
        <w:rPr>
          <w:rStyle w:val="29"/>
          <w:rFonts w:hint="eastAsia" w:ascii="方正小标宋简体" w:hAnsi="方正小标宋简体" w:eastAsia="方正小标宋简体" w:cs="方正小标宋简体"/>
          <w:b w:val="0"/>
          <w:color w:val="auto"/>
          <w:highlight w:val="none"/>
        </w:rPr>
      </w:pPr>
      <w:bookmarkStart w:id="55" w:name="_Toc24843"/>
      <w:bookmarkStart w:id="56" w:name="_Toc15396614"/>
      <w:r>
        <w:rPr>
          <w:rStyle w:val="29"/>
          <w:rFonts w:hint="eastAsia" w:ascii="方正小标宋简体" w:hAnsi="方正小标宋简体" w:eastAsia="方正小标宋简体" w:cs="方正小标宋简体"/>
          <w:b w:val="0"/>
          <w:color w:val="auto"/>
          <w:highlight w:val="none"/>
        </w:rPr>
        <w:t>附件</w:t>
      </w:r>
      <w:bookmarkEnd w:id="55"/>
      <w:bookmarkEnd w:id="56"/>
    </w:p>
    <w:p>
      <w:pPr>
        <w:jc w:val="center"/>
      </w:pPr>
      <w:r>
        <w:rPr>
          <w:rStyle w:val="30"/>
          <w:rFonts w:hint="eastAsia" w:ascii="仿宋" w:hAnsi="仿宋" w:eastAsia="仿宋"/>
          <w:b w:val="0"/>
          <w:bCs w:val="0"/>
          <w:color w:val="auto"/>
          <w:highlight w:val="none"/>
          <w:lang w:val="en-US" w:eastAsia="zh-CN" w:bidi="ar-SA"/>
        </w:rPr>
        <w:t>部门预算项目支出绩效自评表（2022年度）</w:t>
      </w:r>
    </w:p>
    <w:p>
      <w:pPr>
        <w:pStyle w:val="12"/>
        <w:rPr>
          <w:rFonts w:ascii="仿宋" w:hAnsi="仿宋" w:eastAsia="仿宋" w:cs="仿宋_GB2312"/>
          <w:bCs/>
          <w:sz w:val="32"/>
          <w:szCs w:val="32"/>
        </w:rPr>
      </w:pPr>
    </w:p>
    <w:p>
      <w:pPr>
        <w:rPr>
          <w:rFonts w:ascii="仿宋" w:hAnsi="仿宋" w:eastAsia="仿宋" w:cs="仿宋_GB2312"/>
          <w:bCs/>
          <w:sz w:val="32"/>
          <w:szCs w:val="32"/>
        </w:rPr>
      </w:pPr>
    </w:p>
    <w:p>
      <w:pPr>
        <w:pStyle w:val="12"/>
        <w:rPr>
          <w:rFonts w:ascii="仿宋" w:hAnsi="仿宋" w:eastAsia="仿宋" w:cs="仿宋_GB2312"/>
          <w:bCs/>
          <w:sz w:val="32"/>
          <w:szCs w:val="32"/>
        </w:rPr>
      </w:pPr>
    </w:p>
    <w:p>
      <w:pPr>
        <w:rPr>
          <w:rFonts w:ascii="仿宋" w:hAnsi="仿宋" w:eastAsia="仿宋" w:cs="仿宋_GB2312"/>
          <w:bCs/>
          <w:sz w:val="32"/>
          <w:szCs w:val="32"/>
        </w:rPr>
      </w:pPr>
    </w:p>
    <w:p>
      <w:pPr>
        <w:pStyle w:val="12"/>
        <w:rPr>
          <w:rFonts w:ascii="仿宋" w:hAnsi="仿宋" w:eastAsia="仿宋" w:cs="仿宋_GB2312"/>
          <w:bCs/>
          <w:sz w:val="32"/>
          <w:szCs w:val="32"/>
        </w:rPr>
      </w:pPr>
    </w:p>
    <w:p>
      <w:pPr>
        <w:rPr>
          <w:rFonts w:ascii="仿宋" w:hAnsi="仿宋" w:eastAsia="仿宋" w:cs="仿宋_GB2312"/>
          <w:bCs/>
          <w:sz w:val="32"/>
          <w:szCs w:val="32"/>
        </w:rPr>
      </w:pPr>
    </w:p>
    <w:p>
      <w:pPr>
        <w:pStyle w:val="12"/>
        <w:ind w:left="0" w:leftChars="0" w:firstLine="0" w:firstLineChars="0"/>
        <w:rPr>
          <w:rFonts w:ascii="仿宋" w:hAnsi="仿宋" w:eastAsia="仿宋" w:cs="仿宋_GB2312"/>
          <w:bCs/>
          <w:sz w:val="32"/>
          <w:szCs w:val="32"/>
        </w:rPr>
      </w:pPr>
    </w:p>
    <w:p>
      <w:pPr>
        <w:rPr>
          <w:rFonts w:ascii="仿宋" w:hAnsi="仿宋" w:eastAsia="仿宋" w:cs="仿宋_GB2312"/>
          <w:bCs/>
          <w:sz w:val="32"/>
          <w:szCs w:val="32"/>
        </w:rPr>
      </w:pPr>
    </w:p>
    <w:p>
      <w:pPr>
        <w:pStyle w:val="12"/>
        <w:rPr>
          <w:rFonts w:ascii="仿宋" w:hAnsi="仿宋" w:eastAsia="仿宋" w:cs="仿宋_GB2312"/>
          <w:bCs/>
          <w:sz w:val="32"/>
          <w:szCs w:val="32"/>
        </w:rPr>
      </w:pPr>
    </w:p>
    <w:p>
      <w:pPr>
        <w:rPr>
          <w:rFonts w:ascii="仿宋" w:hAnsi="仿宋" w:eastAsia="仿宋" w:cs="仿宋_GB2312"/>
          <w:bCs/>
          <w:sz w:val="32"/>
          <w:szCs w:val="32"/>
        </w:rPr>
      </w:pPr>
    </w:p>
    <w:p>
      <w:pPr>
        <w:pStyle w:val="12"/>
      </w:pPr>
    </w:p>
    <w:p/>
    <w:p>
      <w:pPr>
        <w:pStyle w:val="2"/>
      </w:pPr>
    </w:p>
    <w:p>
      <w:pPr>
        <w:pStyle w:val="2"/>
      </w:pPr>
    </w:p>
    <w:p>
      <w:pPr>
        <w:pStyle w:val="2"/>
      </w:pPr>
    </w:p>
    <w:p>
      <w:pPr>
        <w:pStyle w:val="2"/>
      </w:pPr>
    </w:p>
    <w:p>
      <w:pPr>
        <w:pStyle w:val="2"/>
      </w:pPr>
    </w:p>
    <w:p>
      <w:pPr>
        <w:pStyle w:val="2"/>
      </w:pPr>
      <w:bookmarkStart w:id="85" w:name="_GoBack"/>
      <w:bookmarkEnd w:id="85"/>
    </w:p>
    <w:p>
      <w:pPr>
        <w:rPr>
          <w:rFonts w:ascii="仿宋" w:hAnsi="仿宋" w:eastAsia="仿宋" w:cs="仿宋_GB2312"/>
          <w:bCs/>
          <w:sz w:val="32"/>
          <w:szCs w:val="32"/>
        </w:rPr>
      </w:pPr>
    </w:p>
    <w:p>
      <w:pPr>
        <w:pStyle w:val="12"/>
      </w:pPr>
    </w:p>
    <w:bookmarkEnd w:id="53"/>
    <w:bookmarkEnd w:id="54"/>
    <w:p>
      <w:pPr>
        <w:spacing w:line="600" w:lineRule="exact"/>
        <w:jc w:val="center"/>
        <w:outlineLvl w:val="0"/>
        <w:rPr>
          <w:rFonts w:hint="eastAsia" w:ascii="仿宋" w:hAnsi="仿宋" w:eastAsia="仿宋"/>
          <w:b w:val="0"/>
          <w:color w:val="auto"/>
          <w:highlight w:val="none"/>
        </w:rPr>
      </w:pPr>
      <w:bookmarkStart w:id="57" w:name="_Toc25694"/>
      <w:r>
        <w:rPr>
          <w:rFonts w:hint="eastAsia" w:ascii="黑体" w:hAnsi="黑体" w:eastAsia="黑体"/>
          <w:color w:val="auto"/>
          <w:sz w:val="44"/>
          <w:szCs w:val="44"/>
          <w:highlight w:val="none"/>
        </w:rPr>
        <w:t>第</w:t>
      </w:r>
      <w:r>
        <w:rPr>
          <w:rStyle w:val="29"/>
          <w:rFonts w:hint="eastAsia" w:ascii="黑体" w:hAnsi="黑体" w:eastAsia="黑体"/>
          <w:b w:val="0"/>
          <w:color w:val="auto"/>
          <w:highlight w:val="none"/>
        </w:rPr>
        <w:t>五部分 附表</w:t>
      </w:r>
      <w:bookmarkEnd w:id="57"/>
      <w:bookmarkStart w:id="58" w:name="_Toc15396619"/>
    </w:p>
    <w:p>
      <w:pPr>
        <w:pStyle w:val="5"/>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 w:hAnsi="仿宋" w:eastAsia="仿宋"/>
          <w:b w:val="0"/>
          <w:color w:val="auto"/>
          <w:highlight w:val="none"/>
        </w:rPr>
      </w:pPr>
    </w:p>
    <w:p>
      <w:pPr>
        <w:pStyle w:val="5"/>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59" w:name="_Toc5019"/>
      <w:r>
        <w:rPr>
          <w:rFonts w:hint="eastAsia" w:ascii="仿宋" w:hAnsi="仿宋" w:eastAsia="仿宋"/>
          <w:b w:val="0"/>
          <w:color w:val="auto"/>
          <w:highlight w:val="none"/>
        </w:rPr>
        <w:t>一、收</w:t>
      </w:r>
      <w:r>
        <w:rPr>
          <w:rStyle w:val="30"/>
          <w:rFonts w:hint="eastAsia" w:ascii="仿宋" w:hAnsi="仿宋" w:eastAsia="仿宋"/>
          <w:b w:val="0"/>
          <w:bCs w:val="0"/>
          <w:color w:val="auto"/>
          <w:highlight w:val="none"/>
        </w:rPr>
        <w:t>入支出决算总表</w:t>
      </w:r>
      <w:bookmarkEnd w:id="58"/>
      <w:bookmarkEnd w:id="59"/>
    </w:p>
    <w:p>
      <w:pPr>
        <w:pStyle w:val="5"/>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60" w:name="_Toc19794"/>
      <w:bookmarkStart w:id="61" w:name="_Toc15396620"/>
      <w:r>
        <w:rPr>
          <w:rFonts w:hint="eastAsia" w:ascii="仿宋" w:hAnsi="仿宋" w:eastAsia="仿宋"/>
          <w:b w:val="0"/>
          <w:color w:val="auto"/>
          <w:highlight w:val="none"/>
        </w:rPr>
        <w:t>二、收</w:t>
      </w:r>
      <w:r>
        <w:rPr>
          <w:rStyle w:val="30"/>
          <w:rFonts w:hint="eastAsia" w:ascii="仿宋" w:hAnsi="仿宋" w:eastAsia="仿宋"/>
          <w:b w:val="0"/>
          <w:bCs w:val="0"/>
          <w:color w:val="auto"/>
          <w:highlight w:val="none"/>
        </w:rPr>
        <w:t>入决算表</w:t>
      </w:r>
      <w:bookmarkEnd w:id="60"/>
      <w:bookmarkEnd w:id="61"/>
    </w:p>
    <w:p>
      <w:pPr>
        <w:pStyle w:val="5"/>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62" w:name="_Toc15396621"/>
      <w:bookmarkStart w:id="63" w:name="_Toc1814"/>
      <w:r>
        <w:rPr>
          <w:rStyle w:val="30"/>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0"/>
          <w:rFonts w:hint="eastAsia" w:ascii="仿宋" w:hAnsi="仿宋" w:eastAsia="仿宋"/>
          <w:b w:val="0"/>
          <w:bCs w:val="0"/>
          <w:color w:val="auto"/>
          <w:highlight w:val="none"/>
        </w:rPr>
        <w:t>出决算表</w:t>
      </w:r>
      <w:bookmarkEnd w:id="62"/>
      <w:bookmarkEnd w:id="63"/>
    </w:p>
    <w:p>
      <w:pPr>
        <w:pStyle w:val="5"/>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b w:val="0"/>
          <w:color w:val="auto"/>
          <w:highlight w:val="none"/>
        </w:rPr>
      </w:pPr>
      <w:bookmarkStart w:id="64" w:name="_Toc11652"/>
      <w:bookmarkStart w:id="65" w:name="_Toc15396622"/>
      <w:r>
        <w:rPr>
          <w:rStyle w:val="30"/>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政拨款收入支出决算总表</w:t>
      </w:r>
      <w:bookmarkEnd w:id="64"/>
      <w:bookmarkEnd w:id="65"/>
    </w:p>
    <w:p>
      <w:pPr>
        <w:pStyle w:val="5"/>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Style w:val="30"/>
          <w:rFonts w:ascii="仿宋" w:hAnsi="仿宋" w:eastAsia="仿宋"/>
          <w:b w:val="0"/>
          <w:bCs w:val="0"/>
          <w:color w:val="auto"/>
          <w:highlight w:val="none"/>
        </w:rPr>
      </w:pPr>
      <w:bookmarkStart w:id="66" w:name="_Toc15396623"/>
      <w:bookmarkStart w:id="67" w:name="_Toc26044"/>
      <w:r>
        <w:rPr>
          <w:rStyle w:val="30"/>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0"/>
          <w:rFonts w:hint="eastAsia" w:ascii="仿宋" w:hAnsi="仿宋" w:eastAsia="仿宋"/>
          <w:b w:val="0"/>
          <w:bCs w:val="0"/>
          <w:color w:val="auto"/>
          <w:highlight w:val="none"/>
        </w:rPr>
        <w:t>政拨款支出决算明细表</w:t>
      </w:r>
      <w:bookmarkEnd w:id="66"/>
      <w:bookmarkEnd w:id="67"/>
      <w:bookmarkStart w:id="68" w:name="_Toc15396624"/>
    </w:p>
    <w:p>
      <w:pPr>
        <w:pStyle w:val="5"/>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69" w:name="_Toc1662"/>
      <w:r>
        <w:rPr>
          <w:rStyle w:val="30"/>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般公共预算财政拨款支出决算表</w:t>
      </w:r>
      <w:bookmarkEnd w:id="68"/>
      <w:bookmarkEnd w:id="69"/>
    </w:p>
    <w:p>
      <w:pPr>
        <w:pStyle w:val="5"/>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70" w:name="_Toc9260"/>
      <w:bookmarkStart w:id="71" w:name="_Toc15396625"/>
      <w:r>
        <w:rPr>
          <w:rStyle w:val="30"/>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般公共预算财政拨款支出决算明细表</w:t>
      </w:r>
      <w:bookmarkEnd w:id="70"/>
      <w:bookmarkEnd w:id="71"/>
    </w:p>
    <w:p>
      <w:pPr>
        <w:pStyle w:val="5"/>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72" w:name="_Toc30388"/>
      <w:bookmarkStart w:id="73" w:name="_Toc15396626"/>
      <w:r>
        <w:rPr>
          <w:rStyle w:val="30"/>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般公共预算财政拨款基本支出决算表</w:t>
      </w:r>
      <w:bookmarkEnd w:id="72"/>
      <w:bookmarkEnd w:id="73"/>
    </w:p>
    <w:p>
      <w:pPr>
        <w:pStyle w:val="5"/>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74" w:name="_Toc15396627"/>
      <w:bookmarkStart w:id="75" w:name="_Toc14865"/>
      <w:r>
        <w:rPr>
          <w:rStyle w:val="30"/>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般公共预算财政拨款项目支出决算表</w:t>
      </w:r>
      <w:bookmarkEnd w:id="74"/>
      <w:bookmarkEnd w:id="75"/>
    </w:p>
    <w:p>
      <w:pPr>
        <w:pStyle w:val="5"/>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76" w:name="_Toc17930"/>
      <w:bookmarkStart w:id="77" w:name="_Toc15396628"/>
      <w:r>
        <w:rPr>
          <w:rStyle w:val="30"/>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30"/>
          <w:rFonts w:hint="eastAsia" w:ascii="仿宋" w:hAnsi="仿宋" w:eastAsia="仿宋"/>
          <w:b w:val="0"/>
          <w:bCs w:val="0"/>
          <w:color w:val="auto"/>
          <w:highlight w:val="none"/>
        </w:rPr>
        <w:t>般公共预算财政拨款“三公”经费支出决算表</w:t>
      </w:r>
      <w:bookmarkEnd w:id="76"/>
      <w:bookmarkEnd w:id="77"/>
    </w:p>
    <w:p>
      <w:pPr>
        <w:pStyle w:val="5"/>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78" w:name="_Toc19228"/>
      <w:bookmarkStart w:id="79" w:name="_Toc15396629"/>
      <w:r>
        <w:rPr>
          <w:rStyle w:val="30"/>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30"/>
          <w:rFonts w:hint="eastAsia" w:ascii="仿宋" w:hAnsi="仿宋" w:eastAsia="仿宋"/>
          <w:b w:val="0"/>
          <w:bCs w:val="0"/>
          <w:color w:val="auto"/>
          <w:highlight w:val="none"/>
        </w:rPr>
        <w:t>府性基金预算财政拨款收入支出决算表</w:t>
      </w:r>
      <w:bookmarkEnd w:id="78"/>
      <w:bookmarkEnd w:id="79"/>
    </w:p>
    <w:p>
      <w:pPr>
        <w:pStyle w:val="5"/>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80" w:name="_Toc15396630"/>
      <w:bookmarkStart w:id="81" w:name="_Toc32608"/>
      <w:r>
        <w:rPr>
          <w:rStyle w:val="30"/>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30"/>
          <w:rFonts w:hint="eastAsia" w:ascii="仿宋" w:hAnsi="仿宋" w:eastAsia="仿宋"/>
          <w:b w:val="0"/>
          <w:bCs w:val="0"/>
          <w:color w:val="auto"/>
          <w:highlight w:val="none"/>
        </w:rPr>
        <w:t>府性基金预算财政拨款“三公”经费支出决算表</w:t>
      </w:r>
      <w:bookmarkEnd w:id="80"/>
      <w:bookmarkEnd w:id="81"/>
    </w:p>
    <w:p>
      <w:pPr>
        <w:pStyle w:val="5"/>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Style w:val="30"/>
          <w:rFonts w:hint="eastAsia" w:ascii="仿宋" w:hAnsi="仿宋" w:eastAsia="仿宋"/>
          <w:b w:val="0"/>
          <w:bCs w:val="0"/>
          <w:color w:val="auto"/>
          <w:highlight w:val="none"/>
        </w:rPr>
      </w:pPr>
      <w:bookmarkStart w:id="82" w:name="_Toc15396631"/>
      <w:bookmarkStart w:id="83" w:name="_Toc7384"/>
      <w:r>
        <w:rPr>
          <w:rStyle w:val="30"/>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30"/>
          <w:rFonts w:hint="eastAsia" w:ascii="仿宋" w:hAnsi="仿宋" w:eastAsia="仿宋"/>
          <w:b w:val="0"/>
          <w:bCs w:val="0"/>
          <w:color w:val="auto"/>
          <w:highlight w:val="none"/>
        </w:rPr>
        <w:t>有资本经营预算</w:t>
      </w:r>
      <w:r>
        <w:rPr>
          <w:rStyle w:val="30"/>
          <w:rFonts w:hint="eastAsia" w:ascii="仿宋" w:hAnsi="仿宋" w:eastAsia="仿宋"/>
          <w:b w:val="0"/>
          <w:bCs w:val="0"/>
          <w:color w:val="auto"/>
          <w:highlight w:val="none"/>
          <w:lang w:eastAsia="zh-CN"/>
        </w:rPr>
        <w:t>财政拨款收入</w:t>
      </w:r>
      <w:r>
        <w:rPr>
          <w:rStyle w:val="30"/>
          <w:rFonts w:hint="eastAsia" w:ascii="仿宋" w:hAnsi="仿宋" w:eastAsia="仿宋"/>
          <w:b w:val="0"/>
          <w:bCs w:val="0"/>
          <w:color w:val="auto"/>
          <w:highlight w:val="none"/>
        </w:rPr>
        <w:t>支出决算表</w:t>
      </w:r>
      <w:bookmarkEnd w:id="82"/>
      <w:bookmarkEnd w:id="83"/>
    </w:p>
    <w:p>
      <w:pPr>
        <w:pageBreakBefore w:val="0"/>
        <w:widowControl w:val="0"/>
        <w:kinsoku/>
        <w:wordWrap/>
        <w:overflowPunct/>
        <w:topLinePunct w:val="0"/>
        <w:autoSpaceDE/>
        <w:autoSpaceDN/>
        <w:bidi w:val="0"/>
        <w:adjustRightInd/>
        <w:snapToGrid w:val="0"/>
        <w:spacing w:line="620" w:lineRule="exact"/>
        <w:ind w:firstLine="640" w:firstLineChars="200"/>
        <w:textAlignment w:val="auto"/>
        <w:outlineLvl w:val="1"/>
        <w:rPr>
          <w:rStyle w:val="30"/>
          <w:rFonts w:hint="eastAsia" w:ascii="仿宋" w:hAnsi="仿宋" w:eastAsia="仿宋"/>
          <w:b w:val="0"/>
          <w:bCs w:val="0"/>
          <w:color w:val="auto"/>
          <w:highlight w:val="none"/>
          <w:lang w:eastAsia="zh-CN"/>
        </w:rPr>
      </w:pPr>
      <w:bookmarkStart w:id="84" w:name="_Toc18325"/>
      <w:r>
        <w:rPr>
          <w:rStyle w:val="30"/>
          <w:rFonts w:hint="eastAsia" w:ascii="仿宋" w:hAnsi="仿宋" w:eastAsia="仿宋"/>
          <w:b w:val="0"/>
          <w:bCs w:val="0"/>
          <w:color w:val="auto"/>
          <w:highlight w:val="none"/>
          <w:lang w:eastAsia="zh-CN"/>
        </w:rPr>
        <w:t>十四、国有资本经营预算财政拨款支出决算表</w:t>
      </w:r>
      <w:bookmarkEnd w:id="84"/>
    </w:p>
    <w:p>
      <w:pPr>
        <w:pStyle w:val="12"/>
        <w:rPr>
          <w:rStyle w:val="30"/>
          <w:rFonts w:hint="eastAsia" w:ascii="仿宋" w:hAnsi="仿宋" w:eastAsia="仿宋"/>
          <w:b w:val="0"/>
          <w:bCs w:val="0"/>
          <w:color w:val="auto"/>
          <w:highlight w:val="none"/>
          <w:lang w:eastAsia="zh-CN"/>
        </w:rPr>
      </w:pPr>
    </w:p>
    <w:p>
      <w:pPr>
        <w:pStyle w:val="12"/>
        <w:ind w:left="0" w:leftChars="0" w:firstLine="0" w:firstLineChars="0"/>
        <w:rPr>
          <w:rStyle w:val="30"/>
          <w:rFonts w:hint="eastAsia" w:ascii="仿宋" w:hAnsi="仿宋" w:eastAsia="仿宋"/>
          <w:b w:val="0"/>
          <w:bCs w:val="0"/>
          <w:color w:val="auto"/>
          <w:highlight w:val="none"/>
          <w:lang w:eastAsia="zh-CN"/>
        </w:rPr>
      </w:pPr>
    </w:p>
    <w:p>
      <w:pPr>
        <w:rPr>
          <w:rStyle w:val="30"/>
          <w:rFonts w:hint="eastAsia" w:ascii="仿宋" w:hAnsi="仿宋" w:eastAsia="仿宋"/>
          <w:b w:val="0"/>
          <w:bCs w:val="0"/>
          <w:color w:val="auto"/>
          <w:highlight w:val="none"/>
          <w:lang w:eastAsia="zh-CN"/>
        </w:rPr>
      </w:pPr>
    </w:p>
    <w:p>
      <w:pPr>
        <w:pStyle w:val="12"/>
        <w:rPr>
          <w:rFonts w:hint="eastAsia" w:ascii="仿宋_GB2312" w:hAnsi="仿宋_GB2312" w:eastAsia="仿宋_GB2312" w:cs="仿宋_GB2312"/>
          <w:b w:val="0"/>
          <w:bCs/>
          <w:kern w:val="2"/>
          <w:sz w:val="32"/>
          <w:szCs w:val="32"/>
          <w:lang w:val="en-US" w:eastAsia="zh-CN" w:bidi="ar-SA"/>
        </w:rPr>
      </w:pPr>
      <w:r>
        <w:rPr>
          <w:rStyle w:val="30"/>
          <w:rFonts w:hint="eastAsia" w:ascii="仿宋" w:hAnsi="仿宋" w:eastAsia="仿宋"/>
          <w:b w:val="0"/>
          <w:bCs w:val="0"/>
          <w:color w:val="auto"/>
          <w:highlight w:val="none"/>
          <w:lang w:val="en-US" w:eastAsia="zh-CN"/>
        </w:rPr>
        <w:t xml:space="preserve">                               </w:t>
      </w:r>
    </w:p>
    <w:sectPr>
      <w:headerReference r:id="rId5" w:type="default"/>
      <w:footerReference r:id="rId6" w:type="default"/>
      <w:pgSz w:w="11906" w:h="16838"/>
      <w:pgMar w:top="1701" w:right="1474" w:bottom="1701" w:left="1587" w:header="851" w:footer="1304"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2C2594-53BD-41F5-AE0E-72F3E8DBBE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3168C19C-82F0-4737-B1E9-81B46F696BA6}"/>
  </w:font>
  <w:font w:name="仿宋">
    <w:panose1 w:val="02010609060101010101"/>
    <w:charset w:val="86"/>
    <w:family w:val="auto"/>
    <w:pitch w:val="default"/>
    <w:sig w:usb0="800002BF" w:usb1="38CF7CFA" w:usb2="00000016" w:usb3="00000000" w:csb0="00040001" w:csb1="00000000"/>
    <w:embedRegular r:id="rId3" w:fontKey="{5DA090B5-5ED1-4B9D-B2AA-2A53E3BCF9F0}"/>
  </w:font>
  <w:font w:name="方正仿宋简体">
    <w:altName w:val="微软雅黑"/>
    <w:panose1 w:val="03000509000000000000"/>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embedRegular r:id="rId4" w:fontKey="{47085868-9BCB-46F4-BA06-A6B0B621B157}"/>
  </w:font>
  <w:font w:name="楷体">
    <w:panose1 w:val="02010609060101010101"/>
    <w:charset w:val="86"/>
    <w:family w:val="modern"/>
    <w:pitch w:val="default"/>
    <w:sig w:usb0="800002BF" w:usb1="38CF7CFA" w:usb2="00000016" w:usb3="00000000" w:csb0="00040001" w:csb1="00000000"/>
    <w:embedRegular r:id="rId5" w:fontKey="{7BD92A99-9EA2-452C-8408-CBB9FF6A7D88}"/>
  </w:font>
  <w:font w:name="方正黑体简体">
    <w:altName w:val="方正小标宋简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2B434"/>
    <w:multiLevelType w:val="singleLevel"/>
    <w:tmpl w:val="9852B434"/>
    <w:lvl w:ilvl="0" w:tentative="0">
      <w:start w:val="5"/>
      <w:numFmt w:val="chineseCounting"/>
      <w:suff w:val="space"/>
      <w:lvlText w:val="第%1部分"/>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0F9AD2D"/>
    <w:multiLevelType w:val="singleLevel"/>
    <w:tmpl w:val="E0F9AD2D"/>
    <w:lvl w:ilvl="0" w:tentative="0">
      <w:start w:val="6"/>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60AB3509"/>
    <w:multiLevelType w:val="singleLevel"/>
    <w:tmpl w:val="60AB3509"/>
    <w:lvl w:ilvl="0" w:tentative="0">
      <w:start w:val="5"/>
      <w:numFmt w:val="decimal"/>
      <w:lvlText w:val="%1."/>
      <w:lvlJc w:val="left"/>
      <w:pPr>
        <w:tabs>
          <w:tab w:val="left" w:pos="312"/>
        </w:tabs>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ZTBmYmZhMjYwMTI1OWZhNWY2NjQ0YTYyMDNmYTAifQ=="/>
  </w:docVars>
  <w:rsids>
    <w:rsidRoot w:val="00F1361C"/>
    <w:rsid w:val="000078F9"/>
    <w:rsid w:val="000222C6"/>
    <w:rsid w:val="0002280F"/>
    <w:rsid w:val="0002549F"/>
    <w:rsid w:val="0006487A"/>
    <w:rsid w:val="00065F8F"/>
    <w:rsid w:val="000768F2"/>
    <w:rsid w:val="0009184B"/>
    <w:rsid w:val="00094044"/>
    <w:rsid w:val="0009593C"/>
    <w:rsid w:val="000A54C6"/>
    <w:rsid w:val="000B047F"/>
    <w:rsid w:val="000B30C6"/>
    <w:rsid w:val="000B48C7"/>
    <w:rsid w:val="000B5923"/>
    <w:rsid w:val="000B5A48"/>
    <w:rsid w:val="000B6FF3"/>
    <w:rsid w:val="000C3467"/>
    <w:rsid w:val="000C3CA6"/>
    <w:rsid w:val="000D1267"/>
    <w:rsid w:val="000D1D50"/>
    <w:rsid w:val="000D5782"/>
    <w:rsid w:val="000E6613"/>
    <w:rsid w:val="000E7119"/>
    <w:rsid w:val="00102A6C"/>
    <w:rsid w:val="00114E9B"/>
    <w:rsid w:val="0014729F"/>
    <w:rsid w:val="00156427"/>
    <w:rsid w:val="00157BAB"/>
    <w:rsid w:val="001614F6"/>
    <w:rsid w:val="001652ED"/>
    <w:rsid w:val="001654D1"/>
    <w:rsid w:val="0017485A"/>
    <w:rsid w:val="0018106D"/>
    <w:rsid w:val="001877A7"/>
    <w:rsid w:val="00191536"/>
    <w:rsid w:val="00196687"/>
    <w:rsid w:val="001B73A2"/>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A00A3"/>
    <w:rsid w:val="002B2613"/>
    <w:rsid w:val="002C5302"/>
    <w:rsid w:val="002E1C32"/>
    <w:rsid w:val="002E6DF3"/>
    <w:rsid w:val="002F1818"/>
    <w:rsid w:val="002F567B"/>
    <w:rsid w:val="00303037"/>
    <w:rsid w:val="003216A9"/>
    <w:rsid w:val="00324C77"/>
    <w:rsid w:val="00336DDD"/>
    <w:rsid w:val="0037013F"/>
    <w:rsid w:val="00380C92"/>
    <w:rsid w:val="003937D9"/>
    <w:rsid w:val="003A484F"/>
    <w:rsid w:val="003B0BE0"/>
    <w:rsid w:val="003B0C1B"/>
    <w:rsid w:val="003B0ED3"/>
    <w:rsid w:val="003B688C"/>
    <w:rsid w:val="003C0291"/>
    <w:rsid w:val="003C39AE"/>
    <w:rsid w:val="003C7B60"/>
    <w:rsid w:val="003D1FB2"/>
    <w:rsid w:val="003D66DA"/>
    <w:rsid w:val="003E1310"/>
    <w:rsid w:val="003E6F55"/>
    <w:rsid w:val="00403C86"/>
    <w:rsid w:val="00406254"/>
    <w:rsid w:val="004223DE"/>
    <w:rsid w:val="00434489"/>
    <w:rsid w:val="00437085"/>
    <w:rsid w:val="00443880"/>
    <w:rsid w:val="004464F4"/>
    <w:rsid w:val="00450718"/>
    <w:rsid w:val="00471401"/>
    <w:rsid w:val="0047387D"/>
    <w:rsid w:val="00473F31"/>
    <w:rsid w:val="0048263A"/>
    <w:rsid w:val="00487E5D"/>
    <w:rsid w:val="004A55C6"/>
    <w:rsid w:val="004A711F"/>
    <w:rsid w:val="004B199D"/>
    <w:rsid w:val="004B4690"/>
    <w:rsid w:val="004D18BB"/>
    <w:rsid w:val="004D5782"/>
    <w:rsid w:val="004D66A9"/>
    <w:rsid w:val="004E0A2D"/>
    <w:rsid w:val="004E206B"/>
    <w:rsid w:val="004E6DF7"/>
    <w:rsid w:val="004F0FBD"/>
    <w:rsid w:val="00505A47"/>
    <w:rsid w:val="00512FDA"/>
    <w:rsid w:val="00520DA0"/>
    <w:rsid w:val="0052156B"/>
    <w:rsid w:val="00526119"/>
    <w:rsid w:val="00537A56"/>
    <w:rsid w:val="00545096"/>
    <w:rsid w:val="00566334"/>
    <w:rsid w:val="005664BB"/>
    <w:rsid w:val="0057481D"/>
    <w:rsid w:val="0058486E"/>
    <w:rsid w:val="005D1C8B"/>
    <w:rsid w:val="005D55F1"/>
    <w:rsid w:val="005D5CED"/>
    <w:rsid w:val="005F1A4C"/>
    <w:rsid w:val="005F4E6B"/>
    <w:rsid w:val="00605688"/>
    <w:rsid w:val="006070AF"/>
    <w:rsid w:val="00607E6C"/>
    <w:rsid w:val="006101B1"/>
    <w:rsid w:val="00614E44"/>
    <w:rsid w:val="00622830"/>
    <w:rsid w:val="00630AEF"/>
    <w:rsid w:val="006325F8"/>
    <w:rsid w:val="00634C9A"/>
    <w:rsid w:val="00637090"/>
    <w:rsid w:val="006440E4"/>
    <w:rsid w:val="00656EF8"/>
    <w:rsid w:val="0066343B"/>
    <w:rsid w:val="00664777"/>
    <w:rsid w:val="006748A4"/>
    <w:rsid w:val="00683E73"/>
    <w:rsid w:val="0068716E"/>
    <w:rsid w:val="006A3141"/>
    <w:rsid w:val="006A5E34"/>
    <w:rsid w:val="006B2422"/>
    <w:rsid w:val="006B2B9A"/>
    <w:rsid w:val="006B3EDE"/>
    <w:rsid w:val="006C1937"/>
    <w:rsid w:val="006C2699"/>
    <w:rsid w:val="006F020C"/>
    <w:rsid w:val="006F0FBD"/>
    <w:rsid w:val="0070105D"/>
    <w:rsid w:val="007127B7"/>
    <w:rsid w:val="007276BB"/>
    <w:rsid w:val="007416B6"/>
    <w:rsid w:val="00746F48"/>
    <w:rsid w:val="00751534"/>
    <w:rsid w:val="00753D1D"/>
    <w:rsid w:val="0075404D"/>
    <w:rsid w:val="0076182A"/>
    <w:rsid w:val="0076670D"/>
    <w:rsid w:val="00767B7E"/>
    <w:rsid w:val="007770C3"/>
    <w:rsid w:val="00784D24"/>
    <w:rsid w:val="00785FBA"/>
    <w:rsid w:val="00786E4A"/>
    <w:rsid w:val="007875EB"/>
    <w:rsid w:val="0079426B"/>
    <w:rsid w:val="007A66D4"/>
    <w:rsid w:val="007D312A"/>
    <w:rsid w:val="007D3F19"/>
    <w:rsid w:val="007E23B0"/>
    <w:rsid w:val="007E4CFC"/>
    <w:rsid w:val="007E6385"/>
    <w:rsid w:val="007F1991"/>
    <w:rsid w:val="007F2C2F"/>
    <w:rsid w:val="007F55FC"/>
    <w:rsid w:val="007F5665"/>
    <w:rsid w:val="00800112"/>
    <w:rsid w:val="008253BB"/>
    <w:rsid w:val="0083706E"/>
    <w:rsid w:val="008423A5"/>
    <w:rsid w:val="00850625"/>
    <w:rsid w:val="00853718"/>
    <w:rsid w:val="00855221"/>
    <w:rsid w:val="00860645"/>
    <w:rsid w:val="00871F71"/>
    <w:rsid w:val="008770E7"/>
    <w:rsid w:val="00883FD9"/>
    <w:rsid w:val="00885AF4"/>
    <w:rsid w:val="0089274D"/>
    <w:rsid w:val="008939CD"/>
    <w:rsid w:val="008B768C"/>
    <w:rsid w:val="008C4DB1"/>
    <w:rsid w:val="008C4EAF"/>
    <w:rsid w:val="008C5176"/>
    <w:rsid w:val="008C7FD0"/>
    <w:rsid w:val="008D105F"/>
    <w:rsid w:val="008D19EB"/>
    <w:rsid w:val="008E1DE7"/>
    <w:rsid w:val="008E707C"/>
    <w:rsid w:val="008F4458"/>
    <w:rsid w:val="008F71D2"/>
    <w:rsid w:val="00900B08"/>
    <w:rsid w:val="00902155"/>
    <w:rsid w:val="00902FA3"/>
    <w:rsid w:val="00920912"/>
    <w:rsid w:val="00923564"/>
    <w:rsid w:val="0092392E"/>
    <w:rsid w:val="009263AB"/>
    <w:rsid w:val="009315F9"/>
    <w:rsid w:val="00932E48"/>
    <w:rsid w:val="00943E15"/>
    <w:rsid w:val="00946945"/>
    <w:rsid w:val="00951248"/>
    <w:rsid w:val="0095152F"/>
    <w:rsid w:val="00954C49"/>
    <w:rsid w:val="00965E2F"/>
    <w:rsid w:val="0097099F"/>
    <w:rsid w:val="00971997"/>
    <w:rsid w:val="00971FFC"/>
    <w:rsid w:val="0098660A"/>
    <w:rsid w:val="009931C3"/>
    <w:rsid w:val="009B2C43"/>
    <w:rsid w:val="009B4605"/>
    <w:rsid w:val="009B4EAE"/>
    <w:rsid w:val="009B7573"/>
    <w:rsid w:val="009C22F4"/>
    <w:rsid w:val="009C2E98"/>
    <w:rsid w:val="009D3447"/>
    <w:rsid w:val="009D4711"/>
    <w:rsid w:val="009E529C"/>
    <w:rsid w:val="009F1185"/>
    <w:rsid w:val="009F18CD"/>
    <w:rsid w:val="009F2A13"/>
    <w:rsid w:val="00A0499B"/>
    <w:rsid w:val="00A04EB0"/>
    <w:rsid w:val="00A051D1"/>
    <w:rsid w:val="00A11484"/>
    <w:rsid w:val="00A13CC1"/>
    <w:rsid w:val="00A16847"/>
    <w:rsid w:val="00A237D8"/>
    <w:rsid w:val="00A268C4"/>
    <w:rsid w:val="00A307CD"/>
    <w:rsid w:val="00A40A00"/>
    <w:rsid w:val="00A4142F"/>
    <w:rsid w:val="00A53591"/>
    <w:rsid w:val="00A56DF2"/>
    <w:rsid w:val="00A67AB5"/>
    <w:rsid w:val="00A81234"/>
    <w:rsid w:val="00A85A7C"/>
    <w:rsid w:val="00A91760"/>
    <w:rsid w:val="00A93B00"/>
    <w:rsid w:val="00A93C21"/>
    <w:rsid w:val="00AA4B2D"/>
    <w:rsid w:val="00AB0CE4"/>
    <w:rsid w:val="00AB434E"/>
    <w:rsid w:val="00AC3C6A"/>
    <w:rsid w:val="00AD06F9"/>
    <w:rsid w:val="00AD482B"/>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44F83"/>
    <w:rsid w:val="00B51798"/>
    <w:rsid w:val="00B53C56"/>
    <w:rsid w:val="00B74D63"/>
    <w:rsid w:val="00B77EA6"/>
    <w:rsid w:val="00B81598"/>
    <w:rsid w:val="00B841F1"/>
    <w:rsid w:val="00B944D6"/>
    <w:rsid w:val="00BB4DF0"/>
    <w:rsid w:val="00BC289F"/>
    <w:rsid w:val="00BC5361"/>
    <w:rsid w:val="00BC5460"/>
    <w:rsid w:val="00BC6B50"/>
    <w:rsid w:val="00BD0E25"/>
    <w:rsid w:val="00BE7BC6"/>
    <w:rsid w:val="00BF5BD6"/>
    <w:rsid w:val="00C03E31"/>
    <w:rsid w:val="00C33E72"/>
    <w:rsid w:val="00C3445D"/>
    <w:rsid w:val="00C354B2"/>
    <w:rsid w:val="00C35554"/>
    <w:rsid w:val="00C42709"/>
    <w:rsid w:val="00C533CC"/>
    <w:rsid w:val="00C5751C"/>
    <w:rsid w:val="00C61BFC"/>
    <w:rsid w:val="00C62B85"/>
    <w:rsid w:val="00C65438"/>
    <w:rsid w:val="00C668C5"/>
    <w:rsid w:val="00C91CBB"/>
    <w:rsid w:val="00CC09B6"/>
    <w:rsid w:val="00CC592A"/>
    <w:rsid w:val="00CC666F"/>
    <w:rsid w:val="00CD1E3F"/>
    <w:rsid w:val="00CE052C"/>
    <w:rsid w:val="00CE44F6"/>
    <w:rsid w:val="00CE49DA"/>
    <w:rsid w:val="00CE7B61"/>
    <w:rsid w:val="00CF6E7D"/>
    <w:rsid w:val="00D00095"/>
    <w:rsid w:val="00D01278"/>
    <w:rsid w:val="00D15BEC"/>
    <w:rsid w:val="00D20620"/>
    <w:rsid w:val="00D26091"/>
    <w:rsid w:val="00D34E7C"/>
    <w:rsid w:val="00D35489"/>
    <w:rsid w:val="00D51276"/>
    <w:rsid w:val="00D65988"/>
    <w:rsid w:val="00D7035F"/>
    <w:rsid w:val="00D97C7A"/>
    <w:rsid w:val="00DA5916"/>
    <w:rsid w:val="00DA65AC"/>
    <w:rsid w:val="00DB1913"/>
    <w:rsid w:val="00DC410D"/>
    <w:rsid w:val="00DC68CA"/>
    <w:rsid w:val="00DC7CBA"/>
    <w:rsid w:val="00DD73B7"/>
    <w:rsid w:val="00DF007D"/>
    <w:rsid w:val="00DF28BC"/>
    <w:rsid w:val="00DF2E67"/>
    <w:rsid w:val="00DF34B9"/>
    <w:rsid w:val="00DF6E3F"/>
    <w:rsid w:val="00E01053"/>
    <w:rsid w:val="00E07ACF"/>
    <w:rsid w:val="00E114FD"/>
    <w:rsid w:val="00E20D1C"/>
    <w:rsid w:val="00E331A1"/>
    <w:rsid w:val="00E33202"/>
    <w:rsid w:val="00E336A9"/>
    <w:rsid w:val="00E50624"/>
    <w:rsid w:val="00E568DF"/>
    <w:rsid w:val="00E56E47"/>
    <w:rsid w:val="00E64269"/>
    <w:rsid w:val="00E82267"/>
    <w:rsid w:val="00E90486"/>
    <w:rsid w:val="00E9257C"/>
    <w:rsid w:val="00EA010F"/>
    <w:rsid w:val="00EA1DBA"/>
    <w:rsid w:val="00EB4C34"/>
    <w:rsid w:val="00ED1B63"/>
    <w:rsid w:val="00ED3AD6"/>
    <w:rsid w:val="00ED3C1F"/>
    <w:rsid w:val="00ED4085"/>
    <w:rsid w:val="00ED420E"/>
    <w:rsid w:val="00ED7024"/>
    <w:rsid w:val="00EE2F57"/>
    <w:rsid w:val="00EE34D4"/>
    <w:rsid w:val="00EF4C34"/>
    <w:rsid w:val="00EF77C6"/>
    <w:rsid w:val="00F03F4E"/>
    <w:rsid w:val="00F05438"/>
    <w:rsid w:val="00F1361C"/>
    <w:rsid w:val="00F160C7"/>
    <w:rsid w:val="00F222A1"/>
    <w:rsid w:val="00F32E9D"/>
    <w:rsid w:val="00F36D8F"/>
    <w:rsid w:val="00F417B1"/>
    <w:rsid w:val="00F602DF"/>
    <w:rsid w:val="00F81FD9"/>
    <w:rsid w:val="00F841AA"/>
    <w:rsid w:val="00FA23E8"/>
    <w:rsid w:val="00FB526A"/>
    <w:rsid w:val="00FC0D7B"/>
    <w:rsid w:val="00FC458D"/>
    <w:rsid w:val="00FD3CC1"/>
    <w:rsid w:val="00FD4A6A"/>
    <w:rsid w:val="00FE34BB"/>
    <w:rsid w:val="00FF1E02"/>
    <w:rsid w:val="00FF30B4"/>
    <w:rsid w:val="019D3511"/>
    <w:rsid w:val="03455F4E"/>
    <w:rsid w:val="0559332C"/>
    <w:rsid w:val="08804EB7"/>
    <w:rsid w:val="08C16076"/>
    <w:rsid w:val="09645F3F"/>
    <w:rsid w:val="09F50D92"/>
    <w:rsid w:val="0BFF015A"/>
    <w:rsid w:val="0C905841"/>
    <w:rsid w:val="0CEC743A"/>
    <w:rsid w:val="106E68B1"/>
    <w:rsid w:val="10C055FF"/>
    <w:rsid w:val="11087278"/>
    <w:rsid w:val="117B6FDE"/>
    <w:rsid w:val="121F17C4"/>
    <w:rsid w:val="12A430F0"/>
    <w:rsid w:val="14C479D3"/>
    <w:rsid w:val="15CF32DD"/>
    <w:rsid w:val="16BB723D"/>
    <w:rsid w:val="198A7F04"/>
    <w:rsid w:val="19E72AA0"/>
    <w:rsid w:val="1B0F40F3"/>
    <w:rsid w:val="1BF15163"/>
    <w:rsid w:val="1C2D7127"/>
    <w:rsid w:val="1E147BE1"/>
    <w:rsid w:val="240264EC"/>
    <w:rsid w:val="240371BF"/>
    <w:rsid w:val="24172172"/>
    <w:rsid w:val="242A3923"/>
    <w:rsid w:val="2586342C"/>
    <w:rsid w:val="264011E7"/>
    <w:rsid w:val="268339C8"/>
    <w:rsid w:val="268765B2"/>
    <w:rsid w:val="27E86D24"/>
    <w:rsid w:val="28081242"/>
    <w:rsid w:val="29FD04D3"/>
    <w:rsid w:val="2ABC4498"/>
    <w:rsid w:val="2AC959FF"/>
    <w:rsid w:val="2B5A016A"/>
    <w:rsid w:val="2BC37247"/>
    <w:rsid w:val="2CAE1BBE"/>
    <w:rsid w:val="2D096B8D"/>
    <w:rsid w:val="2D122982"/>
    <w:rsid w:val="2E7E00D7"/>
    <w:rsid w:val="2F01221F"/>
    <w:rsid w:val="2F067942"/>
    <w:rsid w:val="2F116FAB"/>
    <w:rsid w:val="2FF77A64"/>
    <w:rsid w:val="30981CA1"/>
    <w:rsid w:val="319F7F4E"/>
    <w:rsid w:val="321433EC"/>
    <w:rsid w:val="32C20171"/>
    <w:rsid w:val="33AA6B0E"/>
    <w:rsid w:val="3498273A"/>
    <w:rsid w:val="357D10C4"/>
    <w:rsid w:val="36226AEA"/>
    <w:rsid w:val="36391D81"/>
    <w:rsid w:val="36894F51"/>
    <w:rsid w:val="37957531"/>
    <w:rsid w:val="37D20E57"/>
    <w:rsid w:val="39233B37"/>
    <w:rsid w:val="3950297B"/>
    <w:rsid w:val="3A9E2B15"/>
    <w:rsid w:val="3CD35ED9"/>
    <w:rsid w:val="3D2C1BF9"/>
    <w:rsid w:val="3DE74F30"/>
    <w:rsid w:val="3E823B07"/>
    <w:rsid w:val="3EFB0C93"/>
    <w:rsid w:val="409501C5"/>
    <w:rsid w:val="409C0254"/>
    <w:rsid w:val="40F9630B"/>
    <w:rsid w:val="41133B81"/>
    <w:rsid w:val="4255690C"/>
    <w:rsid w:val="44C839F7"/>
    <w:rsid w:val="45246A6A"/>
    <w:rsid w:val="4629258A"/>
    <w:rsid w:val="46697445"/>
    <w:rsid w:val="477270E0"/>
    <w:rsid w:val="48384D73"/>
    <w:rsid w:val="49BE748D"/>
    <w:rsid w:val="4B3E4FE8"/>
    <w:rsid w:val="4E67675A"/>
    <w:rsid w:val="4E804BD9"/>
    <w:rsid w:val="4E8F4A1F"/>
    <w:rsid w:val="4F90367A"/>
    <w:rsid w:val="4FEB1D97"/>
    <w:rsid w:val="504802F7"/>
    <w:rsid w:val="50B213CE"/>
    <w:rsid w:val="5201622F"/>
    <w:rsid w:val="5358625C"/>
    <w:rsid w:val="53C52CC6"/>
    <w:rsid w:val="53EF0470"/>
    <w:rsid w:val="54395C85"/>
    <w:rsid w:val="5552475C"/>
    <w:rsid w:val="565E2B72"/>
    <w:rsid w:val="568D37D5"/>
    <w:rsid w:val="59E051FD"/>
    <w:rsid w:val="5A3612C1"/>
    <w:rsid w:val="5B9273B3"/>
    <w:rsid w:val="5C577A6D"/>
    <w:rsid w:val="5D4C1A82"/>
    <w:rsid w:val="5E355645"/>
    <w:rsid w:val="5F642FA3"/>
    <w:rsid w:val="64CB16F7"/>
    <w:rsid w:val="64F40025"/>
    <w:rsid w:val="6885769C"/>
    <w:rsid w:val="68B843B2"/>
    <w:rsid w:val="68CB7157"/>
    <w:rsid w:val="68E672CA"/>
    <w:rsid w:val="6A7E2254"/>
    <w:rsid w:val="6C4C56DA"/>
    <w:rsid w:val="6CEF4E76"/>
    <w:rsid w:val="6F40256E"/>
    <w:rsid w:val="726970FB"/>
    <w:rsid w:val="733A10B1"/>
    <w:rsid w:val="742835D1"/>
    <w:rsid w:val="7432298B"/>
    <w:rsid w:val="74DE43B7"/>
    <w:rsid w:val="75475F33"/>
    <w:rsid w:val="758331B5"/>
    <w:rsid w:val="759376D2"/>
    <w:rsid w:val="765D1473"/>
    <w:rsid w:val="76D31F1A"/>
    <w:rsid w:val="77FC72FD"/>
    <w:rsid w:val="7A384C69"/>
    <w:rsid w:val="7A8D418E"/>
    <w:rsid w:val="7AF679AD"/>
    <w:rsid w:val="7BE722FB"/>
    <w:rsid w:val="7C941009"/>
    <w:rsid w:val="7E3354C9"/>
    <w:rsid w:val="7E6E2F6B"/>
    <w:rsid w:val="7F0409C6"/>
    <w:rsid w:val="FBEF55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next w:val="1"/>
    <w:qFormat/>
    <w:uiPriority w:val="99"/>
    <w:rPr>
      <w:rFonts w:ascii="宋体" w:hAnsi="Courier New" w:eastAsia="仿宋"/>
      <w:kern w:val="0"/>
      <w:sz w:val="32"/>
      <w:szCs w:val="21"/>
    </w:rPr>
  </w:style>
  <w:style w:type="paragraph" w:styleId="8">
    <w:name w:val="Balloon Text"/>
    <w:basedOn w:val="1"/>
    <w:link w:val="32"/>
    <w:semiHidden/>
    <w:unhideWhenUsed/>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able of figures"/>
    <w:basedOn w:val="1"/>
    <w:next w:val="1"/>
    <w:qFormat/>
    <w:uiPriority w:val="0"/>
    <w:pPr>
      <w:ind w:leftChars="200" w:hanging="200" w:hangingChars="200"/>
    </w:pPr>
    <w:rPr>
      <w:rFonts w:ascii="Calibri" w:hAnsi="Calibri" w:eastAsia="宋体" w:cs="Times New Roman"/>
    </w:rPr>
  </w:style>
  <w:style w:type="paragraph" w:styleId="13">
    <w:name w:val="toc 2"/>
    <w:basedOn w:val="1"/>
    <w:next w:val="1"/>
    <w:unhideWhenUsed/>
    <w:qFormat/>
    <w:uiPriority w:val="39"/>
    <w:pPr>
      <w:tabs>
        <w:tab w:val="right" w:leader="dot" w:pos="8296"/>
      </w:tabs>
      <w:ind w:left="420" w:leftChars="200"/>
    </w:pPr>
    <w:rPr>
      <w:rFonts w:ascii="仿宋" w:hAnsi="仿宋" w:eastAsia="仿宋"/>
      <w:sz w:val="32"/>
      <w:szCs w:val="32"/>
    </w:rPr>
  </w:style>
  <w:style w:type="paragraph" w:styleId="14">
    <w:name w:val="Body Text 2"/>
    <w:basedOn w:val="1"/>
    <w:unhideWhenUsed/>
    <w:qFormat/>
    <w:uiPriority w:val="0"/>
    <w:pPr>
      <w:spacing w:before="120" w:after="120"/>
      <w:ind w:firstLine="640"/>
      <w:jc w:val="center"/>
    </w:pPr>
    <w:rPr>
      <w:rFonts w:ascii="宋体" w:hAnsi="宋体" w:eastAsia="方正仿宋简体"/>
      <w:szCs w:val="20"/>
    </w:rPr>
  </w:style>
  <w:style w:type="paragraph" w:styleId="15">
    <w:name w:val="Normal (Web)"/>
    <w:basedOn w:val="1"/>
    <w:semiHidden/>
    <w:unhideWhenUsed/>
    <w:qFormat/>
    <w:uiPriority w:val="99"/>
    <w:pPr>
      <w:jc w:val="left"/>
    </w:pPr>
    <w:rPr>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customStyle="1" w:styleId="21">
    <w:name w:val="Header Char"/>
    <w:basedOn w:val="18"/>
    <w:semiHidden/>
    <w:qFormat/>
    <w:uiPriority w:val="99"/>
    <w:rPr>
      <w:rFonts w:ascii="Times New Roman" w:hAnsi="Times New Roman"/>
      <w:sz w:val="18"/>
      <w:szCs w:val="18"/>
    </w:rPr>
  </w:style>
  <w:style w:type="character" w:customStyle="1" w:styleId="22">
    <w:name w:val="页眉 Char"/>
    <w:link w:val="10"/>
    <w:semiHidden/>
    <w:qFormat/>
    <w:locked/>
    <w:uiPriority w:val="99"/>
    <w:rPr>
      <w:sz w:val="18"/>
    </w:rPr>
  </w:style>
  <w:style w:type="character" w:customStyle="1" w:styleId="23">
    <w:name w:val="Footer Char"/>
    <w:basedOn w:val="18"/>
    <w:semiHidden/>
    <w:qFormat/>
    <w:uiPriority w:val="99"/>
    <w:rPr>
      <w:rFonts w:ascii="Times New Roman" w:hAnsi="Times New Roman"/>
      <w:sz w:val="18"/>
      <w:szCs w:val="18"/>
    </w:rPr>
  </w:style>
  <w:style w:type="character" w:customStyle="1" w:styleId="24">
    <w:name w:val="页脚 Char"/>
    <w:link w:val="9"/>
    <w:qFormat/>
    <w:locked/>
    <w:uiPriority w:val="99"/>
    <w:rPr>
      <w:sz w:val="18"/>
    </w:rPr>
  </w:style>
  <w:style w:type="character" w:customStyle="1" w:styleId="25">
    <w:name w:val="Body Text Char"/>
    <w:basedOn w:val="18"/>
    <w:semiHidden/>
    <w:qFormat/>
    <w:uiPriority w:val="99"/>
    <w:rPr>
      <w:rFonts w:ascii="Times New Roman" w:hAnsi="Times New Roman"/>
      <w:szCs w:val="24"/>
    </w:rPr>
  </w:style>
  <w:style w:type="character" w:customStyle="1" w:styleId="26">
    <w:name w:val="正文文本 Char"/>
    <w:link w:val="2"/>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8"/>
    <w:link w:val="3"/>
    <w:qFormat/>
    <w:uiPriority w:val="9"/>
    <w:rPr>
      <w:rFonts w:ascii="Times New Roman" w:hAnsi="Times New Roman"/>
      <w:b/>
      <w:bCs/>
      <w:kern w:val="44"/>
      <w:sz w:val="44"/>
      <w:szCs w:val="44"/>
    </w:rPr>
  </w:style>
  <w:style w:type="character" w:customStyle="1" w:styleId="30">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8"/>
    <w:link w:val="8"/>
    <w:semiHidden/>
    <w:qFormat/>
    <w:uiPriority w:val="99"/>
    <w:rPr>
      <w:rFonts w:ascii="Times New Roman" w:hAnsi="Times New Roman"/>
      <w:kern w:val="2"/>
      <w:sz w:val="18"/>
      <w:szCs w:val="18"/>
    </w:rPr>
  </w:style>
  <w:style w:type="character" w:customStyle="1" w:styleId="33">
    <w:name w:val="标题 3 Char"/>
    <w:basedOn w:val="18"/>
    <w:link w:val="5"/>
    <w:qFormat/>
    <w:uiPriority w:val="9"/>
    <w:rPr>
      <w:rFonts w:ascii="Times New Roman" w:hAnsi="Times New Roman"/>
      <w:b/>
      <w:bCs/>
      <w:kern w:val="2"/>
      <w:sz w:val="32"/>
      <w:szCs w:val="32"/>
    </w:rPr>
  </w:style>
  <w:style w:type="paragraph" w:customStyle="1" w:styleId="34">
    <w:name w:val="四号正文"/>
    <w:basedOn w:val="1"/>
    <w:qFormat/>
    <w:uiPriority w:val="0"/>
    <w:pPr>
      <w:spacing w:line="360" w:lineRule="auto"/>
    </w:pPr>
    <w:rPr>
      <w:rFonts w:ascii="??" w:hAnsi="??" w:eastAsia="Times New Roman"/>
      <w:color w:val="000000"/>
      <w:kern w:val="0"/>
      <w:sz w:val="28"/>
      <w:szCs w:val="21"/>
    </w:rPr>
  </w:style>
  <w:style w:type="paragraph" w:customStyle="1" w:styleId="35">
    <w:name w:val="WPSOffice手动目录 1"/>
    <w:qFormat/>
    <w:uiPriority w:val="0"/>
    <w:pPr>
      <w:ind w:leftChars="0"/>
    </w:pPr>
    <w:rPr>
      <w:rFonts w:asciiTheme="minorHAnsi" w:hAnsiTheme="minorHAnsi" w:eastAsiaTheme="minorEastAsia" w:cstheme="minorBidi"/>
      <w:sz w:val="20"/>
      <w:szCs w:val="20"/>
    </w:rPr>
  </w:style>
  <w:style w:type="character" w:customStyle="1" w:styleId="36">
    <w:name w:val="标题 2 字符"/>
    <w:basedOn w:val="18"/>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Admin\Desktop\&#26032;&#24314;%20XLSX%20&#24037;&#20316;&#34920;%20(4).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'[新建 XLSX 工作表 (4).xlsx]Sheet1'!$A$2</c:f>
              <c:strCache>
                <c:ptCount val="1"/>
                <c:pt idx="0">
                  <c:v>收入</c:v>
                </c:pt>
              </c:strCache>
            </c:strRef>
          </c:tx>
          <c:spPr>
            <a:solidFill>
              <a:schemeClr val="accent1">
                <a:alpha val="85000"/>
              </a:schemeClr>
            </a:solidFill>
            <a:ln w="9525" cap="flat" cmpd="sng" algn="ctr">
              <a:solidFill>
                <a:schemeClr val="lt1">
                  <a:alpha val="50000"/>
                </a:schemeClr>
              </a:solidFill>
              <a:round/>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'[新建 XLSX 工作表 (4).xlsx]Sheet1'!$B$1:$C$1</c:f>
              <c:strCache>
                <c:ptCount val="2"/>
                <c:pt idx="0">
                  <c:v>2021年</c:v>
                </c:pt>
                <c:pt idx="1">
                  <c:v>2022年</c:v>
                </c:pt>
              </c:strCache>
            </c:strRef>
          </c:cat>
          <c:val>
            <c:numRef>
              <c:f>'[新建 XLSX 工作表 (4).xlsx]Sheet1'!$B$2:$C$2</c:f>
              <c:numCache>
                <c:formatCode>General</c:formatCode>
                <c:ptCount val="2"/>
                <c:pt idx="0">
                  <c:v>638.08</c:v>
                </c:pt>
                <c:pt idx="1">
                  <c:v>413.47</c:v>
                </c:pt>
              </c:numCache>
            </c:numRef>
          </c:val>
        </c:ser>
        <c:ser>
          <c:idx val="1"/>
          <c:order val="1"/>
          <c:tx>
            <c:strRef>
              <c:f>'[新建 XLSX 工作表 (4).xlsx]Sheet1'!$A$3</c:f>
              <c:strCache>
                <c:ptCount val="1"/>
                <c:pt idx="0">
                  <c:v>支出</c:v>
                </c:pt>
              </c:strCache>
            </c:strRef>
          </c:tx>
          <c:spPr>
            <a:solidFill>
              <a:schemeClr val="accent2">
                <a:alpha val="85000"/>
              </a:schemeClr>
            </a:solidFill>
            <a:ln w="9525" cap="flat" cmpd="sng" algn="ctr">
              <a:solidFill>
                <a:schemeClr val="lt1">
                  <a:alpha val="50000"/>
                </a:schemeClr>
              </a:solidFill>
              <a:round/>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'[新建 XLSX 工作表 (4).xlsx]Sheet1'!$B$1:$C$1</c:f>
              <c:strCache>
                <c:ptCount val="2"/>
                <c:pt idx="0">
                  <c:v>2021年</c:v>
                </c:pt>
                <c:pt idx="1">
                  <c:v>2022年</c:v>
                </c:pt>
              </c:strCache>
            </c:strRef>
          </c:cat>
          <c:val>
            <c:numRef>
              <c:f>'[新建 XLSX 工作表 (4).xlsx]Sheet1'!$B$3:$C$3</c:f>
              <c:numCache>
                <c:formatCode>General</c:formatCode>
                <c:ptCount val="2"/>
                <c:pt idx="0">
                  <c:v>638.08</c:v>
                </c:pt>
                <c:pt idx="1">
                  <c:v>413.47</c:v>
                </c:pt>
              </c:numCache>
            </c:numRef>
          </c:val>
        </c:ser>
        <c:dLbls>
          <c:showLegendKey val="0"/>
          <c:showVal val="1"/>
          <c:showCatName val="0"/>
          <c:showSerName val="0"/>
          <c:showPercent val="0"/>
          <c:showBubbleSize val="0"/>
        </c:dLbls>
        <c:gapWidth val="65"/>
        <c:axId val="136506553"/>
        <c:axId val="645610871"/>
      </c:barChart>
      <c:catAx>
        <c:axId val="136506553"/>
        <c:scaling>
          <c:orientation val="minMax"/>
        </c:scaling>
        <c:delete val="0"/>
        <c:axPos val="b"/>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0" i="0" u="none" strike="noStrike" kern="1200" cap="all" baseline="0">
                <a:solidFill>
                  <a:schemeClr val="tx1">
                    <a:lumMod val="50000"/>
                    <a:lumOff val="50000"/>
                  </a:schemeClr>
                </a:solidFill>
                <a:latin typeface="+mn-lt"/>
                <a:ea typeface="+mn-ea"/>
                <a:cs typeface="+mn-cs"/>
              </a:defRPr>
            </a:pPr>
          </a:p>
        </c:txPr>
        <c:crossAx val="645610871"/>
        <c:crosses val="autoZero"/>
        <c:auto val="1"/>
        <c:lblAlgn val="ctr"/>
        <c:lblOffset val="100"/>
        <c:noMultiLvlLbl val="0"/>
      </c:catAx>
      <c:valAx>
        <c:axId val="645610871"/>
        <c:scaling>
          <c:orientation val="minMax"/>
        </c:scaling>
        <c:delete val="1"/>
        <c:axPos val="l"/>
        <c:majorGridlines>
          <c:spPr>
            <a:ln w="9525" cap="flat" cmpd="sng" algn="ctr">
              <a:noFill/>
              <a:round/>
            </a:ln>
            <a:effectLst/>
          </c:spPr>
        </c:majorGridlines>
        <c:numFmt formatCode="General" sourceLinked="1"/>
        <c:majorTickMark val="none"/>
        <c:minorTickMark val="none"/>
        <c:tickLblPos val="nextTo"/>
        <c:txPr>
          <a:bodyPr rot="-60000000" spcFirstLastPara="0" vertOverflow="ellipsis" vert="horz" wrap="square" anchor="ctr" anchorCtr="1" forceAA="0"/>
          <a:lstStyle/>
          <a:p>
            <a:pPr>
              <a:defRPr lang="zh-CN" sz="900" b="0" i="0" u="none" strike="noStrike" kern="1200" baseline="0">
                <a:solidFill>
                  <a:schemeClr val="dk1">
                    <a:lumMod val="75000"/>
                    <a:lumOff val="25000"/>
                  </a:schemeClr>
                </a:solidFill>
                <a:latin typeface="+mn-lt"/>
                <a:ea typeface="+mn-ea"/>
                <a:cs typeface="+mn-cs"/>
              </a:defRPr>
            </a:pPr>
          </a:p>
        </c:txPr>
        <c:crossAx val="136506553"/>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收入额（万元）</c:v>
                </c:pt>
              </c:strCache>
            </c:strRef>
          </c:tx>
          <c:explosion val="0"/>
          <c:dPt>
            <c:idx val="0"/>
            <c:bubble3D val="0"/>
          </c:dPt>
          <c:dPt>
            <c:idx val="1"/>
            <c:bubble3D val="0"/>
          </c:dPt>
          <c:dPt>
            <c:idx val="2"/>
            <c:bubble3D val="0"/>
          </c:dPt>
          <c:dLbls>
            <c:dLbl>
              <c:idx val="0"/>
              <c:layout>
                <c:manualLayout>
                  <c:x val="-0.0441459184332534"/>
                  <c:y val="-0.1331269349845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329280038526366"/>
                      <c:h val="0.160990712074303"/>
                    </c:manualLayout>
                  </c15:layout>
                </c:ext>
              </c:extLst>
            </c:dLbl>
            <c:dLbl>
              <c:idx val="1"/>
              <c:delete val="1"/>
            </c:dLbl>
            <c:dLbl>
              <c:idx val="2"/>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一般公共预算财政拨款收入</c:v>
                </c:pt>
                <c:pt idx="1">
                  <c:v>事业收入</c:v>
                </c:pt>
                <c:pt idx="2">
                  <c:v>其它收入</c:v>
                </c:pt>
              </c:strCache>
            </c:strRef>
          </c:cat>
          <c:val>
            <c:numRef>
              <c:f>Sheet1!$B$2:$B$4</c:f>
              <c:numCache>
                <c:formatCode>General</c:formatCode>
                <c:ptCount val="3"/>
                <c:pt idx="0">
                  <c:v>359.07</c:v>
                </c:pt>
                <c:pt idx="1">
                  <c:v>7.2</c:v>
                </c:pt>
                <c:pt idx="2">
                  <c:v>0.02</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Lbls>
            <c:dLbl>
              <c:idx val="0"/>
              <c:layout>
                <c:manualLayout>
                  <c:x val="-0.0850533087503594"/>
                  <c:y val="0.187865008357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23913896462115"/>
                  <c:y val="-0.220667769897919"/>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336.44</c:v>
                </c:pt>
                <c:pt idx="1">
                  <c:v>77.03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2"/>
          <c:order val="2"/>
          <c:tx>
            <c:strRef>
              <c:f>Sheet1!$B$1</c:f>
              <c:strCache>
                <c:ptCount val="1"/>
                <c:pt idx="0">
                  <c:v>财政拨款收、支决算总计（万元）</c:v>
                </c:pt>
              </c:strCache>
            </c:strRef>
          </c:tx>
          <c:spPr>
            <a:solidFill>
              <a:schemeClr val="accent2">
                <a:lumMod val="40000"/>
                <a:lumOff val="60000"/>
              </a:schemeClr>
            </a:solidFill>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General</c:formatCode>
                <c:ptCount val="2"/>
                <c:pt idx="0">
                  <c:v>638.08</c:v>
                </c:pt>
                <c:pt idx="1">
                  <c:v>406.25</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plotArea>
    <c:legend>
      <c:legendPos val="r"/>
      <c:layout>
        <c:manualLayout>
          <c:xMode val="edge"/>
          <c:yMode val="edge"/>
          <c:x val="0.579595742136108"/>
          <c:y val="0.0576781778104335"/>
          <c:w val="0.391101542877646"/>
          <c:h val="0.22446730345334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2"/>
          <c:order val="2"/>
          <c:tx>
            <c:strRef>
              <c:f>Sheet1!$B$1</c:f>
              <c:strCache>
                <c:ptCount val="1"/>
                <c:pt idx="0">
                  <c:v>一般公共预算财政拨款支出（万元）</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General</c:formatCode>
                <c:ptCount val="2"/>
                <c:pt idx="0">
                  <c:v>578.08</c:v>
                </c:pt>
                <c:pt idx="1">
                  <c:v>406.25</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plotArea>
    <c:legend>
      <c:legendPos val="r"/>
      <c:layout>
        <c:manualLayout>
          <c:xMode val="edge"/>
          <c:yMode val="edge"/>
          <c:x val="0.559622054778137"/>
          <c:y val="0.0165319617927994"/>
          <c:w val="0.41430450903002"/>
          <c:h val="0.22446730345334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Lbls>
            <c:dLbl>
              <c:idx val="0"/>
              <c:layout>
                <c:manualLayout>
                  <c:x val="-0.0499194428081952"/>
                  <c:y val="-0.1455516860121"/>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0859300095877277"/>
                      <c:h val="0.14596554850408"/>
                    </c:manualLayout>
                  </c15:layout>
                </c:ext>
              </c:extLst>
            </c:dLbl>
            <c:dLbl>
              <c:idx val="1"/>
              <c:layout>
                <c:manualLayout>
                  <c:x val="0.0823429357410213"/>
                  <c:y val="0.14580658895452"/>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210930009587728"/>
                      <c:h val="0.147174372922333"/>
                    </c:manualLayout>
                  </c15:layout>
                </c:ext>
              </c:extLst>
            </c:dLbl>
            <c:dLbl>
              <c:idx val="2"/>
              <c:layout>
                <c:manualLayout>
                  <c:x val="0.0228889025221131"/>
                  <c:y val="0.033530888282673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卫生健康支出,0</a:t>
                    </a:r>
                    <a:r>
                      <a:rPr lang="en-US" altLang="zh-CN"/>
                      <a:t>.6</a:t>
                    </a:r>
                    <a:r>
                      <a:t>0%</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350910834132311"/>
                      <c:h val="0.119975823511635"/>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教育支出</c:v>
                </c:pt>
                <c:pt idx="1">
                  <c:v>社会保障和就业支出</c:v>
                </c:pt>
                <c:pt idx="2">
                  <c:v>卫生健康支出</c:v>
                </c:pt>
              </c:strCache>
            </c:strRef>
          </c:cat>
          <c:val>
            <c:numRef>
              <c:f>Sheet1!$B$2:$B$4</c:f>
              <c:numCache>
                <c:formatCode>General</c:formatCode>
                <c:ptCount val="3"/>
                <c:pt idx="0">
                  <c:v>357.12</c:v>
                </c:pt>
                <c:pt idx="1">
                  <c:v>44.63</c:v>
                </c:pt>
                <c:pt idx="2">
                  <c:v>11.73</c:v>
                </c:pt>
              </c:numCache>
            </c:numRef>
          </c:val>
        </c:ser>
        <c:dLbls>
          <c:showLegendKey val="0"/>
          <c:showVal val="0"/>
          <c:showCatName val="0"/>
          <c:showSerName val="0"/>
          <c:showPercent val="0"/>
          <c:showBubbleSize val="0"/>
          <c:showLeaderLines val="1"/>
        </c:dLbls>
        <c:firstSliceAng val="0"/>
      </c:pieChart>
    </c:plotArea>
    <c:legend>
      <c:legendPos val="t"/>
      <c:layout>
        <c:manualLayout>
          <c:xMode val="edge"/>
          <c:yMode val="edge"/>
          <c:x val="0.176773729626079"/>
          <c:y val="0.18676337262012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自定义 1">
    <a:dk1>
      <a:srgbClr val="000000"/>
    </a:dk1>
    <a:lt1>
      <a:srgbClr val="FFFFFF"/>
    </a:lt1>
    <a:dk2>
      <a:srgbClr val="0C0E1F"/>
    </a:dk2>
    <a:lt2>
      <a:srgbClr val="FEFFFF"/>
    </a:lt2>
    <a:accent1>
      <a:srgbClr val="54C9FA"/>
    </a:accent1>
    <a:accent2>
      <a:srgbClr val="FF731F"/>
    </a:accent2>
    <a:accent3>
      <a:srgbClr val="FFC619"/>
    </a:accent3>
    <a:accent4>
      <a:srgbClr val="16CC8A"/>
    </a:accent4>
    <a:accent5>
      <a:srgbClr val="6C92FD"/>
    </a:accent5>
    <a:accent6>
      <a:srgbClr val="3774FF"/>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38</Pages>
  <Words>12743</Words>
  <Characters>13329</Characters>
  <Lines>61</Lines>
  <Paragraphs>17</Paragraphs>
  <TotalTime>0</TotalTime>
  <ScaleCrop>false</ScaleCrop>
  <LinksUpToDate>false</LinksUpToDate>
  <CharactersWithSpaces>13466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2021-09-18T16:32:00Z</dcterms:created>
  <dc:creator>张彬茜</dc:creator>
  <cp:lastModifiedBy>凝望</cp:lastModifiedBy>
  <cp:lastPrinted>2023-10-11T08:01:00Z</cp:lastPrinted>
  <dcterms:modified xsi:type="dcterms:W3CDTF">2023-10-15T05:56:58Z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F0B026DB09D2470D99CFACD849809131_13</vt:lpwstr>
  </property>
</Properties>
</file>