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bookmarkEnd w:id="0"/>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96475"/>
      <w:bookmarkStart w:id="3" w:name="_Toc15377193"/>
      <w:bookmarkStart w:id="4" w:name="_Toc15396597"/>
      <w:bookmarkStart w:id="5" w:name="_Toc15378441"/>
      <w:bookmarkStart w:id="6" w:name="_Toc147736284"/>
      <w:r>
        <w:rPr>
          <w:rFonts w:ascii="黑体" w:hAnsi="黑体" w:eastAsia="黑体"/>
          <w:color w:val="000000"/>
          <w:sz w:val="72"/>
          <w:szCs w:val="72"/>
        </w:rPr>
        <w:t>202</w:t>
      </w:r>
      <w:r>
        <w:rPr>
          <w:rFonts w:hint="eastAsia" w:ascii="黑体" w:hAnsi="黑体" w:eastAsia="黑体"/>
          <w:color w:val="000000"/>
          <w:sz w:val="72"/>
          <w:szCs w:val="72"/>
        </w:rPr>
        <w:t>2</w:t>
      </w:r>
      <w:r>
        <w:rPr>
          <w:rFonts w:hint="eastAsia" w:ascii="方正小标宋简体" w:hAnsi="宋体" w:eastAsia="方正小标宋简体"/>
          <w:color w:val="000000"/>
          <w:sz w:val="72"/>
          <w:szCs w:val="72"/>
        </w:rPr>
        <w:t>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color w:val="000000"/>
          <w:sz w:val="72"/>
          <w:szCs w:val="72"/>
        </w:rPr>
      </w:pPr>
      <w:bookmarkStart w:id="7" w:name="_Toc147736285"/>
      <w:bookmarkStart w:id="8" w:name="_Toc15396598"/>
      <w:bookmarkStart w:id="9" w:name="_Toc15377194"/>
      <w:bookmarkStart w:id="10" w:name="_Toc15377426"/>
      <w:bookmarkStart w:id="11" w:name="_Toc15378442"/>
      <w:bookmarkStart w:id="12" w:name="_Toc15396476"/>
      <w:r>
        <w:rPr>
          <w:rFonts w:hint="eastAsia" w:ascii="方正小标宋简体" w:hAnsi="宋体" w:eastAsia="方正小标宋简体"/>
          <w:color w:val="000000"/>
          <w:sz w:val="72"/>
          <w:szCs w:val="72"/>
        </w:rPr>
        <w:t>广元市</w:t>
      </w:r>
      <w:bookmarkStart w:id="13" w:name="_Toc15306268"/>
      <w:r>
        <w:rPr>
          <w:rFonts w:hint="eastAsia" w:ascii="方正小标宋简体" w:hAnsi="宋体" w:eastAsia="方正小标宋简体"/>
          <w:color w:val="000000"/>
          <w:sz w:val="72"/>
          <w:szCs w:val="72"/>
        </w:rPr>
        <w:t>实验小学校</w:t>
      </w:r>
      <w:bookmarkEnd w:id="7"/>
    </w:p>
    <w:bookmarkEnd w:id="8"/>
    <w:bookmarkEnd w:id="9"/>
    <w:bookmarkEnd w:id="10"/>
    <w:bookmarkEnd w:id="11"/>
    <w:bookmarkEnd w:id="12"/>
    <w:bookmarkEnd w:id="13"/>
    <w:p>
      <w:pPr>
        <w:adjustRightInd w:val="0"/>
        <w:snapToGrid w:val="0"/>
        <w:spacing w:line="360" w:lineRule="auto"/>
        <w:jc w:val="center"/>
        <w:outlineLvl w:val="0"/>
        <w:rPr>
          <w:rFonts w:ascii="方正小标宋简体" w:hAnsi="宋体" w:eastAsia="方正小标宋简体"/>
          <w:color w:val="000000"/>
          <w:sz w:val="72"/>
          <w:szCs w:val="72"/>
        </w:rPr>
      </w:pPr>
      <w:bookmarkStart w:id="14" w:name="_Toc147736286"/>
      <w:r>
        <w:rPr>
          <w:rFonts w:hint="eastAsia" w:ascii="方正小标宋简体" w:hAnsi="宋体" w:eastAsia="方正小标宋简体"/>
          <w:color w:val="000000"/>
          <w:sz w:val="72"/>
          <w:szCs w:val="72"/>
        </w:rPr>
        <w:t>单位决算</w:t>
      </w:r>
      <w:bookmarkEnd w:id="14"/>
    </w:p>
    <w:p>
      <w:pPr>
        <w:widowControl/>
        <w:jc w:val="center"/>
        <w:rPr>
          <w:sz w:val="24"/>
        </w:rPr>
      </w:pPr>
      <w:r>
        <w:rPr>
          <w:rFonts w:ascii="方正小标宋简体" w:hAnsi="宋体" w:eastAsia="方正小标宋简体"/>
          <w:sz w:val="36"/>
          <w:szCs w:val="36"/>
        </w:rPr>
        <w:br w:type="page"/>
      </w:r>
      <w:bookmarkStart w:id="15" w:name="_Toc15396599"/>
      <w:bookmarkStart w:id="16" w:name="_Toc15377196"/>
    </w:p>
    <w:sdt>
      <w:sdtPr>
        <w:rPr>
          <w:rFonts w:ascii="Times New Roman" w:hAnsi="Times New Roman" w:eastAsia="宋体" w:cs="Times New Roman"/>
          <w:b w:val="0"/>
          <w:bCs w:val="0"/>
          <w:color w:val="auto"/>
          <w:kern w:val="2"/>
          <w:sz w:val="21"/>
          <w:szCs w:val="24"/>
          <w:lang w:val="zh-CN"/>
        </w:rPr>
        <w:id w:val="5742804"/>
        <w:docPartObj>
          <w:docPartGallery w:val="Table of Contents"/>
          <w:docPartUnique/>
        </w:docPartObj>
      </w:sdtPr>
      <w:sdtEndPr>
        <w:rPr>
          <w:rFonts w:ascii="Times New Roman" w:hAnsi="Times New Roman" w:eastAsia="宋体" w:cs="Times New Roman"/>
          <w:b w:val="0"/>
          <w:bCs w:val="0"/>
          <w:color w:val="auto"/>
          <w:kern w:val="2"/>
          <w:sz w:val="21"/>
          <w:szCs w:val="24"/>
          <w:lang w:val="en-US"/>
        </w:rPr>
      </w:sdtEndPr>
      <w:sdtContent>
        <w:p>
          <w:pPr>
            <w:pStyle w:val="30"/>
            <w:jc w:val="center"/>
            <w:rPr>
              <w:color w:val="000000" w:themeColor="text1"/>
              <w:sz w:val="44"/>
              <w:szCs w:val="44"/>
              <w:lang w:val="zh-CN"/>
            </w:rPr>
          </w:pPr>
          <w:r>
            <w:rPr>
              <w:color w:val="000000" w:themeColor="text1"/>
              <w:sz w:val="44"/>
              <w:szCs w:val="44"/>
              <w:lang w:val="zh-CN"/>
            </w:rPr>
            <w:t>目录</w:t>
          </w:r>
        </w:p>
        <w:p>
          <w:pPr>
            <w:pStyle w:val="10"/>
          </w:pPr>
          <w:r>
            <w:rPr>
              <w:rFonts w:hint="eastAsia"/>
            </w:rPr>
            <w:t>公开时间：2023年10月15日</w:t>
          </w:r>
          <w:r>
            <w:rPr>
              <w:rFonts w:asciiTheme="majorHAnsi" w:hAnsiTheme="majorHAnsi" w:eastAsiaTheme="majorEastAsia" w:cstheme="majorBidi"/>
              <w:b/>
              <w:bCs/>
              <w:color w:val="366091" w:themeColor="accent1" w:themeShade="BF"/>
              <w:kern w:val="0"/>
            </w:rPr>
            <w:fldChar w:fldCharType="begin"/>
          </w:r>
          <w:r>
            <w:instrText xml:space="preserve"> TOC \o "1-3" \h \z \u </w:instrText>
          </w:r>
          <w:r>
            <w:rPr>
              <w:rFonts w:asciiTheme="majorHAnsi" w:hAnsiTheme="majorHAnsi" w:eastAsiaTheme="majorEastAsia" w:cstheme="majorBidi"/>
              <w:b/>
              <w:bCs/>
              <w:color w:val="366091" w:themeColor="accent1" w:themeShade="BF"/>
              <w:kern w:val="0"/>
            </w:rPr>
            <w:fldChar w:fldCharType="separate"/>
          </w:r>
        </w:p>
        <w:p>
          <w:pPr>
            <w:pStyle w:val="10"/>
            <w:rPr>
              <w:rFonts w:asciiTheme="minorHAnsi" w:hAnsiTheme="minorHAnsi" w:eastAsiaTheme="minorEastAsia" w:cstheme="minorBidi"/>
              <w:sz w:val="21"/>
              <w:szCs w:val="22"/>
            </w:rPr>
          </w:pPr>
          <w:r>
            <w:fldChar w:fldCharType="begin"/>
          </w:r>
          <w:r>
            <w:instrText xml:space="preserve"> HYPERLINK \l "_Toc147736287" </w:instrText>
          </w:r>
          <w:r>
            <w:fldChar w:fldCharType="separate"/>
          </w:r>
          <w:r>
            <w:rPr>
              <w:rStyle w:val="15"/>
              <w:rFonts w:hint="eastAsia" w:ascii="黑体" w:hAnsi="黑体" w:eastAsia="黑体"/>
            </w:rPr>
            <w:t>第一部分</w:t>
          </w:r>
          <w:r>
            <w:rPr>
              <w:rStyle w:val="15"/>
              <w:rFonts w:ascii="黑体" w:hAnsi="黑体" w:eastAsia="黑体"/>
            </w:rPr>
            <w:t xml:space="preserve"> </w:t>
          </w:r>
          <w:r>
            <w:rPr>
              <w:rStyle w:val="15"/>
              <w:rFonts w:hint="eastAsia" w:ascii="黑体" w:hAnsi="黑体" w:eastAsia="黑体"/>
            </w:rPr>
            <w:t>单位概况</w:t>
          </w:r>
          <w:r>
            <w:tab/>
          </w:r>
          <w:r>
            <w:fldChar w:fldCharType="begin"/>
          </w:r>
          <w:r>
            <w:instrText xml:space="preserve"> PAGEREF _Toc147736287 \h </w:instrText>
          </w:r>
          <w:r>
            <w:fldChar w:fldCharType="separate"/>
          </w:r>
          <w:r>
            <w:t>1</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"_Toc147736288" </w:instrText>
          </w:r>
          <w:r>
            <w:fldChar w:fldCharType="separate"/>
          </w:r>
          <w:r>
            <w:rPr>
              <w:rStyle w:val="15"/>
              <w:rFonts w:hint="eastAsia" w:ascii="黑体" w:hAnsi="黑体" w:eastAsia="黑体"/>
            </w:rPr>
            <w:t>一、 主要职责</w:t>
          </w:r>
          <w:r>
            <w:tab/>
          </w:r>
          <w:r>
            <w:fldChar w:fldCharType="begin"/>
          </w:r>
          <w:r>
            <w:instrText xml:space="preserve"> PAGEREF _Toc147736288 \h </w:instrText>
          </w:r>
          <w:r>
            <w:fldChar w:fldCharType="separate"/>
          </w:r>
          <w:r>
            <w:t>1</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"_Toc147736289" </w:instrText>
          </w:r>
          <w:r>
            <w:fldChar w:fldCharType="separate"/>
          </w:r>
          <w:r>
            <w:rPr>
              <w:rStyle w:val="15"/>
              <w:rFonts w:hint="eastAsia" w:ascii="黑体" w:hAnsi="黑体" w:eastAsia="黑体"/>
            </w:rPr>
            <w:t>二、机构设置</w:t>
          </w:r>
          <w:r>
            <w:tab/>
          </w:r>
          <w:r>
            <w:fldChar w:fldCharType="begin"/>
          </w:r>
          <w:r>
            <w:instrText xml:space="preserve"> PAGEREF _Toc147736289 \h </w:instrText>
          </w:r>
          <w:r>
            <w:fldChar w:fldCharType="separate"/>
          </w:r>
          <w:r>
            <w:t>1</w:t>
          </w:r>
          <w:r>
            <w:fldChar w:fldCharType="end"/>
          </w:r>
          <w:r>
            <w:fldChar w:fldCharType="end"/>
          </w:r>
        </w:p>
        <w:p>
          <w:pPr>
            <w:pStyle w:val="10"/>
            <w:rPr>
              <w:rFonts w:asciiTheme="minorHAnsi" w:hAnsiTheme="minorHAnsi" w:eastAsiaTheme="minorEastAsia" w:cstheme="minorBidi"/>
              <w:sz w:val="21"/>
              <w:szCs w:val="22"/>
            </w:rPr>
          </w:pPr>
          <w:r>
            <w:fldChar w:fldCharType="begin"/>
          </w:r>
          <w:r>
            <w:instrText xml:space="preserve"> HYPERLINK \l "_Toc147736290" </w:instrText>
          </w:r>
          <w:r>
            <w:fldChar w:fldCharType="separate"/>
          </w:r>
          <w:r>
            <w:rPr>
              <w:rStyle w:val="15"/>
              <w:rFonts w:hint="eastAsia" w:ascii="黑体" w:hAnsi="黑体" w:eastAsia="黑体"/>
            </w:rPr>
            <w:t>第二部分</w:t>
          </w:r>
          <w:r>
            <w:rPr>
              <w:rStyle w:val="15"/>
              <w:rFonts w:ascii="黑体" w:hAnsi="黑体" w:eastAsia="黑体"/>
            </w:rPr>
            <w:t xml:space="preserve"> 2022</w:t>
          </w:r>
          <w:r>
            <w:rPr>
              <w:rStyle w:val="15"/>
              <w:rFonts w:hint="eastAsia" w:ascii="黑体" w:hAnsi="黑体" w:eastAsia="黑体"/>
            </w:rPr>
            <w:t>年度单位决算情况说明</w:t>
          </w:r>
          <w:r>
            <w:tab/>
          </w:r>
          <w:r>
            <w:fldChar w:fldCharType="begin"/>
          </w:r>
          <w:r>
            <w:instrText xml:space="preserve"> PAGEREF _Toc147736290 \h </w:instrText>
          </w:r>
          <w:r>
            <w:fldChar w:fldCharType="separate"/>
          </w:r>
          <w:r>
            <w:t>2</w:t>
          </w:r>
          <w:r>
            <w:fldChar w:fldCharType="end"/>
          </w:r>
          <w:r>
            <w:fldChar w:fldCharType="end"/>
          </w:r>
        </w:p>
        <w:p>
          <w:pPr>
            <w:pStyle w:val="11"/>
            <w:tabs>
              <w:tab w:val="left" w:pos="1260"/>
            </w:tabs>
            <w:rPr>
              <w:rFonts w:asciiTheme="minorHAnsi" w:hAnsiTheme="minorHAnsi" w:eastAsiaTheme="minorEastAsia" w:cstheme="minorBidi"/>
              <w:szCs w:val="22"/>
            </w:rPr>
          </w:pPr>
          <w:r>
            <w:fldChar w:fldCharType="begin"/>
          </w:r>
          <w:r>
            <w:instrText xml:space="preserve"> HYPERLINK \l "_Toc147736291" </w:instrText>
          </w:r>
          <w:r>
            <w:fldChar w:fldCharType="separate"/>
          </w:r>
          <w:r>
            <w:rPr>
              <w:rStyle w:val="15"/>
              <w:rFonts w:hint="eastAsia" w:ascii="黑体" w:hAnsi="黑体" w:eastAsia="黑体" w:cstheme="majorBidi"/>
              <w:bCs/>
            </w:rPr>
            <w:t>一、</w:t>
          </w:r>
          <w:r>
            <w:rPr>
              <w:rFonts w:asciiTheme="minorHAnsi" w:hAnsiTheme="minorHAnsi" w:eastAsiaTheme="minorEastAsia" w:cstheme="minorBidi"/>
              <w:szCs w:val="22"/>
            </w:rPr>
            <w:tab/>
          </w:r>
          <w:r>
            <w:rPr>
              <w:rStyle w:val="15"/>
              <w:rFonts w:hint="eastAsia" w:ascii="黑体" w:hAnsi="黑体" w:eastAsia="黑体"/>
            </w:rPr>
            <w:t>收</w:t>
          </w:r>
          <w:r>
            <w:rPr>
              <w:rStyle w:val="15"/>
              <w:rFonts w:hint="eastAsia" w:ascii="黑体" w:hAnsi="黑体" w:eastAsia="黑体" w:cstheme="majorBidi"/>
              <w:bCs/>
            </w:rPr>
            <w:t>入支出决算总体情况说明</w:t>
          </w:r>
          <w:r>
            <w:tab/>
          </w:r>
          <w:r>
            <w:fldChar w:fldCharType="begin"/>
          </w:r>
          <w:r>
            <w:instrText xml:space="preserve"> PAGEREF _Toc147736291 \h </w:instrText>
          </w:r>
          <w:r>
            <w:fldChar w:fldCharType="separate"/>
          </w:r>
          <w:r>
            <w:t>2</w:t>
          </w:r>
          <w:r>
            <w:fldChar w:fldCharType="end"/>
          </w:r>
          <w:r>
            <w:fldChar w:fldCharType="end"/>
          </w:r>
        </w:p>
        <w:p>
          <w:pPr>
            <w:pStyle w:val="11"/>
            <w:tabs>
              <w:tab w:val="left" w:pos="1260"/>
            </w:tabs>
            <w:rPr>
              <w:rFonts w:asciiTheme="minorHAnsi" w:hAnsiTheme="minorHAnsi" w:eastAsiaTheme="minorEastAsia" w:cstheme="minorBidi"/>
              <w:szCs w:val="22"/>
            </w:rPr>
          </w:pPr>
          <w:r>
            <w:fldChar w:fldCharType="begin"/>
          </w:r>
          <w:r>
            <w:instrText xml:space="preserve"> HYPERLINK \l "_Toc147736292" </w:instrText>
          </w:r>
          <w:r>
            <w:fldChar w:fldCharType="separate"/>
          </w:r>
          <w:r>
            <w:rPr>
              <w:rStyle w:val="15"/>
              <w:rFonts w:hint="eastAsia" w:ascii="黑体" w:hAnsi="黑体" w:eastAsia="黑体" w:cstheme="majorBidi"/>
              <w:bCs/>
            </w:rPr>
            <w:t>二、</w:t>
          </w:r>
          <w:r>
            <w:rPr>
              <w:rFonts w:asciiTheme="minorHAnsi" w:hAnsiTheme="minorHAnsi" w:eastAsiaTheme="minorEastAsia" w:cstheme="minorBidi"/>
              <w:szCs w:val="22"/>
            </w:rPr>
            <w:tab/>
          </w:r>
          <w:r>
            <w:rPr>
              <w:rStyle w:val="15"/>
              <w:rFonts w:hint="eastAsia" w:ascii="黑体" w:hAnsi="黑体" w:eastAsia="黑体"/>
            </w:rPr>
            <w:t>收</w:t>
          </w:r>
          <w:r>
            <w:rPr>
              <w:rStyle w:val="15"/>
              <w:rFonts w:hint="eastAsia" w:ascii="黑体" w:hAnsi="黑体" w:eastAsia="黑体" w:cstheme="majorBidi"/>
              <w:bCs/>
            </w:rPr>
            <w:t>入决算情况说明</w:t>
          </w:r>
          <w:r>
            <w:tab/>
          </w:r>
          <w:r>
            <w:fldChar w:fldCharType="begin"/>
          </w:r>
          <w:r>
            <w:instrText xml:space="preserve"> PAGEREF _Toc147736292 \h </w:instrText>
          </w:r>
          <w:r>
            <w:fldChar w:fldCharType="separate"/>
          </w:r>
          <w:r>
            <w:t>2</w:t>
          </w:r>
          <w:r>
            <w:fldChar w:fldCharType="end"/>
          </w:r>
          <w:r>
            <w:fldChar w:fldCharType="end"/>
          </w:r>
        </w:p>
        <w:p>
          <w:pPr>
            <w:pStyle w:val="11"/>
            <w:tabs>
              <w:tab w:val="left" w:pos="1260"/>
            </w:tabs>
            <w:rPr>
              <w:rFonts w:asciiTheme="minorHAnsi" w:hAnsiTheme="minorHAnsi" w:eastAsiaTheme="minorEastAsia" w:cstheme="minorBidi"/>
              <w:szCs w:val="22"/>
            </w:rPr>
          </w:pPr>
          <w:r>
            <w:fldChar w:fldCharType="begin"/>
          </w:r>
          <w:r>
            <w:instrText xml:space="preserve"> HYPERLINK \l "_Toc147736294" </w:instrText>
          </w:r>
          <w:r>
            <w:fldChar w:fldCharType="separate"/>
          </w:r>
          <w:r>
            <w:rPr>
              <w:rStyle w:val="15"/>
              <w:rFonts w:hint="eastAsia" w:ascii="黑体" w:hAnsi="黑体" w:eastAsia="黑体" w:cstheme="majorBidi"/>
              <w:bCs/>
            </w:rPr>
            <w:t>三、</w:t>
          </w:r>
          <w:r>
            <w:rPr>
              <w:rFonts w:asciiTheme="minorHAnsi" w:hAnsiTheme="minorHAnsi" w:eastAsiaTheme="minorEastAsia" w:cstheme="minorBidi"/>
              <w:szCs w:val="22"/>
            </w:rPr>
            <w:tab/>
          </w:r>
          <w:r>
            <w:rPr>
              <w:rStyle w:val="15"/>
              <w:rFonts w:hint="eastAsia" w:ascii="黑体" w:hAnsi="黑体" w:eastAsia="黑体"/>
            </w:rPr>
            <w:t>支</w:t>
          </w:r>
          <w:r>
            <w:rPr>
              <w:rStyle w:val="15"/>
              <w:rFonts w:hint="eastAsia" w:ascii="黑体" w:hAnsi="黑体" w:eastAsia="黑体" w:cstheme="majorBidi"/>
              <w:bCs/>
            </w:rPr>
            <w:t>出决算情况说明</w:t>
          </w:r>
          <w:r>
            <w:tab/>
          </w:r>
          <w:r>
            <w:fldChar w:fldCharType="begin"/>
          </w:r>
          <w:r>
            <w:instrText xml:space="preserve"> PAGEREF _Toc147736294 \h </w:instrText>
          </w:r>
          <w:r>
            <w:fldChar w:fldCharType="separate"/>
          </w:r>
          <w:r>
            <w:t>3</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"_Toc147736296" </w:instrText>
          </w:r>
          <w:r>
            <w:fldChar w:fldCharType="separate"/>
          </w:r>
          <w:r>
            <w:rPr>
              <w:rStyle w:val="15"/>
              <w:rFonts w:hint="eastAsia" w:ascii="黑体" w:hAnsi="黑体" w:eastAsia="黑体"/>
            </w:rPr>
            <w:t>四、财</w:t>
          </w:r>
          <w:r>
            <w:rPr>
              <w:rStyle w:val="15"/>
              <w:rFonts w:hint="eastAsia" w:ascii="黑体" w:hAnsi="黑体" w:eastAsia="黑体" w:cstheme="majorBidi"/>
              <w:bCs/>
            </w:rPr>
            <w:t>政拨款收入支出决算总体情况说明</w:t>
          </w:r>
          <w:r>
            <w:tab/>
          </w:r>
          <w:r>
            <w:fldChar w:fldCharType="begin"/>
          </w:r>
          <w:r>
            <w:instrText xml:space="preserve"> PAGEREF _Toc147736296 \h </w:instrText>
          </w:r>
          <w:r>
            <w:fldChar w:fldCharType="separate"/>
          </w:r>
          <w:r>
            <w:t>4</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"_Toc147736297" </w:instrText>
          </w:r>
          <w:r>
            <w:fldChar w:fldCharType="separate"/>
          </w:r>
          <w:r>
            <w:rPr>
              <w:rStyle w:val="15"/>
              <w:rFonts w:hint="eastAsia" w:ascii="黑体" w:hAnsi="黑体" w:eastAsia="黑体"/>
            </w:rPr>
            <w:t>五、</w:t>
          </w:r>
          <w:r>
            <w:rPr>
              <w:rStyle w:val="15"/>
              <w:rFonts w:hint="eastAsia" w:ascii="黑体" w:hAnsi="黑体" w:eastAsia="黑体"/>
              <w:b/>
            </w:rPr>
            <w:t>一</w:t>
          </w:r>
          <w:r>
            <w:rPr>
              <w:rStyle w:val="15"/>
              <w:rFonts w:hint="eastAsia" w:ascii="黑体" w:hAnsi="黑体" w:eastAsia="黑体" w:cstheme="majorBidi"/>
              <w:bCs/>
            </w:rPr>
            <w:t>般公共预算财政拨款支出决算情况说明</w:t>
          </w:r>
          <w:r>
            <w:tab/>
          </w:r>
          <w:r>
            <w:fldChar w:fldCharType="begin"/>
          </w:r>
          <w:r>
            <w:instrText xml:space="preserve"> PAGEREF _Toc147736297 \h </w:instrText>
          </w:r>
          <w:r>
            <w:fldChar w:fldCharType="separate"/>
          </w:r>
          <w:r>
            <w:t>5</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"_Toc147736302" </w:instrText>
          </w:r>
          <w:r>
            <w:fldChar w:fldCharType="separate"/>
          </w:r>
          <w:r>
            <w:rPr>
              <w:rStyle w:val="15"/>
              <w:rFonts w:hint="eastAsia" w:ascii="黑体" w:eastAsia="黑体"/>
            </w:rPr>
            <w:t>六</w:t>
          </w:r>
          <w:r>
            <w:rPr>
              <w:rStyle w:val="15"/>
              <w:rFonts w:hint="eastAsia" w:ascii="黑体" w:eastAsia="黑体"/>
              <w:b/>
            </w:rPr>
            <w:t>、</w:t>
          </w:r>
          <w:r>
            <w:rPr>
              <w:rStyle w:val="15"/>
              <w:rFonts w:hint="eastAsia" w:ascii="黑体" w:hAnsi="黑体" w:eastAsia="黑体"/>
              <w:b/>
            </w:rPr>
            <w:t>一</w:t>
          </w:r>
          <w:r>
            <w:rPr>
              <w:rStyle w:val="15"/>
              <w:rFonts w:hint="eastAsia" w:ascii="黑体" w:hAnsi="黑体" w:eastAsia="黑体" w:cstheme="majorBidi"/>
              <w:bCs/>
            </w:rPr>
            <w:t>般公共预算财政拨款基本支出决算情况说明</w:t>
          </w:r>
          <w:r>
            <w:tab/>
          </w:r>
          <w:r>
            <w:fldChar w:fldCharType="begin"/>
          </w:r>
          <w:r>
            <w:instrText xml:space="preserve"> PAGEREF _Toc147736302 \h </w:instrText>
          </w:r>
          <w:r>
            <w:fldChar w:fldCharType="separate"/>
          </w:r>
          <w:r>
            <w:t>7</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"_Toc147736303" </w:instrText>
          </w:r>
          <w:r>
            <w:fldChar w:fldCharType="separate"/>
          </w:r>
          <w:r>
            <w:rPr>
              <w:rStyle w:val="15"/>
              <w:rFonts w:hint="eastAsia" w:ascii="黑体" w:eastAsia="黑体"/>
            </w:rPr>
            <w:t>七、</w:t>
          </w:r>
          <w:r>
            <w:rPr>
              <w:rStyle w:val="15"/>
              <w:rFonts w:hint="eastAsia" w:ascii="黑体" w:hAnsi="黑体" w:eastAsia="黑体" w:cstheme="majorBidi"/>
              <w:bCs/>
            </w:rPr>
            <w:t>财政拨款</w:t>
          </w:r>
          <w:r>
            <w:rPr>
              <w:rStyle w:val="15"/>
              <w:rFonts w:ascii="黑体" w:hAnsi="黑体" w:eastAsia="黑体" w:cstheme="majorBidi"/>
              <w:b/>
              <w:bCs/>
            </w:rPr>
            <w:t>“</w:t>
          </w:r>
          <w:r>
            <w:rPr>
              <w:rStyle w:val="15"/>
              <w:rFonts w:hint="eastAsia" w:ascii="黑体" w:hAnsi="黑体" w:eastAsia="黑体" w:cstheme="majorBidi"/>
              <w:bCs/>
            </w:rPr>
            <w:t>三公”经费支出决算情况说明</w:t>
          </w:r>
          <w:r>
            <w:tab/>
          </w:r>
          <w:r>
            <w:fldChar w:fldCharType="begin"/>
          </w:r>
          <w:r>
            <w:instrText xml:space="preserve"> PAGEREF _Toc147736303 \h </w:instrText>
          </w:r>
          <w:r>
            <w:fldChar w:fldCharType="separate"/>
          </w:r>
          <w:r>
            <w:t>8</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"_Toc147736306" </w:instrText>
          </w:r>
          <w:r>
            <w:fldChar w:fldCharType="separate"/>
          </w:r>
          <w:r>
            <w:rPr>
              <w:rStyle w:val="15"/>
              <w:rFonts w:hint="eastAsia" w:ascii="黑体" w:eastAsia="黑体"/>
            </w:rPr>
            <w:t>八、</w:t>
          </w:r>
          <w:r>
            <w:rPr>
              <w:rStyle w:val="15"/>
              <w:rFonts w:hint="eastAsia" w:ascii="黑体" w:hAnsi="黑体" w:eastAsia="黑体" w:cstheme="majorBidi"/>
              <w:bCs/>
            </w:rPr>
            <w:t>政府性基金预算支出决算情况说明</w:t>
          </w:r>
          <w:r>
            <w:tab/>
          </w:r>
          <w:r>
            <w:fldChar w:fldCharType="begin"/>
          </w:r>
          <w:r>
            <w:instrText xml:space="preserve"> PAGEREF _Toc147736306 \h </w:instrText>
          </w:r>
          <w:r>
            <w:fldChar w:fldCharType="separate"/>
          </w:r>
          <w:r>
            <w:t>10</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"_Toc147736307" </w:instrText>
          </w:r>
          <w:r>
            <w:fldChar w:fldCharType="separate"/>
          </w:r>
          <w:r>
            <w:rPr>
              <w:rStyle w:val="15"/>
              <w:rFonts w:hint="eastAsia" w:ascii="黑体" w:hAnsi="黑体" w:eastAsia="黑体" w:cstheme="majorBidi"/>
              <w:bCs/>
            </w:rPr>
            <w:t>九、 国有资本经营预算支出决算情况说明</w:t>
          </w:r>
          <w:r>
            <w:tab/>
          </w:r>
          <w:r>
            <w:fldChar w:fldCharType="begin"/>
          </w:r>
          <w:r>
            <w:instrText xml:space="preserve"> PAGEREF _Toc147736307 \h </w:instrText>
          </w:r>
          <w:r>
            <w:fldChar w:fldCharType="separate"/>
          </w:r>
          <w:r>
            <w:t>10</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"_Toc147736308" </w:instrText>
          </w:r>
          <w:r>
            <w:fldChar w:fldCharType="separate"/>
          </w:r>
          <w:r>
            <w:rPr>
              <w:rStyle w:val="15"/>
              <w:rFonts w:hint="eastAsia" w:ascii="黑体" w:hAnsi="黑体" w:eastAsia="黑体" w:cstheme="majorBidi"/>
              <w:bCs/>
            </w:rPr>
            <w:t>十、 其他重要事项的情况说明</w:t>
          </w:r>
          <w:r>
            <w:tab/>
          </w:r>
          <w:r>
            <w:fldChar w:fldCharType="begin"/>
          </w:r>
          <w:r>
            <w:instrText xml:space="preserve"> PAGEREF _Toc147736308 \h </w:instrText>
          </w:r>
          <w:r>
            <w:fldChar w:fldCharType="separate"/>
          </w:r>
          <w:r>
            <w:t>10</w:t>
          </w:r>
          <w:r>
            <w:fldChar w:fldCharType="end"/>
          </w:r>
          <w:r>
            <w:fldChar w:fldCharType="end"/>
          </w:r>
        </w:p>
        <w:p>
          <w:pPr>
            <w:pStyle w:val="10"/>
            <w:rPr>
              <w:rFonts w:asciiTheme="minorHAnsi" w:hAnsiTheme="minorHAnsi" w:eastAsiaTheme="minorEastAsia" w:cstheme="minorBidi"/>
              <w:sz w:val="21"/>
              <w:szCs w:val="22"/>
            </w:rPr>
          </w:pPr>
          <w:r>
            <w:fldChar w:fldCharType="begin"/>
          </w:r>
          <w:r>
            <w:instrText xml:space="preserve"> HYPERLINK \l "_Toc147736313" </w:instrText>
          </w:r>
          <w:r>
            <w:fldChar w:fldCharType="separate"/>
          </w:r>
          <w:r>
            <w:rPr>
              <w:rStyle w:val="15"/>
              <w:rFonts w:hint="eastAsia" w:ascii="黑体" w:hAnsi="黑体" w:eastAsia="黑体" w:cs="黑体"/>
              <w:bCs/>
              <w:kern w:val="44"/>
            </w:rPr>
            <w:t>第三部分</w:t>
          </w:r>
          <w:r>
            <w:rPr>
              <w:rStyle w:val="15"/>
              <w:rFonts w:hint="eastAsia" w:ascii="黑体" w:hAnsi="黑体" w:eastAsia="黑体"/>
            </w:rPr>
            <w:t xml:space="preserve"> 名</w:t>
          </w:r>
          <w:r>
            <w:rPr>
              <w:rStyle w:val="15"/>
              <w:rFonts w:hint="eastAsia" w:ascii="黑体" w:hAnsi="黑体" w:eastAsia="黑体"/>
              <w:bCs/>
              <w:kern w:val="44"/>
            </w:rPr>
            <w:t>词解释</w:t>
          </w:r>
          <w:r>
            <w:tab/>
          </w:r>
          <w:r>
            <w:fldChar w:fldCharType="begin"/>
          </w:r>
          <w:r>
            <w:instrText xml:space="preserve"> PAGEREF _Toc147736313 \h </w:instrText>
          </w:r>
          <w:r>
            <w:fldChar w:fldCharType="separate"/>
          </w:r>
          <w:r>
            <w:t>12</w:t>
          </w:r>
          <w:r>
            <w:fldChar w:fldCharType="end"/>
          </w:r>
          <w:r>
            <w:fldChar w:fldCharType="end"/>
          </w:r>
        </w:p>
        <w:p>
          <w:pPr>
            <w:pStyle w:val="10"/>
            <w:rPr>
              <w:rFonts w:asciiTheme="minorHAnsi" w:hAnsiTheme="minorHAnsi" w:eastAsiaTheme="minorEastAsia" w:cstheme="minorBidi"/>
              <w:sz w:val="21"/>
              <w:szCs w:val="22"/>
            </w:rPr>
          </w:pPr>
          <w:r>
            <w:fldChar w:fldCharType="begin"/>
          </w:r>
          <w:r>
            <w:instrText xml:space="preserve"> HYPERLINK \l "_Toc147736314" </w:instrText>
          </w:r>
          <w:r>
            <w:fldChar w:fldCharType="separate"/>
          </w:r>
          <w:r>
            <w:rPr>
              <w:rStyle w:val="15"/>
              <w:rFonts w:hint="eastAsia" w:ascii="黑体" w:hAnsi="黑体" w:eastAsia="黑体"/>
            </w:rPr>
            <w:t>第</w:t>
          </w:r>
          <w:r>
            <w:rPr>
              <w:rStyle w:val="15"/>
              <w:rFonts w:hint="eastAsia" w:ascii="黑体" w:hAnsi="黑体" w:eastAsia="黑体"/>
              <w:bCs/>
              <w:kern w:val="44"/>
            </w:rPr>
            <w:t>四部分</w:t>
          </w:r>
          <w:r>
            <w:rPr>
              <w:rStyle w:val="15"/>
              <w:rFonts w:ascii="黑体" w:hAnsi="黑体" w:eastAsia="黑体"/>
              <w:bCs/>
              <w:kern w:val="44"/>
            </w:rPr>
            <w:t xml:space="preserve"> </w:t>
          </w:r>
          <w:r>
            <w:rPr>
              <w:rStyle w:val="15"/>
              <w:rFonts w:hint="eastAsia" w:ascii="黑体" w:hAnsi="黑体" w:eastAsia="黑体"/>
              <w:bCs/>
              <w:kern w:val="44"/>
            </w:rPr>
            <w:t>附件</w:t>
          </w:r>
          <w:r>
            <w:tab/>
          </w:r>
          <w:r>
            <w:fldChar w:fldCharType="begin"/>
          </w:r>
          <w:r>
            <w:instrText xml:space="preserve"> PAGEREF _Toc147736314 \h </w:instrText>
          </w:r>
          <w:r>
            <w:fldChar w:fldCharType="separate"/>
          </w:r>
          <w:r>
            <w:t>14</w:t>
          </w:r>
          <w:r>
            <w:fldChar w:fldCharType="end"/>
          </w:r>
          <w:r>
            <w:fldChar w:fldCharType="end"/>
          </w:r>
        </w:p>
        <w:p>
          <w:pPr>
            <w:pStyle w:val="10"/>
            <w:rPr>
              <w:rFonts w:asciiTheme="minorHAnsi" w:hAnsiTheme="minorHAnsi" w:eastAsiaTheme="minorEastAsia" w:cstheme="minorBidi"/>
              <w:sz w:val="21"/>
              <w:szCs w:val="22"/>
            </w:rPr>
          </w:pPr>
          <w:r>
            <w:fldChar w:fldCharType="begin"/>
          </w:r>
          <w:r>
            <w:instrText xml:space="preserve"> HYPERLINK \l "_Toc147736317" </w:instrText>
          </w:r>
          <w:r>
            <w:fldChar w:fldCharType="separate"/>
          </w:r>
          <w:r>
            <w:rPr>
              <w:rStyle w:val="15"/>
              <w:rFonts w:hint="eastAsia" w:ascii="黑体" w:hAnsi="黑体" w:eastAsia="黑体"/>
            </w:rPr>
            <w:t>第</w:t>
          </w:r>
          <w:r>
            <w:rPr>
              <w:rStyle w:val="15"/>
              <w:rFonts w:hint="eastAsia" w:ascii="黑体" w:hAnsi="黑体" w:eastAsia="黑体"/>
              <w:bCs/>
              <w:kern w:val="44"/>
            </w:rPr>
            <w:t>五部分</w:t>
          </w:r>
          <w:r>
            <w:rPr>
              <w:rStyle w:val="15"/>
              <w:rFonts w:ascii="黑体" w:hAnsi="黑体" w:eastAsia="黑体"/>
              <w:bCs/>
              <w:kern w:val="44"/>
            </w:rPr>
            <w:t xml:space="preserve"> </w:t>
          </w:r>
          <w:r>
            <w:rPr>
              <w:rStyle w:val="15"/>
              <w:rFonts w:hint="eastAsia" w:ascii="黑体" w:hAnsi="黑体" w:eastAsia="黑体"/>
              <w:bCs/>
              <w:kern w:val="44"/>
            </w:rPr>
            <w:t>附表</w:t>
          </w:r>
          <w:r>
            <w:tab/>
          </w:r>
          <w:r>
            <w:fldChar w:fldCharType="begin"/>
          </w:r>
          <w:r>
            <w:instrText xml:space="preserve"> PAGEREF _Toc147736317 \h </w:instrText>
          </w:r>
          <w:r>
            <w:fldChar w:fldCharType="separate"/>
          </w:r>
          <w:r>
            <w:t>15</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"_Toc147736318" </w:instrText>
          </w:r>
          <w:r>
            <w:fldChar w:fldCharType="separate"/>
          </w:r>
          <w:r>
            <w:rPr>
              <w:rStyle w:val="15"/>
              <w:rFonts w:hint="eastAsia" w:ascii="仿宋" w:hAnsi="仿宋" w:eastAsia="仿宋"/>
            </w:rPr>
            <w:t>一、收入支出决算总表</w:t>
          </w:r>
          <w:r>
            <w:tab/>
          </w:r>
          <w:r>
            <w:fldChar w:fldCharType="begin"/>
          </w:r>
          <w:r>
            <w:instrText xml:space="preserve"> PAGEREF _Toc147736318 \h </w:instrText>
          </w:r>
          <w:r>
            <w:fldChar w:fldCharType="separate"/>
          </w:r>
          <w:r>
            <w:t>15</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"_Toc147736319" </w:instrText>
          </w:r>
          <w:r>
            <w:fldChar w:fldCharType="separate"/>
          </w:r>
          <w:r>
            <w:rPr>
              <w:rStyle w:val="15"/>
              <w:rFonts w:hint="eastAsia" w:ascii="仿宋" w:hAnsi="仿宋" w:eastAsia="仿宋"/>
            </w:rPr>
            <w:t>二、收入决算表</w:t>
          </w:r>
          <w:r>
            <w:tab/>
          </w:r>
          <w:r>
            <w:fldChar w:fldCharType="begin"/>
          </w:r>
          <w:r>
            <w:instrText xml:space="preserve"> PAGEREF _Toc147736319 \h </w:instrText>
          </w:r>
          <w:r>
            <w:fldChar w:fldCharType="separate"/>
          </w:r>
          <w:r>
            <w:t>15</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"_Toc147736320" </w:instrText>
          </w:r>
          <w:r>
            <w:fldChar w:fldCharType="separate"/>
          </w:r>
          <w:r>
            <w:rPr>
              <w:rStyle w:val="15"/>
              <w:rFonts w:hint="eastAsia" w:ascii="仿宋" w:hAnsi="仿宋" w:eastAsia="仿宋"/>
            </w:rPr>
            <w:t>三、支出决算表</w:t>
          </w:r>
          <w:r>
            <w:tab/>
          </w:r>
          <w:r>
            <w:fldChar w:fldCharType="begin"/>
          </w:r>
          <w:r>
            <w:instrText xml:space="preserve"> PAGEREF _Toc147736320 \h </w:instrText>
          </w:r>
          <w:r>
            <w:fldChar w:fldCharType="separate"/>
          </w:r>
          <w:r>
            <w:t>15</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"_Toc147736321" </w:instrText>
          </w:r>
          <w:r>
            <w:fldChar w:fldCharType="separate"/>
          </w:r>
          <w:r>
            <w:rPr>
              <w:rStyle w:val="15"/>
              <w:rFonts w:hint="eastAsia" w:ascii="仿宋" w:hAnsi="仿宋" w:eastAsia="仿宋"/>
            </w:rPr>
            <w:t>四、财政拨款收入支出决算总表</w:t>
          </w:r>
          <w:r>
            <w:tab/>
          </w:r>
          <w:r>
            <w:fldChar w:fldCharType="begin"/>
          </w:r>
          <w:r>
            <w:instrText xml:space="preserve"> PAGEREF _Toc147736321 \h </w:instrText>
          </w:r>
          <w:r>
            <w:fldChar w:fldCharType="separate"/>
          </w:r>
          <w:r>
            <w:t>15</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"_Toc147736322" </w:instrText>
          </w:r>
          <w:r>
            <w:fldChar w:fldCharType="separate"/>
          </w:r>
          <w:r>
            <w:rPr>
              <w:rStyle w:val="15"/>
              <w:rFonts w:hint="eastAsia" w:ascii="仿宋" w:hAnsi="仿宋" w:eastAsia="仿宋"/>
            </w:rPr>
            <w:t>五、财政拨款支出决算明细表</w:t>
          </w:r>
          <w:r>
            <w:tab/>
          </w:r>
          <w:r>
            <w:fldChar w:fldCharType="begin"/>
          </w:r>
          <w:r>
            <w:instrText xml:space="preserve"> PAGEREF _Toc147736322 \h </w:instrText>
          </w:r>
          <w:r>
            <w:fldChar w:fldCharType="separate"/>
          </w:r>
          <w:r>
            <w:t>15</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"_Toc147736323" </w:instrText>
          </w:r>
          <w:r>
            <w:fldChar w:fldCharType="separate"/>
          </w:r>
          <w:r>
            <w:rPr>
              <w:rStyle w:val="15"/>
              <w:rFonts w:hint="eastAsia" w:ascii="仿宋" w:hAnsi="仿宋" w:eastAsia="仿宋"/>
            </w:rPr>
            <w:t>六、一般公共预算财政拨款支出决算表</w:t>
          </w:r>
          <w:r>
            <w:tab/>
          </w:r>
          <w:r>
            <w:fldChar w:fldCharType="begin"/>
          </w:r>
          <w:r>
            <w:instrText xml:space="preserve"> PAGEREF _Toc147736323 \h </w:instrText>
          </w:r>
          <w:r>
            <w:fldChar w:fldCharType="separate"/>
          </w:r>
          <w:r>
            <w:t>15</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"_Toc147736324" </w:instrText>
          </w:r>
          <w:r>
            <w:fldChar w:fldCharType="separate"/>
          </w:r>
          <w:r>
            <w:rPr>
              <w:rStyle w:val="15"/>
              <w:rFonts w:hint="eastAsia" w:ascii="仿宋" w:hAnsi="仿宋" w:eastAsia="仿宋"/>
            </w:rPr>
            <w:t>七、一般公共预算财政拨款支出决算明细表</w:t>
          </w:r>
          <w:r>
            <w:tab/>
          </w:r>
          <w:r>
            <w:fldChar w:fldCharType="begin"/>
          </w:r>
          <w:r>
            <w:instrText xml:space="preserve"> PAGEREF _Toc147736324 \h </w:instrText>
          </w:r>
          <w:r>
            <w:fldChar w:fldCharType="separate"/>
          </w:r>
          <w:r>
            <w:t>15</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"_Toc147736325" </w:instrText>
          </w:r>
          <w:r>
            <w:fldChar w:fldCharType="separate"/>
          </w:r>
          <w:r>
            <w:rPr>
              <w:rStyle w:val="15"/>
              <w:rFonts w:hint="eastAsia" w:ascii="仿宋" w:hAnsi="仿宋" w:eastAsia="仿宋"/>
            </w:rPr>
            <w:t>八、一般公共预算财政拨款基本支出决算表</w:t>
          </w:r>
          <w:r>
            <w:tab/>
          </w:r>
          <w:r>
            <w:fldChar w:fldCharType="begin"/>
          </w:r>
          <w:r>
            <w:instrText xml:space="preserve"> PAGEREF _Toc147736325 \h </w:instrText>
          </w:r>
          <w:r>
            <w:fldChar w:fldCharType="separate"/>
          </w:r>
          <w:r>
            <w:t>15</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"_Toc147736326" </w:instrText>
          </w:r>
          <w:r>
            <w:fldChar w:fldCharType="separate"/>
          </w:r>
          <w:r>
            <w:rPr>
              <w:rStyle w:val="15"/>
              <w:rFonts w:hint="eastAsia" w:ascii="仿宋" w:hAnsi="仿宋" w:eastAsia="仿宋"/>
            </w:rPr>
            <w:t>九、一般公共预算财政拨款项目支出决算表</w:t>
          </w:r>
          <w:r>
            <w:tab/>
          </w:r>
          <w:r>
            <w:fldChar w:fldCharType="begin"/>
          </w:r>
          <w:r>
            <w:instrText xml:space="preserve"> PAGEREF _Toc147736326 \h </w:instrText>
          </w:r>
          <w:r>
            <w:fldChar w:fldCharType="separate"/>
          </w:r>
          <w:r>
            <w:t>15</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"_Toc147736327" </w:instrText>
          </w:r>
          <w:r>
            <w:fldChar w:fldCharType="separate"/>
          </w:r>
          <w:r>
            <w:rPr>
              <w:rStyle w:val="15"/>
              <w:rFonts w:hint="eastAsia" w:ascii="仿宋" w:hAnsi="仿宋" w:eastAsia="仿宋"/>
            </w:rPr>
            <w:t>十、政府性基金预算财政拨款收入支出决算表</w:t>
          </w:r>
          <w:r>
            <w:tab/>
          </w:r>
          <w:r>
            <w:fldChar w:fldCharType="begin"/>
          </w:r>
          <w:r>
            <w:instrText xml:space="preserve"> PAGEREF _Toc147736327 \h </w:instrText>
          </w:r>
          <w:r>
            <w:fldChar w:fldCharType="separate"/>
          </w:r>
          <w:r>
            <w:t>15</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"_Toc147736328" </w:instrText>
          </w:r>
          <w:r>
            <w:fldChar w:fldCharType="separate"/>
          </w:r>
          <w:r>
            <w:rPr>
              <w:rStyle w:val="15"/>
              <w:rFonts w:hint="eastAsia" w:ascii="仿宋" w:hAnsi="仿宋" w:eastAsia="仿宋"/>
            </w:rPr>
            <w:t>十一、国有资本经营预算财政拨款收入支出决算表</w:t>
          </w:r>
          <w:r>
            <w:tab/>
          </w:r>
          <w:r>
            <w:fldChar w:fldCharType="begin"/>
          </w:r>
          <w:r>
            <w:instrText xml:space="preserve"> PAGEREF _Toc147736328 \h </w:instrText>
          </w:r>
          <w:r>
            <w:fldChar w:fldCharType="separate"/>
          </w:r>
          <w:r>
            <w:t>15</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"_Toc147736329" </w:instrText>
          </w:r>
          <w:r>
            <w:fldChar w:fldCharType="separate"/>
          </w:r>
          <w:r>
            <w:rPr>
              <w:rStyle w:val="15"/>
              <w:rFonts w:hint="eastAsia" w:ascii="仿宋" w:hAnsi="仿宋" w:eastAsia="仿宋"/>
            </w:rPr>
            <w:t>十二、国有资本经营预算财政拨款支出决算表</w:t>
          </w:r>
          <w:r>
            <w:tab/>
          </w:r>
          <w:r>
            <w:fldChar w:fldCharType="begin"/>
          </w:r>
          <w:r>
            <w:instrText xml:space="preserve"> PAGEREF _Toc147736329 \h </w:instrText>
          </w:r>
          <w:r>
            <w:fldChar w:fldCharType="separate"/>
          </w:r>
          <w:r>
            <w:t>15</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"_Toc147736330" </w:instrText>
          </w:r>
          <w:r>
            <w:fldChar w:fldCharType="separate"/>
          </w:r>
          <w:r>
            <w:rPr>
              <w:rStyle w:val="15"/>
              <w:rFonts w:hint="eastAsia" w:ascii="仿宋" w:hAnsi="仿宋" w:eastAsia="仿宋"/>
            </w:rPr>
            <w:t>十三、财政拨款“三公”经费支出决算表</w:t>
          </w:r>
          <w:r>
            <w:tab/>
          </w:r>
          <w:r>
            <w:fldChar w:fldCharType="begin"/>
          </w:r>
          <w:r>
            <w:instrText xml:space="preserve"> PAGEREF _Toc147736330 \h </w:instrText>
          </w:r>
          <w:r>
            <w:fldChar w:fldCharType="separate"/>
          </w:r>
          <w:r>
            <w:t>15</w:t>
          </w:r>
          <w:r>
            <w:fldChar w:fldCharType="end"/>
          </w:r>
          <w:r>
            <w:fldChar w:fldCharType="end"/>
          </w:r>
        </w:p>
        <w:p>
          <w:r>
            <w:fldChar w:fldCharType="end"/>
          </w:r>
        </w:p>
      </w:sdtContent>
    </w:sdt>
    <w:p>
      <w:pPr>
        <w:widowControl/>
        <w:jc w:val="left"/>
        <w:rPr>
          <w:rFonts w:ascii="黑体" w:hAnsi="黑体" w:eastAsia="黑体"/>
          <w:bCs/>
          <w:kern w:val="44"/>
          <w:sz w:val="44"/>
          <w:szCs w:val="44"/>
        </w:rPr>
      </w:pPr>
      <w:bookmarkStart w:id="17" w:name="_Toc147736287"/>
    </w:p>
    <w:p>
      <w:pPr>
        <w:pStyle w:val="3"/>
        <w:rPr>
          <w:rFonts w:ascii="黑体" w:hAnsi="黑体" w:eastAsia="黑体"/>
          <w:b w:val="0"/>
        </w:rPr>
        <w:sectPr>
          <w:headerReference r:id="rId3" w:type="default"/>
          <w:footerReference r:id="rId4" w:type="default"/>
          <w:pgSz w:w="11906" w:h="16838"/>
          <w:pgMar w:top="1440" w:right="1800" w:bottom="1440" w:left="1800" w:header="851" w:footer="992" w:gutter="0"/>
          <w:cols w:space="425" w:num="1"/>
          <w:titlePg/>
          <w:docGrid w:type="lines" w:linePitch="312" w:charSpace="0"/>
        </w:sectPr>
      </w:pPr>
    </w:p>
    <w:p>
      <w:pPr>
        <w:pStyle w:val="3"/>
        <w:jc w:val="center"/>
        <w:rPr>
          <w:rFonts w:ascii="黑体" w:hAnsi="黑体" w:eastAsia="黑体"/>
          <w:b w:val="0"/>
        </w:rPr>
        <w:sectPr>
          <w:footerReference r:id="rId5" w:type="first"/>
          <w:type w:val="continuous"/>
          <w:pgSz w:w="11906" w:h="16838"/>
          <w:pgMar w:top="1440" w:right="1800" w:bottom="1440" w:left="1800" w:header="851" w:footer="992" w:gutter="0"/>
          <w:pgNumType w:start="1"/>
          <w:cols w:space="425" w:num="1"/>
          <w:titlePg/>
          <w:docGrid w:type="lines" w:linePitch="312" w:charSpace="0"/>
        </w:sectPr>
      </w:pPr>
    </w:p>
    <w:p>
      <w:pPr>
        <w:pStyle w:val="3"/>
        <w:jc w:val="center"/>
        <w:rPr>
          <w:rStyle w:val="24"/>
          <w:rFonts w:ascii="黑体" w:hAnsi="黑体" w:eastAsia="黑体"/>
          <w:b/>
          <w:bCs w:val="0"/>
        </w:rPr>
      </w:pPr>
      <w:r>
        <w:rPr>
          <w:rFonts w:hint="eastAsia" w:ascii="黑体" w:hAnsi="黑体" w:eastAsia="黑体"/>
          <w:b w:val="0"/>
        </w:rPr>
        <w:t>第一部分 单位</w:t>
      </w:r>
      <w:r>
        <w:rPr>
          <w:rStyle w:val="24"/>
          <w:rFonts w:hint="eastAsia" w:ascii="黑体" w:hAnsi="黑体" w:eastAsia="黑体"/>
          <w:b w:val="0"/>
          <w:bCs w:val="0"/>
        </w:rPr>
        <w:t>概况</w:t>
      </w:r>
      <w:bookmarkEnd w:id="15"/>
      <w:bookmarkEnd w:id="16"/>
      <w:bookmarkEnd w:id="17"/>
    </w:p>
    <w:p>
      <w:pPr>
        <w:widowControl/>
        <w:jc w:val="left"/>
        <w:rPr>
          <w:rFonts w:ascii="黑体" w:eastAsia="黑体"/>
          <w:sz w:val="32"/>
          <w:szCs w:val="32"/>
        </w:rPr>
      </w:pPr>
    </w:p>
    <w:p>
      <w:pPr>
        <w:pStyle w:val="4"/>
        <w:numPr>
          <w:ilvl w:val="0"/>
          <w:numId w:val="1"/>
        </w:numPr>
        <w:rPr>
          <w:rStyle w:val="25"/>
          <w:rFonts w:ascii="黑体" w:hAnsi="黑体" w:eastAsia="黑体"/>
          <w:b w:val="0"/>
          <w:bCs w:val="0"/>
        </w:rPr>
      </w:pPr>
      <w:bookmarkStart w:id="18" w:name="_Toc147736288"/>
      <w:bookmarkStart w:id="19" w:name="_Toc15396600"/>
      <w:bookmarkStart w:id="20" w:name="_Toc15377197"/>
      <w:r>
        <w:rPr>
          <w:rStyle w:val="25"/>
          <w:rFonts w:hint="eastAsia" w:ascii="黑体" w:hAnsi="黑体" w:eastAsia="黑体"/>
          <w:b w:val="0"/>
          <w:bCs w:val="0"/>
        </w:rPr>
        <w:t>主要职责</w:t>
      </w:r>
      <w:bookmarkEnd w:id="18"/>
    </w:p>
    <w:p>
      <w:pPr>
        <w:pStyle w:val="23"/>
        <w:widowControl/>
        <w:shd w:val="clear" w:color="auto" w:fill="FFFFFF"/>
        <w:spacing w:before="100" w:beforeAutospacing="1" w:after="100" w:afterAutospacing="1" w:line="480" w:lineRule="auto"/>
        <w:ind w:left="672" w:firstLine="0" w:firstLineChars="0"/>
        <w:rPr>
          <w:rFonts w:ascii="仿宋" w:hAnsi="仿宋" w:eastAsia="仿宋" w:cs="宋体"/>
          <w:kern w:val="0"/>
          <w:sz w:val="32"/>
          <w:szCs w:val="32"/>
        </w:rPr>
      </w:pPr>
      <w:r>
        <w:rPr>
          <w:rFonts w:hint="eastAsia"/>
        </w:rPr>
        <w:t xml:space="preserve"> </w:t>
      </w:r>
      <w:r>
        <w:rPr>
          <w:rFonts w:hint="eastAsia" w:ascii="仿宋" w:hAnsi="仿宋" w:eastAsia="仿宋" w:cs="宋体"/>
          <w:kern w:val="0"/>
          <w:sz w:val="32"/>
          <w:szCs w:val="32"/>
        </w:rPr>
        <w:t>实施小学义务教育，促进基础教育发展。小学学历教育。</w:t>
      </w:r>
    </w:p>
    <w:p>
      <w:pPr>
        <w:pStyle w:val="4"/>
        <w:rPr>
          <w:rFonts w:ascii="黑体" w:hAnsi="黑体" w:eastAsia="黑体"/>
          <w:b w:val="0"/>
        </w:rPr>
      </w:pPr>
      <w:bookmarkStart w:id="21" w:name="_Toc147736289"/>
      <w:r>
        <w:rPr>
          <w:rFonts w:hint="eastAsia" w:ascii="黑体" w:hAnsi="黑体" w:eastAsia="黑体"/>
          <w:b w:val="0"/>
        </w:rPr>
        <w:t>二、机构设置</w:t>
      </w:r>
      <w:bookmarkEnd w:id="21"/>
    </w:p>
    <w:p>
      <w:pPr>
        <w:ind w:firstLine="420" w:firstLineChars="200"/>
      </w:pPr>
      <w:r>
        <w:rPr>
          <w:rFonts w:hint="eastAsia"/>
        </w:rPr>
        <w:t xml:space="preserve">   </w:t>
      </w:r>
      <w:r>
        <w:rPr>
          <w:rFonts w:hint="eastAsia" w:ascii="仿宋" w:hAnsi="仿宋" w:eastAsia="仿宋" w:cs="仿宋"/>
          <w:sz w:val="32"/>
          <w:szCs w:val="32"/>
        </w:rPr>
        <w:t>广元市实验小学校是广元市利州区教育局直属学校，属财政全额补助、公益一类事业单位。本单位无附属或下级单位。</w:t>
      </w:r>
    </w:p>
    <w:bookmarkEnd w:id="19"/>
    <w:bookmarkEnd w:id="20"/>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4"/>
          <w:rFonts w:ascii="黑体" w:hAnsi="黑体" w:eastAsia="黑体"/>
          <w:b w:val="0"/>
          <w:bCs/>
        </w:rPr>
      </w:pPr>
      <w:bookmarkStart w:id="22" w:name="_Toc147736290"/>
      <w:bookmarkStart w:id="23" w:name="_Toc15377204"/>
      <w:bookmarkStart w:id="24" w:name="_Toc15396602"/>
      <w:r>
        <w:rPr>
          <w:rFonts w:hint="eastAsia" w:ascii="黑体" w:hAnsi="黑体" w:eastAsia="黑体"/>
          <w:b w:val="0"/>
        </w:rPr>
        <w:t>第二部分 2022年度</w:t>
      </w:r>
      <w:r>
        <w:rPr>
          <w:rStyle w:val="24"/>
          <w:rFonts w:hint="eastAsia" w:ascii="黑体" w:hAnsi="黑体" w:eastAsia="黑体"/>
          <w:b w:val="0"/>
          <w:bCs/>
        </w:rPr>
        <w:t>单位决算情况说明</w:t>
      </w:r>
      <w:bookmarkEnd w:id="22"/>
      <w:bookmarkEnd w:id="23"/>
      <w:bookmarkEnd w:id="24"/>
    </w:p>
    <w:p/>
    <w:p>
      <w:pPr>
        <w:pStyle w:val="23"/>
        <w:numPr>
          <w:ilvl w:val="0"/>
          <w:numId w:val="2"/>
        </w:numPr>
        <w:spacing w:line="600" w:lineRule="exact"/>
        <w:ind w:firstLineChars="0"/>
        <w:outlineLvl w:val="1"/>
        <w:rPr>
          <w:rStyle w:val="25"/>
          <w:rFonts w:ascii="黑体" w:hAnsi="黑体" w:eastAsia="黑体"/>
          <w:b w:val="0"/>
        </w:rPr>
      </w:pPr>
      <w:bookmarkStart w:id="25" w:name="_Toc15377205"/>
      <w:bookmarkStart w:id="26" w:name="_Toc15396603"/>
      <w:bookmarkStart w:id="27" w:name="_Toc147736291"/>
      <w:r>
        <w:rPr>
          <w:rFonts w:hint="eastAsia" w:ascii="黑体" w:hAnsi="黑体" w:eastAsia="黑体"/>
          <w:sz w:val="32"/>
          <w:szCs w:val="32"/>
        </w:rPr>
        <w:t>收</w:t>
      </w:r>
      <w:r>
        <w:rPr>
          <w:rStyle w:val="25"/>
          <w:rFonts w:hint="eastAsia" w:ascii="黑体" w:hAnsi="黑体" w:eastAsia="黑体"/>
          <w:b w:val="0"/>
        </w:rPr>
        <w:t>入支出决算总体情况说明</w:t>
      </w:r>
      <w:bookmarkEnd w:id="25"/>
      <w:bookmarkEnd w:id="26"/>
      <w:bookmarkEnd w:id="27"/>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2022年度收、支总计5043.4万元。与2021年相比，收、支总计各增加1579.88万元，增长46</w:t>
      </w:r>
      <w:r>
        <w:rPr>
          <w:rFonts w:ascii="仿宋" w:hAnsi="仿宋" w:eastAsia="仿宋"/>
          <w:sz w:val="32"/>
          <w:szCs w:val="32"/>
        </w:rPr>
        <w:t>%</w:t>
      </w:r>
      <w:r>
        <w:rPr>
          <w:rFonts w:hint="eastAsia" w:ascii="仿宋" w:hAnsi="仿宋" w:eastAsia="仿宋"/>
          <w:sz w:val="32"/>
          <w:szCs w:val="32"/>
        </w:rPr>
        <w:t>。主要变动原因是财政拨款收入增加。</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
        <w:spacing w:before="93"/>
      </w:pPr>
      <w:r>
        <w:drawing>
          <wp:inline distT="0" distB="0" distL="0" distR="0">
            <wp:extent cx="4572000" cy="3002280"/>
            <wp:effectExtent l="19050" t="0" r="0" b="0"/>
            <wp:docPr id="1" name="图表 1" descr="7b0a202020202263686172745265734964223a202232303437313133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jc w:val="left"/>
        <w:rPr>
          <w:rFonts w:ascii="仿宋_GB2312" w:eastAsia="仿宋_GB2312"/>
          <w:sz w:val="32"/>
          <w:szCs w:val="32"/>
        </w:rPr>
      </w:pPr>
    </w:p>
    <w:p>
      <w:pPr>
        <w:pStyle w:val="23"/>
        <w:numPr>
          <w:ilvl w:val="0"/>
          <w:numId w:val="2"/>
        </w:numPr>
        <w:spacing w:line="600" w:lineRule="exact"/>
        <w:ind w:firstLineChars="0"/>
        <w:outlineLvl w:val="1"/>
        <w:rPr>
          <w:rStyle w:val="25"/>
          <w:rFonts w:ascii="黑体" w:hAnsi="黑体" w:eastAsia="黑体"/>
          <w:b w:val="0"/>
        </w:rPr>
      </w:pPr>
      <w:bookmarkStart w:id="28" w:name="_Toc15396604"/>
      <w:bookmarkStart w:id="29" w:name="_Toc15377206"/>
      <w:bookmarkStart w:id="30" w:name="_Toc147736292"/>
      <w:r>
        <w:rPr>
          <w:rFonts w:hint="eastAsia" w:ascii="黑体" w:hAnsi="黑体" w:eastAsia="黑体"/>
          <w:sz w:val="32"/>
          <w:szCs w:val="32"/>
        </w:rPr>
        <w:t>收</w:t>
      </w:r>
      <w:r>
        <w:rPr>
          <w:rStyle w:val="25"/>
          <w:rFonts w:hint="eastAsia" w:ascii="黑体" w:hAnsi="黑体" w:eastAsia="黑体"/>
          <w:b w:val="0"/>
        </w:rPr>
        <w:t>入决算情况说明</w:t>
      </w:r>
      <w:bookmarkEnd w:id="28"/>
      <w:bookmarkEnd w:id="29"/>
      <w:bookmarkEnd w:id="30"/>
    </w:p>
    <w:p>
      <w:pPr>
        <w:spacing w:line="600" w:lineRule="exact"/>
        <w:ind w:firstLine="640" w:firstLineChars="200"/>
        <w:outlineLvl w:val="1"/>
        <w:rPr>
          <w:rFonts w:ascii="仿宋" w:hAnsi="仿宋" w:eastAsia="仿宋"/>
          <w:sz w:val="32"/>
          <w:szCs w:val="32"/>
        </w:rPr>
      </w:pPr>
      <w:bookmarkStart w:id="31" w:name="_Toc147736293"/>
      <w:r>
        <w:rPr>
          <w:rFonts w:ascii="仿宋" w:hAnsi="仿宋" w:eastAsia="仿宋"/>
          <w:sz w:val="32"/>
          <w:szCs w:val="32"/>
        </w:rPr>
        <w:t>20</w:t>
      </w:r>
      <w:r>
        <w:rPr>
          <w:rFonts w:hint="eastAsia" w:ascii="仿宋" w:hAnsi="仿宋" w:eastAsia="仿宋"/>
          <w:sz w:val="32"/>
          <w:szCs w:val="32"/>
        </w:rPr>
        <w:t>22年本年收入合计5043.4万元，其中：一般公共预算财政拨款收入5043.4万元，占100</w:t>
      </w:r>
      <w:r>
        <w:rPr>
          <w:rFonts w:ascii="仿宋" w:hAnsi="仿宋" w:eastAsia="仿宋"/>
          <w:sz w:val="32"/>
          <w:szCs w:val="32"/>
        </w:rPr>
        <w:t>%</w:t>
      </w:r>
      <w:r>
        <w:rPr>
          <w:rFonts w:hint="eastAsia" w:ascii="仿宋" w:hAnsi="仿宋" w:eastAsia="仿宋"/>
          <w:sz w:val="32"/>
          <w:szCs w:val="32"/>
        </w:rPr>
        <w:t>。</w:t>
      </w:r>
      <w:bookmarkEnd w:id="31"/>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p>
    <w:p>
      <w:pPr>
        <w:spacing w:line="600" w:lineRule="exact"/>
        <w:ind w:firstLine="643" w:firstLineChars="200"/>
        <w:rPr>
          <w:rFonts w:ascii="仿宋" w:hAnsi="仿宋" w:eastAsia="仿宋"/>
          <w:b/>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pPr>
        <w:spacing w:line="600" w:lineRule="exact"/>
        <w:ind w:firstLine="640" w:firstLineChars="200"/>
        <w:rPr>
          <w:rFonts w:ascii="仿宋_GB2312" w:eastAsia="仿宋_GB2312"/>
          <w:sz w:val="32"/>
          <w:szCs w:val="32"/>
        </w:rPr>
      </w:pPr>
    </w:p>
    <w:p>
      <w:pPr>
        <w:pStyle w:val="2"/>
        <w:spacing w:before="93"/>
      </w:pPr>
      <w:r>
        <w:drawing>
          <wp:inline distT="0" distB="0" distL="0" distR="0">
            <wp:extent cx="4572000" cy="3002280"/>
            <wp:effectExtent l="19050" t="0" r="19050" b="7620"/>
            <wp:docPr id="3" name="图表 1" descr="7b0a202020202263686172745265734964223a20223230343731353533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3"/>
        <w:numPr>
          <w:ilvl w:val="0"/>
          <w:numId w:val="2"/>
        </w:numPr>
        <w:spacing w:line="600" w:lineRule="exact"/>
        <w:ind w:firstLineChars="0"/>
        <w:outlineLvl w:val="1"/>
        <w:rPr>
          <w:rStyle w:val="25"/>
          <w:rFonts w:ascii="黑体" w:hAnsi="黑体" w:eastAsia="黑体"/>
          <w:b w:val="0"/>
        </w:rPr>
      </w:pPr>
      <w:bookmarkStart w:id="32" w:name="_Toc147736294"/>
      <w:bookmarkStart w:id="33" w:name="_Toc15396605"/>
      <w:bookmarkStart w:id="34" w:name="_Toc15377207"/>
      <w:r>
        <w:rPr>
          <w:rFonts w:hint="eastAsia" w:ascii="黑体" w:hAnsi="黑体" w:eastAsia="黑体"/>
          <w:sz w:val="32"/>
          <w:szCs w:val="32"/>
        </w:rPr>
        <w:t>支</w:t>
      </w:r>
      <w:r>
        <w:rPr>
          <w:rStyle w:val="25"/>
          <w:rFonts w:hint="eastAsia" w:ascii="黑体" w:hAnsi="黑体" w:eastAsia="黑体"/>
          <w:b w:val="0"/>
        </w:rPr>
        <w:t>出决算情况说明</w:t>
      </w:r>
      <w:bookmarkEnd w:id="32"/>
      <w:bookmarkEnd w:id="33"/>
      <w:bookmarkEnd w:id="34"/>
    </w:p>
    <w:p>
      <w:pPr>
        <w:spacing w:line="600" w:lineRule="exact"/>
        <w:ind w:firstLine="640" w:firstLineChars="200"/>
        <w:outlineLvl w:val="1"/>
        <w:rPr>
          <w:rFonts w:ascii="仿宋" w:hAnsi="仿宋" w:eastAsia="仿宋"/>
          <w:sz w:val="32"/>
          <w:szCs w:val="32"/>
        </w:rPr>
      </w:pPr>
      <w:bookmarkStart w:id="35" w:name="_Toc147736295"/>
      <w:r>
        <w:rPr>
          <w:rFonts w:ascii="仿宋" w:hAnsi="仿宋" w:eastAsia="仿宋"/>
          <w:sz w:val="32"/>
          <w:szCs w:val="32"/>
        </w:rPr>
        <w:t>20</w:t>
      </w:r>
      <w:r>
        <w:rPr>
          <w:rFonts w:hint="eastAsia" w:ascii="仿宋" w:hAnsi="仿宋" w:eastAsia="仿宋"/>
          <w:sz w:val="32"/>
          <w:szCs w:val="32"/>
        </w:rPr>
        <w:t>22年本年支出合计5043.4万元，其中：基本支出2288.55万元，占45</w:t>
      </w:r>
      <w:r>
        <w:rPr>
          <w:rFonts w:ascii="仿宋" w:hAnsi="仿宋" w:eastAsia="仿宋"/>
          <w:sz w:val="32"/>
          <w:szCs w:val="32"/>
        </w:rPr>
        <w:t>%</w:t>
      </w:r>
      <w:r>
        <w:rPr>
          <w:rFonts w:hint="eastAsia" w:ascii="仿宋" w:hAnsi="仿宋" w:eastAsia="仿宋"/>
          <w:sz w:val="32"/>
          <w:szCs w:val="32"/>
        </w:rPr>
        <w:t>；项目支出2754.85万元，占55</w:t>
      </w:r>
      <w:r>
        <w:rPr>
          <w:rFonts w:ascii="仿宋" w:hAnsi="仿宋" w:eastAsia="仿宋"/>
          <w:sz w:val="32"/>
          <w:szCs w:val="32"/>
        </w:rPr>
        <w:t>%</w:t>
      </w:r>
      <w:r>
        <w:rPr>
          <w:rFonts w:hint="eastAsia" w:ascii="仿宋" w:hAnsi="仿宋" w:eastAsia="仿宋"/>
          <w:sz w:val="32"/>
          <w:szCs w:val="32"/>
        </w:rPr>
        <w:t>。</w:t>
      </w:r>
      <w:bookmarkEnd w:id="35"/>
    </w:p>
    <w:p>
      <w:pPr>
        <w:spacing w:line="600" w:lineRule="exact"/>
        <w:ind w:firstLine="640"/>
        <w:rPr>
          <w:rFonts w:ascii="仿宋" w:hAnsi="仿宋" w:eastAsia="仿宋"/>
          <w:sz w:val="32"/>
          <w:szCs w:val="32"/>
          <w:shd w:val="pct10" w:color="auto" w:fill="FFFFFF"/>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40" w:firstLineChars="200"/>
        <w:rPr>
          <w:rFonts w:ascii="仿宋_GB2312" w:eastAsia="仿宋_GB2312"/>
          <w:sz w:val="32"/>
          <w:szCs w:val="32"/>
        </w:rPr>
      </w:pPr>
    </w:p>
    <w:p>
      <w:pPr>
        <w:pStyle w:val="2"/>
        <w:spacing w:before="93"/>
      </w:pPr>
    </w:p>
    <w:p>
      <w:pPr>
        <w:pStyle w:val="2"/>
        <w:spacing w:before="93"/>
      </w:pPr>
    </w:p>
    <w:p>
      <w:pPr>
        <w:pStyle w:val="2"/>
        <w:spacing w:before="93"/>
      </w:pPr>
    </w:p>
    <w:p>
      <w:pPr>
        <w:pStyle w:val="2"/>
        <w:spacing w:before="93"/>
      </w:pPr>
      <w:r>
        <w:drawing>
          <wp:inline distT="0" distB="0" distL="0" distR="0">
            <wp:extent cx="4572000" cy="3002280"/>
            <wp:effectExtent l="19050" t="0" r="19050" b="7620"/>
            <wp:docPr id="5" name="图表 5" descr="7b0a202020202263686172745265734964223a20223230343731393839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
        <w:spacing w:before="93"/>
      </w:pPr>
    </w:p>
    <w:p>
      <w:pPr>
        <w:spacing w:line="600" w:lineRule="exact"/>
        <w:ind w:firstLine="640" w:firstLineChars="200"/>
        <w:outlineLvl w:val="1"/>
        <w:rPr>
          <w:rStyle w:val="25"/>
          <w:rFonts w:ascii="黑体" w:hAnsi="黑体" w:eastAsia="黑体"/>
          <w:b w:val="0"/>
        </w:rPr>
      </w:pPr>
      <w:bookmarkStart w:id="36" w:name="_Toc15377208"/>
      <w:bookmarkStart w:id="37" w:name="_Toc15396606"/>
      <w:bookmarkStart w:id="38" w:name="_Toc147736296"/>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36"/>
      <w:bookmarkEnd w:id="37"/>
      <w:bookmarkEnd w:id="38"/>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22年财政拨款收、支总计5043.4万元。与</w:t>
      </w:r>
      <w:r>
        <w:rPr>
          <w:rFonts w:ascii="仿宋" w:hAnsi="仿宋" w:eastAsia="仿宋"/>
          <w:sz w:val="32"/>
          <w:szCs w:val="32"/>
        </w:rPr>
        <w:t>20</w:t>
      </w:r>
      <w:r>
        <w:rPr>
          <w:rFonts w:hint="eastAsia" w:ascii="仿宋" w:hAnsi="仿宋" w:eastAsia="仿宋"/>
          <w:sz w:val="32"/>
          <w:szCs w:val="32"/>
        </w:rPr>
        <w:t>21年相比，财政拨款收、支总计各增加1579.88万元，增长46</w:t>
      </w:r>
      <w:r>
        <w:rPr>
          <w:rFonts w:ascii="仿宋" w:hAnsi="仿宋" w:eastAsia="仿宋"/>
          <w:sz w:val="32"/>
          <w:szCs w:val="32"/>
        </w:rPr>
        <w:t>%</w:t>
      </w:r>
      <w:r>
        <w:rPr>
          <w:rFonts w:hint="eastAsia" w:ascii="仿宋" w:hAnsi="仿宋" w:eastAsia="仿宋"/>
          <w:sz w:val="32"/>
          <w:szCs w:val="32"/>
        </w:rPr>
        <w:t>。主要变动原因是财政拨款收入增加。</w:t>
      </w:r>
    </w:p>
    <w:p>
      <w:pPr>
        <w:spacing w:line="600" w:lineRule="exact"/>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pStyle w:val="2"/>
        <w:spacing w:before="93"/>
      </w:pPr>
      <w:r>
        <w:drawing>
          <wp:inline distT="0" distB="0" distL="0" distR="0">
            <wp:extent cx="4572000" cy="2743200"/>
            <wp:effectExtent l="19050" t="0" r="1905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rPr>
          <w:rFonts w:ascii="仿宋" w:hAnsi="仿宋" w:eastAsia="仿宋"/>
          <w:b/>
          <w:sz w:val="32"/>
          <w:szCs w:val="32"/>
        </w:rPr>
      </w:pPr>
    </w:p>
    <w:p>
      <w:pPr>
        <w:spacing w:line="600" w:lineRule="exact"/>
        <w:ind w:firstLine="640" w:firstLineChars="200"/>
        <w:outlineLvl w:val="1"/>
        <w:rPr>
          <w:rStyle w:val="25"/>
          <w:rFonts w:ascii="黑体" w:hAnsi="黑体" w:eastAsia="黑体"/>
          <w:b w:val="0"/>
        </w:rPr>
      </w:pPr>
      <w:bookmarkStart w:id="39" w:name="_Toc15396607"/>
      <w:bookmarkStart w:id="40" w:name="_Toc15377209"/>
      <w:bookmarkStart w:id="41" w:name="_Toc147736297"/>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39"/>
      <w:bookmarkEnd w:id="40"/>
      <w:bookmarkEnd w:id="41"/>
    </w:p>
    <w:p>
      <w:pPr>
        <w:spacing w:line="600" w:lineRule="exact"/>
        <w:ind w:firstLine="643" w:firstLineChars="200"/>
        <w:outlineLvl w:val="2"/>
        <w:rPr>
          <w:rFonts w:ascii="仿宋" w:hAnsi="仿宋" w:eastAsia="仿宋"/>
          <w:b/>
          <w:sz w:val="32"/>
          <w:szCs w:val="32"/>
        </w:rPr>
      </w:pPr>
      <w:bookmarkStart w:id="42" w:name="_Toc147736298"/>
      <w:bookmarkStart w:id="43" w:name="_Toc15377210"/>
      <w:r>
        <w:rPr>
          <w:rFonts w:hint="eastAsia" w:ascii="仿宋" w:hAnsi="仿宋" w:eastAsia="仿宋"/>
          <w:b/>
          <w:sz w:val="32"/>
          <w:szCs w:val="32"/>
        </w:rPr>
        <w:t>（一）一般公共预算财政拨款支出决算总体情况</w:t>
      </w:r>
      <w:bookmarkEnd w:id="42"/>
      <w:bookmarkEnd w:id="43"/>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22年一般公共预算财政拨款支出5043.4万元，占本年支出合计的100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21年相比，一般公共预算财政拨款支出增加1579.88万元，增长46</w:t>
      </w:r>
      <w:r>
        <w:rPr>
          <w:rFonts w:ascii="仿宋" w:hAnsi="仿宋" w:eastAsia="仿宋"/>
          <w:sz w:val="32"/>
          <w:szCs w:val="32"/>
        </w:rPr>
        <w:t>%</w:t>
      </w:r>
      <w:r>
        <w:rPr>
          <w:rFonts w:hint="eastAsia" w:ascii="仿宋" w:hAnsi="仿宋" w:eastAsia="仿宋"/>
          <w:sz w:val="32"/>
          <w:szCs w:val="32"/>
        </w:rPr>
        <w:t>。主要变动原因是财政拨款收入增加。</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pStyle w:val="2"/>
        <w:spacing w:before="93"/>
      </w:pPr>
      <w:r>
        <w:drawing>
          <wp:inline distT="0" distB="0" distL="0" distR="0">
            <wp:extent cx="4572000" cy="2743200"/>
            <wp:effectExtent l="19050" t="0" r="19050" b="0"/>
            <wp:docPr id="1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2"/>
        <w:spacing w:before="93"/>
      </w:pPr>
    </w:p>
    <w:p>
      <w:pPr>
        <w:spacing w:line="600" w:lineRule="exact"/>
        <w:ind w:firstLine="643" w:firstLineChars="200"/>
        <w:outlineLvl w:val="2"/>
        <w:rPr>
          <w:rFonts w:ascii="仿宋" w:hAnsi="仿宋" w:eastAsia="仿宋"/>
          <w:b/>
          <w:sz w:val="32"/>
          <w:szCs w:val="32"/>
        </w:rPr>
      </w:pPr>
      <w:bookmarkStart w:id="44" w:name="_Toc147736299"/>
      <w:bookmarkStart w:id="45" w:name="_Toc15377211"/>
      <w:r>
        <w:rPr>
          <w:rFonts w:hint="eastAsia" w:ascii="仿宋" w:hAnsi="仿宋" w:eastAsia="仿宋"/>
          <w:b/>
          <w:sz w:val="32"/>
          <w:szCs w:val="32"/>
        </w:rPr>
        <w:t>（二）一般公共预算财政拨款支出决算结构情况</w:t>
      </w:r>
      <w:bookmarkEnd w:id="44"/>
      <w:bookmarkEnd w:id="45"/>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22年一般公共预算财政拨款支出5043.4万元，主要用于以下方面</w:t>
      </w:r>
      <w:r>
        <w:rPr>
          <w:rFonts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rPr>
        <w:t>4052.19万元，占80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815.09万元，占16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43.68万元，占1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132.44万元，占3</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pStyle w:val="2"/>
        <w:spacing w:before="93"/>
      </w:pPr>
    </w:p>
    <w:p>
      <w:pPr>
        <w:pStyle w:val="2"/>
        <w:spacing w:before="93"/>
      </w:pPr>
      <w:r>
        <w:drawing>
          <wp:inline distT="0" distB="0" distL="0" distR="0">
            <wp:extent cx="4587240" cy="3030855"/>
            <wp:effectExtent l="19050" t="0" r="22860" b="0"/>
            <wp:docPr id="12" name="图表 3" descr="7b0a202020202263686172745265734964223a20223230343731343839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
        <w:spacing w:before="93"/>
      </w:pPr>
    </w:p>
    <w:p>
      <w:pPr>
        <w:pStyle w:val="2"/>
        <w:spacing w:before="93"/>
      </w:pP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46" w:name="_Toc147736300"/>
      <w:bookmarkStart w:id="47" w:name="_Toc15377212"/>
      <w:r>
        <w:rPr>
          <w:rFonts w:hint="eastAsia" w:ascii="仿宋" w:hAnsi="仿宋" w:eastAsia="仿宋"/>
          <w:b/>
          <w:sz w:val="32"/>
          <w:szCs w:val="32"/>
        </w:rPr>
        <w:t>（三）一般公共预算财政拨款支出决算具体情况</w:t>
      </w:r>
      <w:bookmarkEnd w:id="46"/>
      <w:bookmarkEnd w:id="47"/>
    </w:p>
    <w:p>
      <w:pPr>
        <w:spacing w:line="600" w:lineRule="exact"/>
        <w:ind w:firstLine="643" w:firstLineChars="200"/>
        <w:outlineLvl w:val="2"/>
        <w:rPr>
          <w:rFonts w:ascii="仿宋" w:hAnsi="仿宋" w:eastAsia="仿宋"/>
          <w:sz w:val="32"/>
          <w:szCs w:val="32"/>
        </w:rPr>
      </w:pPr>
      <w:bookmarkStart w:id="48" w:name="_Toc15377444"/>
      <w:bookmarkStart w:id="49" w:name="_Toc15378460"/>
      <w:bookmarkStart w:id="50" w:name="_Toc15377213"/>
      <w:bookmarkStart w:id="51" w:name="_Toc147736301"/>
      <w:r>
        <w:rPr>
          <w:rFonts w:hint="eastAsia" w:ascii="仿宋" w:hAnsi="仿宋" w:eastAsia="仿宋"/>
          <w:b/>
          <w:sz w:val="32"/>
          <w:szCs w:val="32"/>
        </w:rPr>
        <w:t>2022年一般公共预算支出决算数为</w:t>
      </w:r>
      <w:r>
        <w:rPr>
          <w:rFonts w:hint="eastAsia" w:ascii="仿宋" w:hAnsi="仿宋" w:eastAsia="仿宋"/>
          <w:sz w:val="32"/>
          <w:szCs w:val="32"/>
        </w:rPr>
        <w:t>5043.4万元，</w:t>
      </w:r>
      <w:r>
        <w:rPr>
          <w:rStyle w:val="14"/>
          <w:rFonts w:hint="eastAsia" w:ascii="仿宋" w:hAnsi="仿宋" w:eastAsia="仿宋"/>
          <w:bCs/>
          <w:sz w:val="32"/>
          <w:szCs w:val="32"/>
        </w:rPr>
        <w:t>完成预算100</w:t>
      </w:r>
      <w:r>
        <w:rPr>
          <w:rStyle w:val="14"/>
          <w:rFonts w:ascii="仿宋" w:hAnsi="仿宋" w:eastAsia="仿宋"/>
          <w:bCs/>
          <w:sz w:val="32"/>
          <w:szCs w:val="32"/>
        </w:rPr>
        <w:t>%</w:t>
      </w:r>
      <w:r>
        <w:rPr>
          <w:rStyle w:val="14"/>
          <w:rFonts w:hint="eastAsia" w:ascii="仿宋" w:hAnsi="仿宋" w:eastAsia="仿宋"/>
          <w:bCs/>
          <w:sz w:val="32"/>
          <w:szCs w:val="32"/>
        </w:rPr>
        <w:t>。其中：</w:t>
      </w:r>
      <w:bookmarkEnd w:id="48"/>
      <w:bookmarkEnd w:id="49"/>
      <w:bookmarkEnd w:id="50"/>
      <w:bookmarkEnd w:id="51"/>
    </w:p>
    <w:p>
      <w:p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bCs/>
          <w:sz w:val="32"/>
          <w:szCs w:val="32"/>
        </w:rPr>
        <w:t>1</w:t>
      </w:r>
      <w:r>
        <w:rPr>
          <w:rStyle w:val="14"/>
          <w:rFonts w:ascii="仿宋" w:hAnsi="仿宋" w:eastAsia="仿宋"/>
          <w:bCs/>
          <w:sz w:val="32"/>
          <w:szCs w:val="32"/>
        </w:rPr>
        <w:t>.</w:t>
      </w:r>
      <w:r>
        <w:rPr>
          <w:rStyle w:val="14"/>
          <w:rFonts w:hint="eastAsia" w:ascii="仿宋" w:hAnsi="仿宋" w:eastAsia="仿宋"/>
          <w:bCs/>
          <w:color w:val="000000"/>
          <w:sz w:val="32"/>
          <w:szCs w:val="32"/>
        </w:rPr>
        <w:t xml:space="preserve"> 教育支出（类）普通教育（款）小学教育（项）</w:t>
      </w:r>
      <w:r>
        <w:rPr>
          <w:rStyle w:val="14"/>
          <w:rFonts w:ascii="仿宋" w:hAnsi="仿宋" w:eastAsia="仿宋"/>
          <w:bCs/>
          <w:sz w:val="32"/>
          <w:szCs w:val="32"/>
        </w:rPr>
        <w:t>:</w:t>
      </w:r>
      <w:r>
        <w:rPr>
          <w:rStyle w:val="14"/>
          <w:rFonts w:hint="eastAsia" w:ascii="仿宋" w:hAnsi="仿宋" w:eastAsia="仿宋"/>
          <w:b w:val="0"/>
          <w:bCs/>
          <w:sz w:val="32"/>
          <w:szCs w:val="32"/>
        </w:rPr>
        <w:t>支出决算为4052.19万元，完成预算100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420" w:firstLineChars="200"/>
        <w:rPr>
          <w:rFonts w:ascii="仿宋" w:hAnsi="仿宋" w:eastAsia="仿宋"/>
          <w:b/>
          <w:sz w:val="32"/>
          <w:szCs w:val="32"/>
        </w:rPr>
      </w:pPr>
      <w:r>
        <w:rPr>
          <w:rFonts w:hint="eastAsia"/>
        </w:rPr>
        <w:t xml:space="preserve">   </w:t>
      </w:r>
      <w:r>
        <w:rPr>
          <w:rStyle w:val="14"/>
          <w:rFonts w:ascii="仿宋" w:hAnsi="仿宋" w:eastAsia="仿宋"/>
          <w:bCs/>
          <w:sz w:val="32"/>
          <w:szCs w:val="32"/>
        </w:rPr>
        <w:t>2.</w:t>
      </w:r>
      <w:r>
        <w:rPr>
          <w:rStyle w:val="14"/>
          <w:rFonts w:hint="eastAsia" w:ascii="仿宋" w:hAnsi="仿宋" w:eastAsia="仿宋"/>
          <w:bCs/>
          <w:sz w:val="32"/>
          <w:szCs w:val="32"/>
        </w:rPr>
        <w:t>社会保障和就业支出（类）行政事业单位养老支出（款）事业单位离退休（项）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Fonts w:hint="eastAsia" w:ascii="仿宋_GB2312" w:hAnsi="仿宋_GB2312" w:eastAsia="仿宋_GB2312" w:cs="仿宋_GB2312"/>
          <w:b/>
          <w:color w:val="000000"/>
          <w:sz w:val="32"/>
          <w:szCs w:val="32"/>
        </w:rPr>
        <w:t>2.04</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Style w:val="14"/>
          <w:rFonts w:ascii="仿宋" w:hAnsi="仿宋" w:eastAsia="仿宋"/>
          <w:b w:val="0"/>
          <w:bCs/>
          <w:sz w:val="32"/>
          <w:szCs w:val="32"/>
        </w:rPr>
      </w:pPr>
      <w:r>
        <w:rPr>
          <w:rStyle w:val="14"/>
          <w:rFonts w:ascii="仿宋" w:hAnsi="仿宋" w:eastAsia="仿宋"/>
          <w:bCs/>
          <w:sz w:val="32"/>
          <w:szCs w:val="32"/>
        </w:rPr>
        <w:t>3.</w:t>
      </w:r>
      <w:r>
        <w:rPr>
          <w:rStyle w:val="14"/>
          <w:rFonts w:hint="eastAsia" w:ascii="仿宋" w:hAnsi="仿宋" w:eastAsia="仿宋"/>
          <w:bCs/>
          <w:sz w:val="32"/>
          <w:szCs w:val="32"/>
        </w:rPr>
        <w:t>社会保障和就业支出（类）行政事业单位养老支出（款）机关事业单位基本养老保险缴费支出（项）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Fonts w:hint="eastAsia" w:ascii="仿宋_GB2312" w:hAnsi="仿宋_GB2312" w:eastAsia="仿宋_GB2312" w:cs="仿宋_GB2312"/>
          <w:b/>
          <w:color w:val="000000"/>
          <w:sz w:val="32"/>
          <w:szCs w:val="32"/>
        </w:rPr>
        <w:t>192.56</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bCs/>
          <w:sz w:val="32"/>
          <w:szCs w:val="32"/>
        </w:rPr>
      </w:pPr>
      <w:r>
        <w:rPr>
          <w:rStyle w:val="14"/>
          <w:rFonts w:ascii="仿宋" w:hAnsi="仿宋" w:eastAsia="仿宋"/>
          <w:bCs/>
          <w:sz w:val="32"/>
          <w:szCs w:val="32"/>
        </w:rPr>
        <w:t>4.</w:t>
      </w:r>
      <w:r>
        <w:rPr>
          <w:rStyle w:val="14"/>
          <w:rFonts w:hint="eastAsia" w:ascii="仿宋" w:hAnsi="仿宋" w:eastAsia="仿宋"/>
          <w:bCs/>
          <w:sz w:val="32"/>
          <w:szCs w:val="32"/>
        </w:rPr>
        <w:t>社会保障和就业支出（类）行政事业单位养老支出（款）机关事业单位职业年金缴费支出（项）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Fonts w:hint="eastAsia" w:ascii="仿宋_GB2312" w:hAnsi="仿宋_GB2312" w:eastAsia="仿宋_GB2312" w:cs="仿宋_GB2312"/>
          <w:b/>
          <w:color w:val="000000"/>
          <w:sz w:val="32"/>
          <w:szCs w:val="32"/>
        </w:rPr>
        <w:t>603.78</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Cs/>
          <w:sz w:val="32"/>
          <w:szCs w:val="32"/>
        </w:rPr>
      </w:pPr>
      <w:r>
        <w:rPr>
          <w:rStyle w:val="14"/>
          <w:rFonts w:hint="eastAsia" w:ascii="仿宋" w:hAnsi="仿宋" w:eastAsia="仿宋"/>
          <w:bCs/>
          <w:sz w:val="32"/>
          <w:szCs w:val="32"/>
        </w:rPr>
        <w:t>5</w:t>
      </w:r>
      <w:r>
        <w:rPr>
          <w:rStyle w:val="14"/>
          <w:rFonts w:ascii="仿宋" w:hAnsi="仿宋" w:eastAsia="仿宋"/>
          <w:bCs/>
          <w:sz w:val="32"/>
          <w:szCs w:val="32"/>
        </w:rPr>
        <w:t>.</w:t>
      </w:r>
      <w:r>
        <w:rPr>
          <w:rStyle w:val="14"/>
          <w:rFonts w:hint="eastAsia" w:ascii="仿宋" w:hAnsi="仿宋" w:eastAsia="仿宋"/>
          <w:bCs/>
          <w:sz w:val="32"/>
          <w:szCs w:val="32"/>
        </w:rPr>
        <w:t>社会保障和就业支出（类）行政事业单位养老支出（款）其他社会保障和就业支出（项）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Fonts w:hint="eastAsia" w:ascii="仿宋_GB2312" w:hAnsi="仿宋_GB2312" w:eastAsia="仿宋_GB2312" w:cs="仿宋_GB2312"/>
          <w:b/>
          <w:color w:val="000000"/>
          <w:sz w:val="32"/>
          <w:szCs w:val="32"/>
        </w:rPr>
        <w:t>16.7</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color w:val="000000"/>
          <w:sz w:val="32"/>
          <w:szCs w:val="32"/>
        </w:rPr>
        <w:t>6</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卫生健康支出（类）行政事业单位医疗（款）事业单位医疗（项）</w:t>
      </w:r>
      <w:r>
        <w:rPr>
          <w:rStyle w:val="14"/>
          <w:rFonts w:ascii="仿宋" w:hAnsi="仿宋" w:eastAsia="仿宋"/>
          <w:bCs/>
          <w:sz w:val="32"/>
          <w:szCs w:val="32"/>
        </w:rPr>
        <w:t>:</w:t>
      </w:r>
      <w:r>
        <w:rPr>
          <w:rStyle w:val="14"/>
          <w:rFonts w:hint="eastAsia" w:ascii="仿宋" w:hAnsi="仿宋" w:eastAsia="仿宋"/>
          <w:b w:val="0"/>
          <w:bCs/>
          <w:sz w:val="32"/>
          <w:szCs w:val="32"/>
        </w:rPr>
        <w:t>支出决算为43.69万元，完成预算100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bCs/>
          <w:color w:val="000000"/>
          <w:sz w:val="32"/>
          <w:szCs w:val="32"/>
        </w:rPr>
      </w:pPr>
      <w:r>
        <w:rPr>
          <w:rStyle w:val="14"/>
          <w:rFonts w:hint="eastAsia" w:ascii="仿宋" w:hAnsi="仿宋" w:eastAsia="仿宋"/>
          <w:bCs/>
          <w:color w:val="000000"/>
          <w:sz w:val="32"/>
          <w:szCs w:val="32"/>
        </w:rPr>
        <w:t>7</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住房保障支出（类）住房改革支出（款）住房公积金（项）</w:t>
      </w:r>
      <w:r>
        <w:rPr>
          <w:rStyle w:val="14"/>
          <w:rFonts w:ascii="仿宋" w:hAnsi="仿宋" w:eastAsia="仿宋"/>
          <w:b w:val="0"/>
          <w:bCs/>
          <w:color w:val="000000"/>
          <w:sz w:val="32"/>
          <w:szCs w:val="32"/>
        </w:rPr>
        <w:t>:</w:t>
      </w:r>
      <w:r>
        <w:rPr>
          <w:rStyle w:val="14"/>
          <w:rFonts w:hint="eastAsia" w:ascii="仿宋" w:hAnsi="仿宋" w:eastAsia="仿宋"/>
          <w:bCs/>
          <w:color w:val="000000"/>
          <w:sz w:val="32"/>
          <w:szCs w:val="32"/>
        </w:rPr>
        <w:t>支出决算为</w:t>
      </w:r>
      <w:r>
        <w:rPr>
          <w:rFonts w:hint="eastAsia" w:ascii="仿宋" w:hAnsi="仿宋" w:eastAsia="仿宋"/>
          <w:bCs/>
          <w:color w:val="000000"/>
          <w:sz w:val="32"/>
          <w:szCs w:val="32"/>
        </w:rPr>
        <w:t>132.44</w:t>
      </w:r>
      <w:r>
        <w:rPr>
          <w:rStyle w:val="14"/>
          <w:rFonts w:hint="eastAsia" w:ascii="仿宋" w:hAnsi="仿宋" w:eastAsia="仿宋"/>
          <w:bCs/>
          <w:color w:val="000000"/>
          <w:sz w:val="32"/>
          <w:szCs w:val="32"/>
        </w:rPr>
        <w:t>万元，完成预算100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w:t>
      </w:r>
    </w:p>
    <w:p>
      <w:pPr>
        <w:pStyle w:val="2"/>
        <w:spacing w:before="93"/>
        <w:ind w:firstLine="588" w:firstLineChars="196"/>
      </w:pPr>
    </w:p>
    <w:p>
      <w:pPr>
        <w:spacing w:line="600" w:lineRule="exact"/>
        <w:ind w:firstLine="640"/>
        <w:rPr>
          <w:rFonts w:ascii="仿宋" w:hAnsi="仿宋" w:eastAsia="仿宋"/>
          <w:b/>
          <w:sz w:val="32"/>
          <w:szCs w:val="32"/>
        </w:rPr>
      </w:pPr>
    </w:p>
    <w:p>
      <w:pPr>
        <w:tabs>
          <w:tab w:val="right" w:pos="8306"/>
        </w:tabs>
        <w:spacing w:line="600" w:lineRule="exact"/>
        <w:ind w:firstLine="640"/>
        <w:outlineLvl w:val="1"/>
        <w:rPr>
          <w:rStyle w:val="25"/>
        </w:rPr>
      </w:pPr>
      <w:bookmarkStart w:id="52" w:name="_Toc15396608"/>
      <w:bookmarkStart w:id="53" w:name="_Toc15377214"/>
      <w:bookmarkStart w:id="54" w:name="_Toc147736302"/>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52"/>
      <w:bookmarkEnd w:id="53"/>
      <w:bookmarkEnd w:id="54"/>
      <w:r>
        <w:rPr>
          <w:rStyle w:val="25"/>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22年一般公共预算财政拨款基本支出2288.55万元，其中：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2094.98万元，主要包括：基本工资、津贴补贴、绩效工资、机关事业单位基本养老保险缴费、职业年金缴费、其他社会保障缴费、其他工资福利支出、生活补助、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193.57万元，主要包括：办公费、印刷费、咨询费、手续费、水费、电费、邮电费、取暖费、物业管理费、差旅费、维修（护）费、会议费、劳务费、、工会经费、福利费、其他交通费、其他商品和服务支出、办公设备购置等。</w:t>
      </w:r>
    </w:p>
    <w:p>
      <w:pPr>
        <w:spacing w:line="600" w:lineRule="exact"/>
        <w:ind w:firstLine="640"/>
        <w:rPr>
          <w:rFonts w:ascii="仿宋" w:hAnsi="仿宋" w:eastAsia="仿宋"/>
          <w:b/>
          <w:sz w:val="32"/>
          <w:szCs w:val="32"/>
        </w:rPr>
      </w:pPr>
    </w:p>
    <w:p>
      <w:pPr>
        <w:spacing w:line="600" w:lineRule="exact"/>
        <w:ind w:firstLine="640"/>
        <w:outlineLvl w:val="1"/>
        <w:rPr>
          <w:rStyle w:val="25"/>
          <w:rFonts w:ascii="黑体" w:hAnsi="黑体" w:eastAsia="黑体"/>
          <w:b w:val="0"/>
        </w:rPr>
      </w:pPr>
      <w:bookmarkStart w:id="55" w:name="_Toc147736303"/>
      <w:bookmarkStart w:id="56" w:name="_Toc15396609"/>
      <w:bookmarkStart w:id="57" w:name="_Toc15377215"/>
      <w:r>
        <w:rPr>
          <w:rFonts w:hint="eastAsia" w:ascii="黑体" w:eastAsia="黑体"/>
          <w:sz w:val="32"/>
          <w:szCs w:val="32"/>
        </w:rPr>
        <w:t>七、</w:t>
      </w:r>
      <w:r>
        <w:rPr>
          <w:rStyle w:val="25"/>
          <w:rFonts w:hint="eastAsia" w:ascii="黑体" w:hAnsi="黑体" w:eastAsia="黑体"/>
          <w:b w:val="0"/>
        </w:rPr>
        <w:t>财政拨款</w:t>
      </w:r>
      <w:r>
        <w:rPr>
          <w:rStyle w:val="25"/>
          <w:rFonts w:hint="eastAsia" w:ascii="黑体" w:hAnsi="黑体" w:eastAsia="黑体"/>
        </w:rPr>
        <w:t>“</w:t>
      </w:r>
      <w:r>
        <w:rPr>
          <w:rStyle w:val="25"/>
          <w:rFonts w:hint="eastAsia" w:ascii="黑体" w:hAnsi="黑体" w:eastAsia="黑体"/>
          <w:b w:val="0"/>
        </w:rPr>
        <w:t>三公”经费支出决算情况说明</w:t>
      </w:r>
      <w:bookmarkEnd w:id="55"/>
      <w:bookmarkEnd w:id="56"/>
      <w:bookmarkEnd w:id="57"/>
    </w:p>
    <w:p>
      <w:pPr>
        <w:spacing w:line="600" w:lineRule="exact"/>
        <w:ind w:firstLine="640"/>
        <w:outlineLvl w:val="2"/>
        <w:rPr>
          <w:rFonts w:ascii="仿宋" w:hAnsi="仿宋" w:eastAsia="仿宋"/>
          <w:b/>
          <w:sz w:val="32"/>
          <w:szCs w:val="32"/>
        </w:rPr>
      </w:pPr>
      <w:bookmarkStart w:id="58" w:name="_Toc15377216"/>
      <w:bookmarkStart w:id="59" w:name="_Toc147736304"/>
      <w:r>
        <w:rPr>
          <w:rFonts w:hint="eastAsia" w:ascii="仿宋" w:hAnsi="仿宋" w:eastAsia="仿宋"/>
          <w:b/>
          <w:sz w:val="32"/>
          <w:szCs w:val="32"/>
        </w:rPr>
        <w:t>（一）“三公”经费财政拨款支出决算总体情况说明</w:t>
      </w:r>
      <w:bookmarkEnd w:id="58"/>
      <w:bookmarkEnd w:id="5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22年“三公”经费财政拨款支出决算为0万元，完成预算0</w:t>
      </w:r>
      <w:r>
        <w:rPr>
          <w:rFonts w:ascii="仿宋" w:hAnsi="仿宋" w:eastAsia="仿宋"/>
          <w:sz w:val="32"/>
          <w:szCs w:val="32"/>
        </w:rPr>
        <w:t>%</w:t>
      </w:r>
      <w:r>
        <w:rPr>
          <w:rFonts w:hint="eastAsia" w:ascii="仿宋" w:hAnsi="仿宋" w:eastAsia="仿宋"/>
          <w:sz w:val="32"/>
          <w:szCs w:val="32"/>
        </w:rPr>
        <w:t>，较上年减少0.15万元，下降100%。决算数与预算数持平的主要原因是本年度无公务接待。</w:t>
      </w:r>
    </w:p>
    <w:p>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pPr>
        <w:spacing w:line="600" w:lineRule="exact"/>
        <w:ind w:firstLine="640"/>
        <w:outlineLvl w:val="2"/>
        <w:rPr>
          <w:rFonts w:ascii="仿宋" w:hAnsi="仿宋" w:eastAsia="仿宋"/>
          <w:b/>
          <w:sz w:val="32"/>
          <w:szCs w:val="32"/>
        </w:rPr>
      </w:pPr>
      <w:bookmarkStart w:id="60" w:name="_Toc147736305"/>
      <w:bookmarkStart w:id="61" w:name="_Toc15377217"/>
      <w:r>
        <w:rPr>
          <w:rFonts w:hint="eastAsia" w:ascii="仿宋" w:hAnsi="仿宋" w:eastAsia="仿宋"/>
          <w:b/>
          <w:sz w:val="32"/>
          <w:szCs w:val="32"/>
        </w:rPr>
        <w:t>（二）“三公”经费财政拨款支出决算具体情况说明</w:t>
      </w:r>
      <w:bookmarkEnd w:id="60"/>
      <w:bookmarkEnd w:id="61"/>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pStyle w:val="2"/>
        <w:spacing w:before="93"/>
      </w:pPr>
    </w:p>
    <w:p>
      <w:pPr>
        <w:pStyle w:val="2"/>
        <w:spacing w:before="93"/>
      </w:pPr>
      <w:r>
        <w:drawing>
          <wp:inline distT="0" distB="0" distL="0" distR="0">
            <wp:extent cx="3891915" cy="3030855"/>
            <wp:effectExtent l="19050" t="0" r="13335" b="0"/>
            <wp:docPr id="14" name="图表 6" descr="7b0a202020202263686172745265734964223a20223230343731343839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2"/>
        <w:spacing w:before="93"/>
      </w:pP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4"/>
          <w:rFonts w:hint="eastAsia" w:ascii="仿宋" w:hAnsi="仿宋" w:eastAsia="仿宋"/>
          <w:b w:val="0"/>
          <w:bCs/>
          <w:sz w:val="32"/>
          <w:szCs w:val="32"/>
        </w:rPr>
        <w:t>年初未安排预算。</w:t>
      </w:r>
      <w:r>
        <w:rPr>
          <w:rFonts w:hint="eastAsia" w:ascii="仿宋_GB2312" w:eastAsia="仿宋_GB2312"/>
          <w:sz w:val="32"/>
          <w:szCs w:val="32"/>
        </w:rPr>
        <w:t>因公出国（境）支出决算较2021年无变化。</w:t>
      </w:r>
    </w:p>
    <w:p>
      <w:pPr>
        <w:spacing w:line="600" w:lineRule="exact"/>
        <w:ind w:firstLine="640"/>
        <w:rPr>
          <w:rFonts w:ascii="仿宋" w:hAnsi="仿宋" w:eastAsia="仿宋"/>
          <w:color w:val="000000"/>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Fonts w:hint="eastAsia" w:ascii="仿宋" w:hAnsi="仿宋" w:eastAsia="仿宋"/>
          <w:color w:val="000000"/>
          <w:sz w:val="32"/>
          <w:szCs w:val="32"/>
        </w:rPr>
        <w:t xml:space="preserve"> 年初未安排预算。公务用车购置及运行维护费支出决算与2021年持平。主要原因是截止2022年12月31日，本单位无公务用车。</w:t>
      </w:r>
    </w:p>
    <w:p>
      <w:pPr>
        <w:pStyle w:val="2"/>
        <w:spacing w:before="93"/>
        <w:ind w:firstLine="630" w:firstLineChars="196"/>
      </w:pPr>
      <w:r>
        <w:rPr>
          <w:rFonts w:hint="eastAsia"/>
          <w:b/>
          <w:sz w:val="32"/>
          <w:szCs w:val="32"/>
        </w:rPr>
        <w:t>公务用车运行维护费支出</w:t>
      </w:r>
      <w:r>
        <w:rPr>
          <w:rFonts w:hint="eastAsia"/>
          <w:sz w:val="32"/>
          <w:szCs w:val="32"/>
        </w:rPr>
        <w:t>0万元。</w:t>
      </w:r>
    </w:p>
    <w:p>
      <w:pPr>
        <w:spacing w:line="600" w:lineRule="exact"/>
        <w:ind w:firstLine="640"/>
        <w:rPr>
          <w:rFonts w:hint="eastAsia" w:ascii="仿宋" w:hAnsi="仿宋" w:eastAsia="仿宋"/>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21年减少0.15万元，下降100</w:t>
      </w:r>
      <w:r>
        <w:rPr>
          <w:rFonts w:ascii="仿宋_GB2312" w:eastAsia="仿宋_GB2312"/>
          <w:sz w:val="32"/>
          <w:szCs w:val="32"/>
        </w:rPr>
        <w:t>%</w:t>
      </w:r>
      <w:r>
        <w:rPr>
          <w:rFonts w:hint="eastAsia" w:ascii="仿宋_GB2312" w:eastAsia="仿宋_GB2312"/>
          <w:sz w:val="32"/>
          <w:szCs w:val="32"/>
        </w:rPr>
        <w:t>。</w:t>
      </w:r>
      <w:r>
        <w:rPr>
          <w:rFonts w:hint="eastAsia" w:ascii="仿宋" w:hAnsi="仿宋" w:eastAsia="仿宋"/>
          <w:sz w:val="32"/>
          <w:szCs w:val="32"/>
        </w:rPr>
        <w:t>主要原因是本年度无公务接待。</w:t>
      </w:r>
    </w:p>
    <w:p>
      <w:pPr>
        <w:pStyle w:val="2"/>
        <w:spacing w:before="93"/>
      </w:pPr>
    </w:p>
    <w:p>
      <w:pPr>
        <w:spacing w:line="600" w:lineRule="exact"/>
        <w:ind w:firstLine="643" w:firstLineChars="200"/>
        <w:rPr>
          <w:rFonts w:hint="eastAsia"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bookmarkStart w:id="62" w:name="_Toc15377218"/>
      <w:bookmarkStart w:id="63" w:name="_Toc15396610"/>
    </w:p>
    <w:p>
      <w:pPr>
        <w:spacing w:line="600" w:lineRule="exact"/>
        <w:ind w:firstLine="640"/>
        <w:outlineLvl w:val="1"/>
        <w:rPr>
          <w:rStyle w:val="25"/>
          <w:rFonts w:ascii="黑体" w:hAnsi="黑体" w:eastAsia="黑体"/>
        </w:rPr>
      </w:pPr>
      <w:bookmarkStart w:id="64" w:name="_Toc147736306"/>
      <w:r>
        <w:rPr>
          <w:rFonts w:hint="eastAsia" w:ascii="黑体" w:eastAsia="黑体"/>
          <w:sz w:val="32"/>
          <w:szCs w:val="32"/>
        </w:rPr>
        <w:t>八、</w:t>
      </w:r>
      <w:r>
        <w:rPr>
          <w:rStyle w:val="25"/>
          <w:rFonts w:hint="eastAsia" w:ascii="黑体" w:hAnsi="黑体" w:eastAsia="黑体"/>
          <w:b w:val="0"/>
        </w:rPr>
        <w:t>政府性基金预算支出决算情况说明</w:t>
      </w:r>
      <w:bookmarkEnd w:id="62"/>
      <w:bookmarkEnd w:id="63"/>
      <w:bookmarkEnd w:id="64"/>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22年政府性基金预算财政拨款支出0万元。</w:t>
      </w:r>
    </w:p>
    <w:p>
      <w:pPr>
        <w:spacing w:line="600" w:lineRule="exact"/>
        <w:ind w:firstLine="640"/>
        <w:rPr>
          <w:rFonts w:ascii="仿宋_GB2312" w:eastAsia="仿宋_GB2312"/>
          <w:sz w:val="32"/>
          <w:szCs w:val="32"/>
        </w:rPr>
      </w:pPr>
    </w:p>
    <w:p>
      <w:pPr>
        <w:numPr>
          <w:ilvl w:val="0"/>
          <w:numId w:val="3"/>
        </w:numPr>
        <w:spacing w:line="600" w:lineRule="exact"/>
        <w:ind w:firstLine="640"/>
        <w:outlineLvl w:val="1"/>
        <w:rPr>
          <w:rStyle w:val="25"/>
          <w:rFonts w:ascii="黑体" w:hAnsi="黑体" w:eastAsia="黑体"/>
          <w:b w:val="0"/>
        </w:rPr>
      </w:pPr>
      <w:bookmarkStart w:id="65" w:name="_Toc15396611"/>
      <w:bookmarkStart w:id="66" w:name="_Toc15377219"/>
      <w:bookmarkStart w:id="67" w:name="_Toc147736307"/>
      <w:r>
        <w:rPr>
          <w:rStyle w:val="25"/>
          <w:rFonts w:hint="eastAsia" w:ascii="黑体" w:hAnsi="黑体" w:eastAsia="黑体"/>
          <w:b w:val="0"/>
        </w:rPr>
        <w:t>国有资本经营预算支出决算情况说明</w:t>
      </w:r>
      <w:bookmarkEnd w:id="65"/>
      <w:bookmarkEnd w:id="66"/>
      <w:bookmarkEnd w:id="67"/>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22年国有资本经营预算财政拨款支出0万元。</w:t>
      </w:r>
    </w:p>
    <w:p>
      <w:pPr>
        <w:spacing w:line="580" w:lineRule="exact"/>
        <w:jc w:val="center"/>
        <w:rPr>
          <w:rFonts w:ascii="方正小标宋简体" w:hAnsi="方正小标宋简体" w:eastAsia="方正小标宋简体" w:cs="方正小标宋简体"/>
          <w:sz w:val="44"/>
          <w:szCs w:val="44"/>
        </w:rPr>
      </w:pPr>
    </w:p>
    <w:p>
      <w:pPr>
        <w:numPr>
          <w:ilvl w:val="0"/>
          <w:numId w:val="3"/>
        </w:numPr>
        <w:spacing w:line="600" w:lineRule="exact"/>
        <w:ind w:firstLine="640"/>
        <w:outlineLvl w:val="1"/>
        <w:rPr>
          <w:rStyle w:val="25"/>
          <w:rFonts w:ascii="黑体" w:hAnsi="黑体" w:eastAsia="黑体"/>
          <w:b w:val="0"/>
        </w:rPr>
      </w:pPr>
      <w:bookmarkStart w:id="68" w:name="_Toc147736308"/>
      <w:bookmarkStart w:id="69" w:name="_Toc15396612"/>
      <w:bookmarkStart w:id="70" w:name="_Toc15377221"/>
      <w:r>
        <w:rPr>
          <w:rStyle w:val="25"/>
          <w:rFonts w:hint="eastAsia" w:ascii="黑体" w:hAnsi="黑体" w:eastAsia="黑体"/>
          <w:b w:val="0"/>
        </w:rPr>
        <w:t>其他重要事项的情况说明</w:t>
      </w:r>
      <w:bookmarkEnd w:id="68"/>
      <w:bookmarkEnd w:id="69"/>
      <w:bookmarkEnd w:id="70"/>
    </w:p>
    <w:p>
      <w:pPr>
        <w:spacing w:line="600" w:lineRule="exact"/>
        <w:ind w:firstLine="643" w:firstLineChars="200"/>
        <w:outlineLvl w:val="2"/>
        <w:rPr>
          <w:rFonts w:ascii="仿宋" w:hAnsi="仿宋" w:eastAsia="仿宋"/>
          <w:sz w:val="32"/>
          <w:szCs w:val="32"/>
        </w:rPr>
      </w:pPr>
      <w:bookmarkStart w:id="71" w:name="_Toc147736309"/>
      <w:bookmarkStart w:id="72" w:name="_Toc15377222"/>
      <w:r>
        <w:rPr>
          <w:rFonts w:hint="eastAsia" w:ascii="仿宋" w:hAnsi="仿宋" w:eastAsia="仿宋"/>
          <w:b/>
          <w:sz w:val="32"/>
          <w:szCs w:val="32"/>
        </w:rPr>
        <w:t>（一）机关运行经费支出情况</w:t>
      </w:r>
      <w:bookmarkEnd w:id="71"/>
      <w:bookmarkEnd w:id="72"/>
    </w:p>
    <w:p>
      <w:pPr>
        <w:pStyle w:val="2"/>
        <w:spacing w:before="93"/>
        <w:ind w:firstLine="627" w:firstLineChars="196"/>
      </w:pPr>
      <w:r>
        <w:rPr>
          <w:rFonts w:hint="eastAsia" w:ascii="仿宋" w:hAnsi="仿宋" w:eastAsia="仿宋" w:cs="仿宋"/>
          <w:sz w:val="32"/>
          <w:szCs w:val="32"/>
        </w:rPr>
        <w:t>2022年</w:t>
      </w:r>
      <w:r>
        <w:rPr>
          <w:rFonts w:hint="eastAsia" w:ascii="仿宋" w:hAnsi="仿宋" w:eastAsia="仿宋" w:cs="仿宋"/>
          <w:color w:val="000000"/>
          <w:sz w:val="32"/>
          <w:szCs w:val="32"/>
        </w:rPr>
        <w:t>未发生机关运行经费支出，与2021年决算数持平。</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3" w:name="_Toc147736310"/>
      <w:bookmarkStart w:id="74" w:name="_Toc15377223"/>
      <w:r>
        <w:rPr>
          <w:rFonts w:hint="eastAsia" w:ascii="仿宋" w:hAnsi="仿宋" w:eastAsia="仿宋"/>
          <w:b/>
          <w:sz w:val="32"/>
          <w:szCs w:val="32"/>
        </w:rPr>
        <w:t>（二）政府采购支出情况</w:t>
      </w:r>
      <w:bookmarkEnd w:id="73"/>
      <w:bookmarkEnd w:id="74"/>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22年，本单位政府采购支出总额25.11万元，其中：政府采购货物支出25.11万元。授予中小企业合同金额25.11万元，占政府采购支出总额的100</w:t>
      </w:r>
      <w:r>
        <w:rPr>
          <w:rFonts w:ascii="仿宋_GB2312" w:eastAsia="仿宋_GB2312"/>
          <w:sz w:val="32"/>
          <w:szCs w:val="32"/>
        </w:rPr>
        <w:t>%</w:t>
      </w:r>
      <w:r>
        <w:rPr>
          <w:rFonts w:hint="eastAsia" w:ascii="仿宋_GB2312" w:eastAsia="仿宋_GB2312"/>
          <w:sz w:val="32"/>
          <w:szCs w:val="32"/>
        </w:rPr>
        <w:t>，其中：授予小微企业合同金额25.11万元，占政府采购支出总额的100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5" w:name="_Toc147736311"/>
      <w:bookmarkStart w:id="76" w:name="_Toc15377224"/>
      <w:r>
        <w:rPr>
          <w:rFonts w:hint="eastAsia" w:ascii="仿宋" w:hAnsi="仿宋" w:eastAsia="仿宋"/>
          <w:b/>
          <w:sz w:val="32"/>
          <w:szCs w:val="32"/>
        </w:rPr>
        <w:t>（三）国有资产占有使用情况</w:t>
      </w:r>
      <w:bookmarkEnd w:id="75"/>
      <w:bookmarkEnd w:id="76"/>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日，广元市实验小学校共有车辆0辆，单价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7" w:name="_Toc147736312"/>
      <w:r>
        <w:rPr>
          <w:rFonts w:hint="eastAsia" w:ascii="仿宋" w:hAnsi="仿宋" w:eastAsia="仿宋"/>
          <w:b/>
          <w:sz w:val="32"/>
          <w:szCs w:val="32"/>
        </w:rPr>
        <w:t>（四）预算绩效管理情况</w:t>
      </w:r>
      <w:bookmarkEnd w:id="77"/>
    </w:p>
    <w:p>
      <w:pPr>
        <w:pStyle w:val="2"/>
        <w:spacing w:before="93"/>
        <w:ind w:firstLine="640" w:firstLineChars="200"/>
        <w:rPr>
          <w:highlight w:val="yellow"/>
        </w:rPr>
      </w:pPr>
      <w:r>
        <w:rPr>
          <w:rFonts w:hint="eastAsia" w:hAnsi="仿宋_GB2312" w:cs="仿宋_GB2312"/>
          <w:sz w:val="32"/>
          <w:szCs w:val="32"/>
        </w:rPr>
        <w:t>根据预算绩效管理要求，本单位在2022年度预算编制阶段，组织对中央薄弱环节改善与能力提升资金项目等23个项目开展了预算事前绩效评估，对23个项目编制了绩效目标，预算执行过程中，选取23个项目开展绩效监控，组织对23个项目开展绩效自评，绩效自评表详见第四部分附件。</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24"/>
          <w:rFonts w:ascii="黑体" w:hAnsi="黑体" w:eastAsia="黑体"/>
          <w:b w:val="0"/>
        </w:rPr>
      </w:pPr>
      <w:bookmarkStart w:id="78" w:name="_Toc15396613"/>
      <w:bookmarkStart w:id="79" w:name="_Toc15377225"/>
      <w:bookmarkStart w:id="80" w:name="_Toc147736313"/>
      <w:r>
        <w:rPr>
          <w:rFonts w:hint="eastAsia" w:ascii="黑体" w:hAnsi="黑体" w:eastAsia="黑体"/>
          <w:sz w:val="44"/>
          <w:szCs w:val="44"/>
        </w:rPr>
        <w:t>名</w:t>
      </w:r>
      <w:r>
        <w:rPr>
          <w:rStyle w:val="24"/>
          <w:rFonts w:hint="eastAsia" w:ascii="黑体" w:hAnsi="黑体" w:eastAsia="黑体"/>
          <w:b w:val="0"/>
        </w:rPr>
        <w:t>词解释</w:t>
      </w:r>
      <w:bookmarkEnd w:id="78"/>
      <w:bookmarkEnd w:id="79"/>
      <w:bookmarkEnd w:id="80"/>
    </w:p>
    <w:p>
      <w:pPr>
        <w:spacing w:line="600" w:lineRule="exact"/>
        <w:jc w:val="left"/>
        <w:rPr>
          <w:rFonts w:ascii="宋体"/>
          <w:b/>
          <w:sz w:val="44"/>
          <w:szCs w:val="44"/>
        </w:rPr>
      </w:pPr>
    </w:p>
    <w:p>
      <w:pPr>
        <w:pStyle w:val="22"/>
        <w:spacing w:line="560" w:lineRule="exact"/>
        <w:ind w:firstLine="640" w:firstLineChars="200"/>
        <w:rPr>
          <w:rFonts w:ascii="仿宋_GB2312" w:eastAsia="仿宋_GB2312"/>
          <w:color w:val="auto"/>
          <w:sz w:val="32"/>
          <w:szCs w:val="32"/>
        </w:rPr>
      </w:pPr>
      <w:bookmarkStart w:id="81" w:name="_Toc15396614"/>
      <w:bookmarkStart w:id="82" w:name="_Toc15377226"/>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sz w:val="32"/>
          <w:szCs w:val="32"/>
        </w:rPr>
        <w:t>教育支出（类）普通教育（款）小学教育（项）：指用于小学教育的支出。</w:t>
      </w:r>
    </w:p>
    <w:p>
      <w:pPr>
        <w:ind w:firstLine="640" w:firstLineChars="200"/>
        <w:rPr>
          <w:rFonts w:ascii="仿宋_GB2312" w:eastAsia="仿宋_GB2312"/>
          <w:color w:val="000000"/>
          <w:sz w:val="32"/>
          <w:szCs w:val="32"/>
        </w:rPr>
      </w:pPr>
      <w:r>
        <w:rPr>
          <w:rFonts w:ascii="仿宋_GB2312" w:eastAsia="仿宋_GB2312"/>
          <w:sz w:val="32"/>
          <w:szCs w:val="32"/>
        </w:rPr>
        <w:t>3.</w:t>
      </w:r>
      <w:r>
        <w:rPr>
          <w:rFonts w:hint="eastAsia" w:ascii="仿宋_GB2312" w:eastAsia="仿宋_GB2312"/>
          <w:color w:val="000000"/>
          <w:sz w:val="32"/>
          <w:szCs w:val="32"/>
        </w:rPr>
        <w:t>社会保障和就业支出（类）行政事业单位养老支出（款）事业单位离退休（项）：指用于单位离退休人员的支出。</w:t>
      </w:r>
    </w:p>
    <w:p>
      <w:pPr>
        <w:ind w:firstLine="640" w:firstLineChars="200"/>
        <w:rPr>
          <w:rFonts w:ascii="仿宋_GB2312" w:eastAsia="仿宋_GB2312"/>
          <w:color w:val="000000"/>
          <w:sz w:val="32"/>
          <w:szCs w:val="32"/>
        </w:rPr>
      </w:pPr>
      <w:r>
        <w:rPr>
          <w:rFonts w:ascii="仿宋_GB2312" w:eastAsia="仿宋_GB2312"/>
          <w:sz w:val="32"/>
          <w:szCs w:val="32"/>
        </w:rPr>
        <w:t>4.</w:t>
      </w:r>
      <w:r>
        <w:rPr>
          <w:rFonts w:hint="eastAsia" w:ascii="仿宋_GB2312" w:eastAsia="仿宋_GB2312"/>
          <w:color w:val="000000"/>
          <w:sz w:val="32"/>
          <w:szCs w:val="32"/>
        </w:rPr>
        <w:t>社会保障和就业支出（类）行政事业单位养老支出（款）机关事业单位基本养老保险缴费支出（项）：指用于实施养老保险制度由单位缴纳的基本养老保险费支出。</w:t>
      </w:r>
    </w:p>
    <w:p>
      <w:pPr>
        <w:ind w:firstLine="640" w:firstLineChars="200"/>
        <w:rPr>
          <w:rFonts w:ascii="仿宋_GB2312" w:eastAsia="仿宋_GB2312"/>
          <w:color w:val="FF0000"/>
          <w:sz w:val="32"/>
          <w:szCs w:val="32"/>
        </w:rPr>
      </w:pPr>
      <w:r>
        <w:rPr>
          <w:rFonts w:ascii="仿宋_GB2312" w:eastAsia="仿宋_GB2312"/>
          <w:sz w:val="32"/>
          <w:szCs w:val="32"/>
        </w:rPr>
        <w:t>5.</w:t>
      </w:r>
      <w:r>
        <w:rPr>
          <w:rFonts w:hint="eastAsia" w:ascii="仿宋_GB2312" w:eastAsia="仿宋_GB2312"/>
          <w:color w:val="000000"/>
          <w:sz w:val="32"/>
          <w:szCs w:val="32"/>
        </w:rPr>
        <w:t>社会保障和就业支出（类）行政事业单位养老支出（款）机关事业单位职业年金缴费支出（项）：指用于</w:t>
      </w:r>
      <w:r>
        <w:rPr>
          <w:rFonts w:hint="eastAsia" w:ascii="仿宋_GB2312" w:eastAsia="仿宋_GB2312"/>
          <w:sz w:val="32"/>
          <w:szCs w:val="32"/>
        </w:rPr>
        <w:t>单位职业年金</w:t>
      </w:r>
      <w:r>
        <w:rPr>
          <w:rFonts w:hint="eastAsia" w:ascii="仿宋_GB2312" w:eastAsia="仿宋_GB2312"/>
          <w:color w:val="000000"/>
          <w:sz w:val="32"/>
          <w:szCs w:val="32"/>
        </w:rPr>
        <w:t>缴费</w:t>
      </w:r>
      <w:r>
        <w:rPr>
          <w:rFonts w:hint="eastAsia" w:ascii="仿宋_GB2312" w:eastAsia="仿宋_GB2312"/>
          <w:sz w:val="32"/>
          <w:szCs w:val="32"/>
        </w:rPr>
        <w:t>。</w:t>
      </w:r>
    </w:p>
    <w:p>
      <w:pPr>
        <w:pStyle w:val="22"/>
        <w:spacing w:line="560" w:lineRule="exact"/>
        <w:ind w:firstLine="640" w:firstLineChars="200"/>
        <w:rPr>
          <w:rFonts w:ascii="仿宋_GB2312" w:eastAsia="仿宋_GB2312"/>
          <w:sz w:val="32"/>
          <w:szCs w:val="32"/>
        </w:rPr>
      </w:pPr>
      <w:r>
        <w:rPr>
          <w:rFonts w:ascii="仿宋_GB2312" w:eastAsia="仿宋_GB2312"/>
          <w:color w:val="auto"/>
          <w:sz w:val="32"/>
          <w:szCs w:val="32"/>
        </w:rPr>
        <w:t>6.</w:t>
      </w:r>
      <w:r>
        <w:rPr>
          <w:rFonts w:ascii="仿宋_GB2312" w:eastAsia="仿宋_GB2312"/>
          <w:sz w:val="32"/>
          <w:szCs w:val="32"/>
        </w:rPr>
        <w:t>社会保障和就业</w:t>
      </w:r>
      <w:r>
        <w:rPr>
          <w:rFonts w:hint="eastAsia" w:ascii="仿宋_GB2312" w:eastAsia="仿宋_GB2312"/>
          <w:sz w:val="32"/>
          <w:szCs w:val="32"/>
        </w:rPr>
        <w:t>支出</w:t>
      </w:r>
      <w:r>
        <w:rPr>
          <w:rFonts w:ascii="仿宋_GB2312" w:eastAsia="仿宋_GB2312"/>
          <w:sz w:val="32"/>
          <w:szCs w:val="32"/>
        </w:rPr>
        <w:t>（类）</w:t>
      </w:r>
      <w:r>
        <w:rPr>
          <w:rFonts w:hint="eastAsia" w:ascii="仿宋_GB2312" w:eastAsia="仿宋_GB2312"/>
          <w:sz w:val="32"/>
          <w:szCs w:val="32"/>
        </w:rPr>
        <w:t>其他</w:t>
      </w:r>
      <w:r>
        <w:rPr>
          <w:rFonts w:ascii="仿宋_GB2312" w:eastAsia="仿宋_GB2312"/>
          <w:sz w:val="32"/>
          <w:szCs w:val="32"/>
        </w:rPr>
        <w:t>社会保障和就业</w:t>
      </w:r>
      <w:r>
        <w:rPr>
          <w:rFonts w:hint="eastAsia" w:ascii="仿宋_GB2312" w:eastAsia="仿宋_GB2312"/>
          <w:sz w:val="32"/>
          <w:szCs w:val="32"/>
        </w:rPr>
        <w:t>支出</w:t>
      </w:r>
      <w:r>
        <w:rPr>
          <w:rFonts w:ascii="仿宋_GB2312" w:eastAsia="仿宋_GB2312"/>
          <w:sz w:val="32"/>
          <w:szCs w:val="32"/>
        </w:rPr>
        <w:t>（款）</w:t>
      </w:r>
      <w:r>
        <w:rPr>
          <w:rFonts w:hint="eastAsia" w:ascii="仿宋_GB2312" w:eastAsia="仿宋_GB2312"/>
          <w:sz w:val="32"/>
          <w:szCs w:val="32"/>
        </w:rPr>
        <w:t>其他</w:t>
      </w:r>
      <w:r>
        <w:rPr>
          <w:rFonts w:ascii="仿宋_GB2312" w:eastAsia="仿宋_GB2312"/>
          <w:sz w:val="32"/>
          <w:szCs w:val="32"/>
        </w:rPr>
        <w:t>社会保障和就业</w:t>
      </w:r>
      <w:r>
        <w:rPr>
          <w:rFonts w:hint="eastAsia" w:ascii="仿宋_GB2312" w:eastAsia="仿宋_GB2312"/>
          <w:sz w:val="32"/>
          <w:szCs w:val="32"/>
        </w:rPr>
        <w:t>支出</w:t>
      </w:r>
      <w:r>
        <w:rPr>
          <w:rFonts w:ascii="仿宋_GB2312" w:eastAsia="仿宋_GB2312"/>
          <w:sz w:val="32"/>
          <w:szCs w:val="32"/>
        </w:rPr>
        <w:t>（项）：</w:t>
      </w:r>
      <w:r>
        <w:rPr>
          <w:rFonts w:hint="eastAsia" w:ascii="仿宋_GB2312" w:eastAsia="仿宋_GB2312"/>
          <w:sz w:val="32"/>
          <w:szCs w:val="32"/>
        </w:rPr>
        <w:t>指事业单位其他社会保险缴费及离退休人员其他方面的支出。</w:t>
      </w:r>
    </w:p>
    <w:p>
      <w:pPr>
        <w:pStyle w:val="22"/>
        <w:spacing w:line="560" w:lineRule="exact"/>
        <w:ind w:firstLine="640" w:firstLineChars="200"/>
        <w:rPr>
          <w:rFonts w:ascii="仿宋_GB2312" w:eastAsia="仿宋_GB2312"/>
          <w:sz w:val="32"/>
          <w:szCs w:val="32"/>
        </w:rPr>
      </w:pPr>
      <w:r>
        <w:rPr>
          <w:rFonts w:ascii="仿宋_GB2312" w:eastAsia="仿宋_GB2312"/>
          <w:color w:val="auto"/>
          <w:sz w:val="32"/>
          <w:szCs w:val="32"/>
        </w:rPr>
        <w:t>7.</w:t>
      </w:r>
      <w:r>
        <w:rPr>
          <w:rFonts w:hint="eastAsia" w:ascii="仿宋_GB2312" w:eastAsia="仿宋_GB2312"/>
          <w:sz w:val="32"/>
          <w:szCs w:val="32"/>
        </w:rPr>
        <w:t>卫生健康支出（类）行政事业单位医疗（款）事业单位医疗（项）：指用于单位基本医疗保险缴费。</w:t>
      </w:r>
    </w:p>
    <w:p>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w:t>
      </w:r>
      <w:r>
        <w:rPr>
          <w:rFonts w:hint="eastAsia" w:ascii="仿宋_GB2312" w:eastAsia="仿宋_GB2312"/>
          <w:sz w:val="32"/>
          <w:szCs w:val="32"/>
        </w:rPr>
        <w:t>住房保障支出（类）住房改革支出（款）住房公积金（项）：指用于按规定的工资基数以及规定比例为职工缴纳的住房公积金。</w:t>
      </w:r>
    </w:p>
    <w:p>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项目支出：指在基本支出之外为完成特定行政任务和事业发展目标所发生的支出。</w:t>
      </w:r>
    </w:p>
    <w:p>
      <w:pPr>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11.</w:t>
      </w:r>
      <w:r>
        <w:rPr>
          <w:rFonts w:hint="eastAsia" w:ascii="仿宋_GB2312" w:eastAsia="仿宋_GB2312"/>
          <w:color w:val="000000" w:themeColor="text1"/>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ascii="仿宋_GB2312" w:eastAsia="仿宋_GB2312"/>
          <w:color w:val="000000" w:themeColor="text1"/>
          <w:sz w:val="32"/>
          <w:szCs w:val="32"/>
        </w:rPr>
      </w:pPr>
      <w:r>
        <w:rPr>
          <w:rFonts w:ascii="仿宋_GB2312" w:eastAsia="仿宋_GB2312"/>
          <w:color w:val="000000" w:themeColor="text1"/>
          <w:sz w:val="32"/>
          <w:szCs w:val="32"/>
        </w:rPr>
        <w:t>12.</w:t>
      </w:r>
      <w:r>
        <w:rPr>
          <w:rFonts w:hint="eastAsia" w:ascii="仿宋_GB2312" w:eastAsia="仿宋_GB2312"/>
          <w:color w:val="000000" w:themeColor="text1"/>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ascii="黑体" w:hAnsi="黑体" w:eastAsia="黑体"/>
          <w:color w:val="000000" w:themeColor="text1"/>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Style w:val="24"/>
          <w:rFonts w:ascii="黑体" w:hAnsi="黑体" w:eastAsia="黑体"/>
          <w:b w:val="0"/>
        </w:rPr>
      </w:pPr>
      <w:bookmarkStart w:id="83" w:name="_Toc147736314"/>
      <w:r>
        <w:rPr>
          <w:rFonts w:hint="eastAsia" w:ascii="黑体" w:hAnsi="黑体" w:eastAsia="黑体"/>
          <w:sz w:val="44"/>
          <w:szCs w:val="44"/>
        </w:rPr>
        <w:t>第</w:t>
      </w:r>
      <w:r>
        <w:rPr>
          <w:rStyle w:val="24"/>
          <w:rFonts w:hint="eastAsia" w:ascii="黑体" w:hAnsi="黑体" w:eastAsia="黑体"/>
          <w:b w:val="0"/>
        </w:rPr>
        <w:t>四部分 附件</w:t>
      </w:r>
      <w:bookmarkEnd w:id="81"/>
      <w:bookmarkEnd w:id="83"/>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ascii="宋体" w:hAnsi="宋体" w:cs="宋体"/>
          <w:kern w:val="0"/>
          <w:sz w:val="32"/>
          <w:szCs w:val="32"/>
        </w:rPr>
      </w:pPr>
      <w:bookmarkStart w:id="84" w:name="_Toc147736315"/>
      <w:bookmarkStart w:id="85" w:name="_Toc15396618"/>
      <w:r>
        <w:rPr>
          <w:rFonts w:hint="eastAsia" w:ascii="宋体" w:hAnsi="宋体" w:cs="宋体"/>
          <w:kern w:val="0"/>
          <w:sz w:val="32"/>
          <w:szCs w:val="32"/>
        </w:rPr>
        <w:t>广元市实验小学校2022年度预算项目支出绩效自评表</w:t>
      </w:r>
      <w:bookmarkEnd w:id="84"/>
      <w:r>
        <w:rPr>
          <w:rFonts w:hint="eastAsia" w:ascii="宋体" w:hAnsi="宋体" w:cs="宋体"/>
          <w:kern w:val="0"/>
          <w:sz w:val="32"/>
          <w:szCs w:val="32"/>
        </w:rPr>
        <w:t>。</w:t>
      </w:r>
    </w:p>
    <w:p>
      <w:pPr>
        <w:spacing w:line="600" w:lineRule="exact"/>
        <w:jc w:val="left"/>
        <w:outlineLvl w:val="0"/>
        <w:rPr>
          <w:rFonts w:ascii="仿宋_GB2312" w:hAnsi="Calibri" w:eastAsia="仿宋_GB2312" w:cs="仿宋"/>
          <w:kern w:val="0"/>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bookmarkStart w:id="113" w:name="_GoBack"/>
      <w:bookmarkEnd w:id="113"/>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spacing w:line="600" w:lineRule="exact"/>
        <w:jc w:val="center"/>
        <w:outlineLvl w:val="0"/>
        <w:rPr>
          <w:rFonts w:ascii="仿宋" w:hAnsi="仿宋" w:eastAsia="仿宋"/>
        </w:rPr>
      </w:pPr>
      <w:bookmarkStart w:id="86" w:name="_Toc147736317"/>
      <w:r>
        <w:rPr>
          <w:rFonts w:hint="eastAsia" w:ascii="黑体" w:hAnsi="黑体" w:eastAsia="黑体"/>
          <w:sz w:val="44"/>
          <w:szCs w:val="44"/>
        </w:rPr>
        <w:t>第</w:t>
      </w:r>
      <w:r>
        <w:rPr>
          <w:rStyle w:val="24"/>
          <w:rFonts w:hint="eastAsia" w:ascii="黑体" w:hAnsi="黑体" w:eastAsia="黑体"/>
          <w:b w:val="0"/>
        </w:rPr>
        <w:t>五部分 附表</w:t>
      </w:r>
      <w:bookmarkEnd w:id="82"/>
      <w:bookmarkEnd w:id="85"/>
      <w:bookmarkEnd w:id="86"/>
      <w:bookmarkStart w:id="87" w:name="_Toc15396619"/>
    </w:p>
    <w:p>
      <w:pPr>
        <w:pStyle w:val="4"/>
        <w:rPr>
          <w:rFonts w:ascii="仿宋" w:hAnsi="仿宋" w:eastAsia="仿宋"/>
        </w:rPr>
      </w:pPr>
      <w:bookmarkStart w:id="88" w:name="_Toc147736318"/>
      <w:r>
        <w:rPr>
          <w:rFonts w:hint="eastAsia" w:ascii="仿宋" w:hAnsi="仿宋" w:eastAsia="仿宋"/>
          <w:b w:val="0"/>
        </w:rPr>
        <w:t>一、收</w:t>
      </w:r>
      <w:r>
        <w:rPr>
          <w:rStyle w:val="25"/>
          <w:rFonts w:hint="eastAsia" w:ascii="仿宋" w:hAnsi="仿宋" w:eastAsia="仿宋"/>
          <w:b w:val="0"/>
          <w:bCs w:val="0"/>
        </w:rPr>
        <w:t>入支出决算总表</w:t>
      </w:r>
      <w:bookmarkEnd w:id="87"/>
      <w:bookmarkEnd w:id="88"/>
    </w:p>
    <w:p>
      <w:pPr>
        <w:pStyle w:val="4"/>
        <w:rPr>
          <w:rFonts w:ascii="仿宋" w:hAnsi="仿宋" w:eastAsia="仿宋"/>
        </w:rPr>
      </w:pPr>
      <w:bookmarkStart w:id="89" w:name="_Toc147736319"/>
      <w:bookmarkStart w:id="90" w:name="_Toc15396620"/>
      <w:r>
        <w:rPr>
          <w:rFonts w:hint="eastAsia" w:ascii="仿宋" w:hAnsi="仿宋" w:eastAsia="仿宋"/>
          <w:b w:val="0"/>
        </w:rPr>
        <w:t>二、收</w:t>
      </w:r>
      <w:r>
        <w:rPr>
          <w:rStyle w:val="25"/>
          <w:rFonts w:hint="eastAsia" w:ascii="仿宋" w:hAnsi="仿宋" w:eastAsia="仿宋"/>
          <w:b w:val="0"/>
          <w:bCs w:val="0"/>
        </w:rPr>
        <w:t>入决算表</w:t>
      </w:r>
      <w:bookmarkEnd w:id="89"/>
      <w:bookmarkEnd w:id="90"/>
    </w:p>
    <w:p>
      <w:pPr>
        <w:pStyle w:val="4"/>
        <w:rPr>
          <w:rFonts w:ascii="仿宋" w:hAnsi="仿宋" w:eastAsia="仿宋"/>
        </w:rPr>
      </w:pPr>
      <w:bookmarkStart w:id="91" w:name="_Toc147736320"/>
      <w:bookmarkStart w:id="92"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91"/>
      <w:bookmarkEnd w:id="92"/>
    </w:p>
    <w:p>
      <w:pPr>
        <w:pStyle w:val="4"/>
        <w:rPr>
          <w:rFonts w:ascii="仿宋" w:hAnsi="仿宋" w:eastAsia="仿宋"/>
          <w:b w:val="0"/>
        </w:rPr>
      </w:pPr>
      <w:bookmarkStart w:id="93" w:name="_Toc147736321"/>
      <w:bookmarkStart w:id="94" w:name="_Toc15396622"/>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93"/>
      <w:bookmarkEnd w:id="94"/>
    </w:p>
    <w:p>
      <w:pPr>
        <w:pStyle w:val="4"/>
        <w:rPr>
          <w:rStyle w:val="25"/>
          <w:rFonts w:ascii="仿宋" w:hAnsi="仿宋" w:eastAsia="仿宋"/>
          <w:b w:val="0"/>
          <w:bCs w:val="0"/>
        </w:rPr>
      </w:pPr>
      <w:bookmarkStart w:id="95" w:name="_Toc15396623"/>
      <w:bookmarkStart w:id="96" w:name="_Toc147736322"/>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95"/>
      <w:bookmarkEnd w:id="96"/>
      <w:bookmarkStart w:id="97" w:name="_Toc15396624"/>
    </w:p>
    <w:p>
      <w:pPr>
        <w:pStyle w:val="4"/>
        <w:rPr>
          <w:rFonts w:ascii="仿宋" w:hAnsi="仿宋" w:eastAsia="仿宋"/>
        </w:rPr>
      </w:pPr>
      <w:bookmarkStart w:id="98" w:name="_Toc147736323"/>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97"/>
      <w:bookmarkEnd w:id="98"/>
    </w:p>
    <w:p>
      <w:pPr>
        <w:pStyle w:val="4"/>
        <w:rPr>
          <w:rFonts w:ascii="仿宋" w:hAnsi="仿宋" w:eastAsia="仿宋"/>
        </w:rPr>
      </w:pPr>
      <w:bookmarkStart w:id="99" w:name="_Toc147736324"/>
      <w:bookmarkStart w:id="100"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99"/>
      <w:bookmarkEnd w:id="100"/>
    </w:p>
    <w:p>
      <w:pPr>
        <w:pStyle w:val="4"/>
        <w:rPr>
          <w:rFonts w:ascii="仿宋" w:hAnsi="仿宋" w:eastAsia="仿宋"/>
        </w:rPr>
      </w:pPr>
      <w:bookmarkStart w:id="101" w:name="_Toc15396626"/>
      <w:bookmarkStart w:id="102" w:name="_Toc147736325"/>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101"/>
      <w:bookmarkEnd w:id="102"/>
    </w:p>
    <w:p>
      <w:pPr>
        <w:pStyle w:val="4"/>
        <w:rPr>
          <w:rFonts w:ascii="仿宋" w:hAnsi="仿宋" w:eastAsia="仿宋"/>
        </w:rPr>
      </w:pPr>
      <w:bookmarkStart w:id="103" w:name="_Toc15396627"/>
      <w:bookmarkStart w:id="104" w:name="_Toc147736326"/>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103"/>
      <w:bookmarkEnd w:id="104"/>
    </w:p>
    <w:p>
      <w:pPr>
        <w:pStyle w:val="4"/>
        <w:rPr>
          <w:rFonts w:ascii="仿宋" w:hAnsi="仿宋" w:eastAsia="仿宋"/>
        </w:rPr>
      </w:pPr>
      <w:bookmarkStart w:id="105" w:name="_Toc15396628"/>
      <w:bookmarkStart w:id="106" w:name="_Toc147736327"/>
      <w:r>
        <w:rPr>
          <w:rStyle w:val="25"/>
          <w:rFonts w:hint="eastAsia" w:ascii="仿宋" w:hAnsi="仿宋" w:eastAsia="仿宋"/>
          <w:b w:val="0"/>
          <w:bCs w:val="0"/>
        </w:rPr>
        <w:t>十、</w:t>
      </w:r>
      <w:bookmarkEnd w:id="105"/>
      <w:r>
        <w:rPr>
          <w:rFonts w:hint="eastAsia" w:ascii="仿宋" w:hAnsi="仿宋" w:eastAsia="仿宋"/>
          <w:b w:val="0"/>
        </w:rPr>
        <w:t>政</w:t>
      </w:r>
      <w:r>
        <w:rPr>
          <w:rStyle w:val="25"/>
          <w:rFonts w:hint="eastAsia" w:ascii="仿宋" w:hAnsi="仿宋" w:eastAsia="仿宋"/>
          <w:b w:val="0"/>
          <w:bCs w:val="0"/>
        </w:rPr>
        <w:t>府性基金预算财政拨款收入支出决算表</w:t>
      </w:r>
      <w:bookmarkEnd w:id="106"/>
    </w:p>
    <w:p>
      <w:pPr>
        <w:pStyle w:val="4"/>
        <w:rPr>
          <w:rFonts w:ascii="仿宋" w:hAnsi="仿宋" w:eastAsia="仿宋"/>
        </w:rPr>
      </w:pPr>
      <w:bookmarkStart w:id="107" w:name="_Toc15396629"/>
      <w:bookmarkStart w:id="108" w:name="_Toc147736328"/>
      <w:r>
        <w:rPr>
          <w:rStyle w:val="25"/>
          <w:rFonts w:hint="eastAsia" w:ascii="仿宋" w:hAnsi="仿宋" w:eastAsia="仿宋"/>
          <w:b w:val="0"/>
          <w:bCs w:val="0"/>
        </w:rPr>
        <w:t>十一、</w:t>
      </w:r>
      <w:bookmarkEnd w:id="107"/>
      <w:r>
        <w:rPr>
          <w:rFonts w:hint="eastAsia" w:ascii="仿宋" w:hAnsi="仿宋" w:eastAsia="仿宋"/>
          <w:b w:val="0"/>
        </w:rPr>
        <w:t>国</w:t>
      </w:r>
      <w:r>
        <w:rPr>
          <w:rStyle w:val="25"/>
          <w:rFonts w:hint="eastAsia" w:ascii="仿宋" w:hAnsi="仿宋" w:eastAsia="仿宋"/>
          <w:b w:val="0"/>
          <w:bCs w:val="0"/>
        </w:rPr>
        <w:t>有资本经营预算财政拨款收入支出决算表</w:t>
      </w:r>
      <w:bookmarkEnd w:id="108"/>
    </w:p>
    <w:p>
      <w:pPr>
        <w:pStyle w:val="4"/>
        <w:rPr>
          <w:rFonts w:ascii="仿宋" w:hAnsi="仿宋" w:eastAsia="仿宋"/>
        </w:rPr>
      </w:pPr>
      <w:bookmarkStart w:id="109" w:name="_Toc15396630"/>
      <w:bookmarkStart w:id="110" w:name="_Toc147736329"/>
      <w:r>
        <w:rPr>
          <w:rStyle w:val="25"/>
          <w:rFonts w:hint="eastAsia" w:ascii="仿宋" w:hAnsi="仿宋" w:eastAsia="仿宋"/>
          <w:b w:val="0"/>
          <w:bCs w:val="0"/>
        </w:rPr>
        <w:t>十二、</w:t>
      </w:r>
      <w:bookmarkEnd w:id="109"/>
      <w:r>
        <w:rPr>
          <w:rStyle w:val="25"/>
          <w:rFonts w:hint="eastAsia" w:ascii="仿宋" w:hAnsi="仿宋" w:eastAsia="仿宋"/>
          <w:b w:val="0"/>
          <w:bCs w:val="0"/>
        </w:rPr>
        <w:t>国有资本经营预算财政拨款支出决算表</w:t>
      </w:r>
      <w:bookmarkEnd w:id="110"/>
    </w:p>
    <w:p>
      <w:pPr>
        <w:pStyle w:val="4"/>
        <w:rPr>
          <w:rFonts w:eastAsia="仿宋"/>
        </w:rPr>
      </w:pPr>
      <w:bookmarkStart w:id="111" w:name="_Toc15396631"/>
      <w:bookmarkStart w:id="112" w:name="_Toc147736330"/>
      <w:r>
        <w:rPr>
          <w:rStyle w:val="25"/>
          <w:rFonts w:hint="eastAsia" w:ascii="仿宋" w:hAnsi="仿宋" w:eastAsia="仿宋"/>
          <w:b w:val="0"/>
          <w:bCs w:val="0"/>
        </w:rPr>
        <w:t>十三、</w:t>
      </w:r>
      <w:bookmarkEnd w:id="111"/>
      <w:r>
        <w:rPr>
          <w:rStyle w:val="25"/>
          <w:rFonts w:hint="eastAsia" w:ascii="仿宋" w:hAnsi="仿宋" w:eastAsia="仿宋"/>
          <w:b w:val="0"/>
          <w:bCs w:val="0"/>
        </w:rPr>
        <w:t>财政拨款“三公”经费支出决算表</w:t>
      </w:r>
      <w:bookmarkEnd w:id="112"/>
    </w:p>
    <w:sectPr>
      <w:type w:val="continuous"/>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60046"/>
      <w:docPartObj>
        <w:docPartGallery w:val="AutoText"/>
      </w:docPartObj>
    </w:sdtPr>
    <w:sdtContent>
      <w:p>
        <w:pPr>
          <w:pStyle w:val="8"/>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gwZjE2MDM5MWVmMzBhZGFmZGYwOTEzZDZiYWIyZmIifQ=="/>
  </w:docVars>
  <w:rsids>
    <w:rsidRoot w:val="00F1361C"/>
    <w:rsid w:val="000222C6"/>
    <w:rsid w:val="00022F67"/>
    <w:rsid w:val="0002549F"/>
    <w:rsid w:val="000468DB"/>
    <w:rsid w:val="00053B2E"/>
    <w:rsid w:val="0006487A"/>
    <w:rsid w:val="00065F8F"/>
    <w:rsid w:val="00070A43"/>
    <w:rsid w:val="000768F2"/>
    <w:rsid w:val="00084582"/>
    <w:rsid w:val="0009184B"/>
    <w:rsid w:val="00094089"/>
    <w:rsid w:val="00094236"/>
    <w:rsid w:val="0009593C"/>
    <w:rsid w:val="00097322"/>
    <w:rsid w:val="000A6A92"/>
    <w:rsid w:val="000B047F"/>
    <w:rsid w:val="000B5923"/>
    <w:rsid w:val="000B5A48"/>
    <w:rsid w:val="000B6FF3"/>
    <w:rsid w:val="000C3467"/>
    <w:rsid w:val="000C3CA6"/>
    <w:rsid w:val="000C4588"/>
    <w:rsid w:val="000D1267"/>
    <w:rsid w:val="000D1D50"/>
    <w:rsid w:val="000D5782"/>
    <w:rsid w:val="000E6613"/>
    <w:rsid w:val="000E7119"/>
    <w:rsid w:val="00114E9B"/>
    <w:rsid w:val="001242D2"/>
    <w:rsid w:val="00136ED1"/>
    <w:rsid w:val="00142216"/>
    <w:rsid w:val="00144B40"/>
    <w:rsid w:val="00144D6A"/>
    <w:rsid w:val="0014729F"/>
    <w:rsid w:val="00157BAB"/>
    <w:rsid w:val="001654D1"/>
    <w:rsid w:val="00171C3F"/>
    <w:rsid w:val="00174518"/>
    <w:rsid w:val="00180882"/>
    <w:rsid w:val="0018106D"/>
    <w:rsid w:val="001877A7"/>
    <w:rsid w:val="00191536"/>
    <w:rsid w:val="00196687"/>
    <w:rsid w:val="001967E3"/>
    <w:rsid w:val="001C0962"/>
    <w:rsid w:val="001D7531"/>
    <w:rsid w:val="001E737D"/>
    <w:rsid w:val="001F0592"/>
    <w:rsid w:val="001F7506"/>
    <w:rsid w:val="002006CD"/>
    <w:rsid w:val="00202B36"/>
    <w:rsid w:val="00204B7A"/>
    <w:rsid w:val="00204CDE"/>
    <w:rsid w:val="0021101A"/>
    <w:rsid w:val="00220536"/>
    <w:rsid w:val="00235629"/>
    <w:rsid w:val="00260C38"/>
    <w:rsid w:val="00261470"/>
    <w:rsid w:val="002616C0"/>
    <w:rsid w:val="00265372"/>
    <w:rsid w:val="002662AA"/>
    <w:rsid w:val="00280496"/>
    <w:rsid w:val="00294DC9"/>
    <w:rsid w:val="00295495"/>
    <w:rsid w:val="002A31DE"/>
    <w:rsid w:val="002B2613"/>
    <w:rsid w:val="002D6D05"/>
    <w:rsid w:val="002E1046"/>
    <w:rsid w:val="002E6A2F"/>
    <w:rsid w:val="002F1818"/>
    <w:rsid w:val="002F567B"/>
    <w:rsid w:val="003216A9"/>
    <w:rsid w:val="00335A74"/>
    <w:rsid w:val="0036561B"/>
    <w:rsid w:val="0037013F"/>
    <w:rsid w:val="00374F2D"/>
    <w:rsid w:val="00380C92"/>
    <w:rsid w:val="003A484F"/>
    <w:rsid w:val="003A4883"/>
    <w:rsid w:val="003A7B26"/>
    <w:rsid w:val="003B0BE0"/>
    <w:rsid w:val="003B0C1B"/>
    <w:rsid w:val="003B688C"/>
    <w:rsid w:val="003C0291"/>
    <w:rsid w:val="003C39AE"/>
    <w:rsid w:val="003C7B60"/>
    <w:rsid w:val="003D0C0F"/>
    <w:rsid w:val="003D1FB2"/>
    <w:rsid w:val="003D66DA"/>
    <w:rsid w:val="003E1310"/>
    <w:rsid w:val="003E6F55"/>
    <w:rsid w:val="003E7DA6"/>
    <w:rsid w:val="00400379"/>
    <w:rsid w:val="00406254"/>
    <w:rsid w:val="004126DE"/>
    <w:rsid w:val="004223DE"/>
    <w:rsid w:val="00434489"/>
    <w:rsid w:val="00434E61"/>
    <w:rsid w:val="00437085"/>
    <w:rsid w:val="00442E36"/>
    <w:rsid w:val="00443880"/>
    <w:rsid w:val="004464F4"/>
    <w:rsid w:val="00447C8C"/>
    <w:rsid w:val="00471401"/>
    <w:rsid w:val="00473F31"/>
    <w:rsid w:val="0048263A"/>
    <w:rsid w:val="00487E5D"/>
    <w:rsid w:val="004A711F"/>
    <w:rsid w:val="004B199D"/>
    <w:rsid w:val="004B215E"/>
    <w:rsid w:val="004B4690"/>
    <w:rsid w:val="004E0A2D"/>
    <w:rsid w:val="004E206B"/>
    <w:rsid w:val="004E275E"/>
    <w:rsid w:val="004E6DF7"/>
    <w:rsid w:val="004F0FBD"/>
    <w:rsid w:val="005041FD"/>
    <w:rsid w:val="00505A47"/>
    <w:rsid w:val="00512FDA"/>
    <w:rsid w:val="00520DA0"/>
    <w:rsid w:val="005664BB"/>
    <w:rsid w:val="00566FFA"/>
    <w:rsid w:val="0057481D"/>
    <w:rsid w:val="00576FC9"/>
    <w:rsid w:val="0058486E"/>
    <w:rsid w:val="00585B33"/>
    <w:rsid w:val="0059014D"/>
    <w:rsid w:val="005934A4"/>
    <w:rsid w:val="005A6CC2"/>
    <w:rsid w:val="005A7367"/>
    <w:rsid w:val="005B5C64"/>
    <w:rsid w:val="005C5337"/>
    <w:rsid w:val="005C6BD0"/>
    <w:rsid w:val="005D1C8B"/>
    <w:rsid w:val="005D32CD"/>
    <w:rsid w:val="005D442D"/>
    <w:rsid w:val="005D468D"/>
    <w:rsid w:val="005D5CED"/>
    <w:rsid w:val="005E1D28"/>
    <w:rsid w:val="005F1A4C"/>
    <w:rsid w:val="00604AC2"/>
    <w:rsid w:val="00605688"/>
    <w:rsid w:val="006070AF"/>
    <w:rsid w:val="00607E6C"/>
    <w:rsid w:val="006101B1"/>
    <w:rsid w:val="00614E44"/>
    <w:rsid w:val="0062270A"/>
    <w:rsid w:val="00622830"/>
    <w:rsid w:val="00623DA0"/>
    <w:rsid w:val="00630AEF"/>
    <w:rsid w:val="00630CDE"/>
    <w:rsid w:val="00631E83"/>
    <w:rsid w:val="006325F8"/>
    <w:rsid w:val="00633463"/>
    <w:rsid w:val="00634C9A"/>
    <w:rsid w:val="006440E4"/>
    <w:rsid w:val="0066343B"/>
    <w:rsid w:val="00664777"/>
    <w:rsid w:val="006748A4"/>
    <w:rsid w:val="00681A31"/>
    <w:rsid w:val="00683E73"/>
    <w:rsid w:val="00690EC8"/>
    <w:rsid w:val="006A3141"/>
    <w:rsid w:val="006A4A8F"/>
    <w:rsid w:val="006A5E34"/>
    <w:rsid w:val="006A748E"/>
    <w:rsid w:val="006B2422"/>
    <w:rsid w:val="006B2B9A"/>
    <w:rsid w:val="006C1937"/>
    <w:rsid w:val="006F020C"/>
    <w:rsid w:val="007127B7"/>
    <w:rsid w:val="0071798E"/>
    <w:rsid w:val="007254A1"/>
    <w:rsid w:val="00731554"/>
    <w:rsid w:val="007416B6"/>
    <w:rsid w:val="00746F48"/>
    <w:rsid w:val="0075404D"/>
    <w:rsid w:val="0076182A"/>
    <w:rsid w:val="007636A1"/>
    <w:rsid w:val="00767B7E"/>
    <w:rsid w:val="007770C3"/>
    <w:rsid w:val="00784D24"/>
    <w:rsid w:val="00785FBA"/>
    <w:rsid w:val="00786E4A"/>
    <w:rsid w:val="007875EB"/>
    <w:rsid w:val="0079426B"/>
    <w:rsid w:val="00794BDB"/>
    <w:rsid w:val="007D1682"/>
    <w:rsid w:val="007D312A"/>
    <w:rsid w:val="007D3F19"/>
    <w:rsid w:val="007E23B0"/>
    <w:rsid w:val="007E23E5"/>
    <w:rsid w:val="007F1991"/>
    <w:rsid w:val="007F2C2F"/>
    <w:rsid w:val="007F3417"/>
    <w:rsid w:val="007F55FC"/>
    <w:rsid w:val="007F5665"/>
    <w:rsid w:val="00800112"/>
    <w:rsid w:val="00813348"/>
    <w:rsid w:val="008253BB"/>
    <w:rsid w:val="00832B70"/>
    <w:rsid w:val="0083706E"/>
    <w:rsid w:val="008408F6"/>
    <w:rsid w:val="008423A5"/>
    <w:rsid w:val="00850625"/>
    <w:rsid w:val="00853718"/>
    <w:rsid w:val="00855221"/>
    <w:rsid w:val="00860645"/>
    <w:rsid w:val="00871F71"/>
    <w:rsid w:val="00872FD8"/>
    <w:rsid w:val="00885AF4"/>
    <w:rsid w:val="008939CD"/>
    <w:rsid w:val="00897EA3"/>
    <w:rsid w:val="008A4CB0"/>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314B"/>
    <w:rsid w:val="00966BD7"/>
    <w:rsid w:val="0097099F"/>
    <w:rsid w:val="00971997"/>
    <w:rsid w:val="00971FFC"/>
    <w:rsid w:val="0098660A"/>
    <w:rsid w:val="00987A63"/>
    <w:rsid w:val="0099289C"/>
    <w:rsid w:val="009931C3"/>
    <w:rsid w:val="009B1DA4"/>
    <w:rsid w:val="009B2C43"/>
    <w:rsid w:val="009B4EAE"/>
    <w:rsid w:val="009B7573"/>
    <w:rsid w:val="009C22F4"/>
    <w:rsid w:val="009C2A4B"/>
    <w:rsid w:val="009C2E98"/>
    <w:rsid w:val="009D3447"/>
    <w:rsid w:val="009D4711"/>
    <w:rsid w:val="009F1185"/>
    <w:rsid w:val="009F18CD"/>
    <w:rsid w:val="009F2A13"/>
    <w:rsid w:val="009F70FB"/>
    <w:rsid w:val="009F7527"/>
    <w:rsid w:val="00A04EB0"/>
    <w:rsid w:val="00A123CE"/>
    <w:rsid w:val="00A13CC1"/>
    <w:rsid w:val="00A16847"/>
    <w:rsid w:val="00A237D8"/>
    <w:rsid w:val="00A268C4"/>
    <w:rsid w:val="00A307CD"/>
    <w:rsid w:val="00A331C8"/>
    <w:rsid w:val="00A40A00"/>
    <w:rsid w:val="00A4142F"/>
    <w:rsid w:val="00A422EB"/>
    <w:rsid w:val="00A430E1"/>
    <w:rsid w:val="00A45BB7"/>
    <w:rsid w:val="00A56DF2"/>
    <w:rsid w:val="00A56E6E"/>
    <w:rsid w:val="00A67AB5"/>
    <w:rsid w:val="00A733B2"/>
    <w:rsid w:val="00A741C2"/>
    <w:rsid w:val="00A779E9"/>
    <w:rsid w:val="00A91760"/>
    <w:rsid w:val="00A93B00"/>
    <w:rsid w:val="00A93C21"/>
    <w:rsid w:val="00AB64C9"/>
    <w:rsid w:val="00AC3C6A"/>
    <w:rsid w:val="00AD5620"/>
    <w:rsid w:val="00AD656B"/>
    <w:rsid w:val="00AD7C1B"/>
    <w:rsid w:val="00AE16BA"/>
    <w:rsid w:val="00AE1EBE"/>
    <w:rsid w:val="00AE2839"/>
    <w:rsid w:val="00AF5BB0"/>
    <w:rsid w:val="00B03C9D"/>
    <w:rsid w:val="00B04872"/>
    <w:rsid w:val="00B060AE"/>
    <w:rsid w:val="00B10517"/>
    <w:rsid w:val="00B14E76"/>
    <w:rsid w:val="00B161B8"/>
    <w:rsid w:val="00B2048C"/>
    <w:rsid w:val="00B23513"/>
    <w:rsid w:val="00B310B9"/>
    <w:rsid w:val="00B35F3F"/>
    <w:rsid w:val="00B362CC"/>
    <w:rsid w:val="00B36CBB"/>
    <w:rsid w:val="00B37BFF"/>
    <w:rsid w:val="00B425E0"/>
    <w:rsid w:val="00B440AA"/>
    <w:rsid w:val="00B44B70"/>
    <w:rsid w:val="00B46070"/>
    <w:rsid w:val="00B53C56"/>
    <w:rsid w:val="00B57DAF"/>
    <w:rsid w:val="00B77EA6"/>
    <w:rsid w:val="00B81598"/>
    <w:rsid w:val="00B841F1"/>
    <w:rsid w:val="00B944D6"/>
    <w:rsid w:val="00BB4DF0"/>
    <w:rsid w:val="00BC289F"/>
    <w:rsid w:val="00BC2D50"/>
    <w:rsid w:val="00BC5361"/>
    <w:rsid w:val="00BC5460"/>
    <w:rsid w:val="00BC6B50"/>
    <w:rsid w:val="00BD0E25"/>
    <w:rsid w:val="00BE72C5"/>
    <w:rsid w:val="00BF5BD6"/>
    <w:rsid w:val="00C03E31"/>
    <w:rsid w:val="00C04B4A"/>
    <w:rsid w:val="00C10347"/>
    <w:rsid w:val="00C25969"/>
    <w:rsid w:val="00C2648C"/>
    <w:rsid w:val="00C33E72"/>
    <w:rsid w:val="00C354B2"/>
    <w:rsid w:val="00C35554"/>
    <w:rsid w:val="00C42709"/>
    <w:rsid w:val="00C43CFB"/>
    <w:rsid w:val="00C533CC"/>
    <w:rsid w:val="00C54703"/>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0507E"/>
    <w:rsid w:val="00D114F0"/>
    <w:rsid w:val="00D20620"/>
    <w:rsid w:val="00D20EE1"/>
    <w:rsid w:val="00D254F7"/>
    <w:rsid w:val="00D26091"/>
    <w:rsid w:val="00D2685C"/>
    <w:rsid w:val="00D34624"/>
    <w:rsid w:val="00D34E7C"/>
    <w:rsid w:val="00D35489"/>
    <w:rsid w:val="00D36AFE"/>
    <w:rsid w:val="00D51276"/>
    <w:rsid w:val="00D7035F"/>
    <w:rsid w:val="00DA634F"/>
    <w:rsid w:val="00DA65AC"/>
    <w:rsid w:val="00DB1913"/>
    <w:rsid w:val="00DC410D"/>
    <w:rsid w:val="00DC5A81"/>
    <w:rsid w:val="00DC68CA"/>
    <w:rsid w:val="00DC7CBA"/>
    <w:rsid w:val="00DD3D14"/>
    <w:rsid w:val="00DD73B7"/>
    <w:rsid w:val="00DF1376"/>
    <w:rsid w:val="00DF28BC"/>
    <w:rsid w:val="00DF34B9"/>
    <w:rsid w:val="00E01053"/>
    <w:rsid w:val="00E07ACF"/>
    <w:rsid w:val="00E331A1"/>
    <w:rsid w:val="00E33202"/>
    <w:rsid w:val="00E336A9"/>
    <w:rsid w:val="00E472B1"/>
    <w:rsid w:val="00E50624"/>
    <w:rsid w:val="00E568DF"/>
    <w:rsid w:val="00E64269"/>
    <w:rsid w:val="00E80EA7"/>
    <w:rsid w:val="00E82267"/>
    <w:rsid w:val="00E853CE"/>
    <w:rsid w:val="00E867B6"/>
    <w:rsid w:val="00E97211"/>
    <w:rsid w:val="00EA010F"/>
    <w:rsid w:val="00ED1B63"/>
    <w:rsid w:val="00ED3C1F"/>
    <w:rsid w:val="00ED4085"/>
    <w:rsid w:val="00ED420E"/>
    <w:rsid w:val="00ED6FBE"/>
    <w:rsid w:val="00EE2F57"/>
    <w:rsid w:val="00EF12AC"/>
    <w:rsid w:val="00EF4C34"/>
    <w:rsid w:val="00EF77C6"/>
    <w:rsid w:val="00F05438"/>
    <w:rsid w:val="00F059BB"/>
    <w:rsid w:val="00F1361C"/>
    <w:rsid w:val="00F156F0"/>
    <w:rsid w:val="00F160C7"/>
    <w:rsid w:val="00F2032E"/>
    <w:rsid w:val="00F2408F"/>
    <w:rsid w:val="00F240E9"/>
    <w:rsid w:val="00F36D8F"/>
    <w:rsid w:val="00F417B1"/>
    <w:rsid w:val="00F45853"/>
    <w:rsid w:val="00F602DF"/>
    <w:rsid w:val="00F673C8"/>
    <w:rsid w:val="00F754A1"/>
    <w:rsid w:val="00F81FD9"/>
    <w:rsid w:val="00F841AA"/>
    <w:rsid w:val="00F84A94"/>
    <w:rsid w:val="00F87E96"/>
    <w:rsid w:val="00FA23E8"/>
    <w:rsid w:val="00FB5FB0"/>
    <w:rsid w:val="00FD3CC1"/>
    <w:rsid w:val="00FF1E02"/>
    <w:rsid w:val="00FF30B4"/>
    <w:rsid w:val="053A62B5"/>
    <w:rsid w:val="0A2032A3"/>
    <w:rsid w:val="0B8A37D8"/>
    <w:rsid w:val="10C055FF"/>
    <w:rsid w:val="118107EC"/>
    <w:rsid w:val="11DD6519"/>
    <w:rsid w:val="16BB723D"/>
    <w:rsid w:val="18015F3F"/>
    <w:rsid w:val="1BE8440E"/>
    <w:rsid w:val="1D155CEE"/>
    <w:rsid w:val="20F57F95"/>
    <w:rsid w:val="240371BF"/>
    <w:rsid w:val="25711CC6"/>
    <w:rsid w:val="25C741E6"/>
    <w:rsid w:val="27842671"/>
    <w:rsid w:val="29FD04D3"/>
    <w:rsid w:val="2ABE7A3E"/>
    <w:rsid w:val="2CA234A8"/>
    <w:rsid w:val="2EFA178C"/>
    <w:rsid w:val="30B46D73"/>
    <w:rsid w:val="319F7F4E"/>
    <w:rsid w:val="383D272C"/>
    <w:rsid w:val="39AE70AB"/>
    <w:rsid w:val="3C0C0783"/>
    <w:rsid w:val="3C917B6D"/>
    <w:rsid w:val="3F9F3A96"/>
    <w:rsid w:val="48BF60AB"/>
    <w:rsid w:val="493C27E9"/>
    <w:rsid w:val="496F39ED"/>
    <w:rsid w:val="49FF41D3"/>
    <w:rsid w:val="4BE068DB"/>
    <w:rsid w:val="4BF6002B"/>
    <w:rsid w:val="4ECE2238"/>
    <w:rsid w:val="51DB4B86"/>
    <w:rsid w:val="55333C3E"/>
    <w:rsid w:val="64CA39A1"/>
    <w:rsid w:val="69630ADE"/>
    <w:rsid w:val="6C4A05C8"/>
    <w:rsid w:val="6D3B1A89"/>
    <w:rsid w:val="71BF4EC2"/>
    <w:rsid w:val="72734D90"/>
    <w:rsid w:val="7412278C"/>
    <w:rsid w:val="79E7B28D"/>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themeOverride" Target="../theme/themeOverride3.xml"/><Relationship Id="rId1" Type="http://schemas.openxmlformats.org/officeDocument/2006/relationships/oleObject" Target="&#25991;&#26723;%201!_1755418329" TargetMode="External"/></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oleObject" Target="&#25991;&#26723;%201!_1725258678" TargetMode="External"/></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4.xml"/><Relationship Id="rId1" Type="http://schemas.openxmlformats.org/officeDocument/2006/relationships/oleObject" Target="&#25991;&#26723;%202!_1755431319"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25991;&#26723;%203!_1755431606"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25991;&#26723;%203!_1755504856" TargetMode="External"/></Relationships>
</file>

<file path=word/charts/_rels/chart6.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25991;&#26723;%204!_1755522962" TargetMode="External"/></Relationships>
</file>

<file path=word/charts/_rels/chart7.xml.rels><?xml version="1.0" encoding="UTF-8" standalone="yes"?>
<Relationships xmlns="http://schemas.openxmlformats.org/package/2006/relationships"><Relationship Id="rId2" Type="http://schemas.openxmlformats.org/officeDocument/2006/relationships/themeOverride" Target="../theme/themeOverride5.xml"/><Relationship Id="rId1" Type="http://schemas.openxmlformats.org/officeDocument/2006/relationships/oleObject" Target="&#25991;&#26723;%206!_1755523697"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400" b="1" i="0" u="none" strike="noStrike" kern="1200" baseline="0">
                <a:solidFill>
                  <a:srgbClr val="33CCCC"/>
                </a:solidFill>
                <a:latin typeface="微软雅黑" panose="020B0503020204020204" charset="-122"/>
                <a:ea typeface="微软雅黑" panose="020B0503020204020204" charset="-122"/>
                <a:cs typeface="微软雅黑" panose="020B0503020204020204" charset="-122"/>
              </a:defRPr>
            </a:pPr>
            <a:r>
              <a:rPr lang="zh-CN" altLang="en-US"/>
              <a:t>收、支决算总计变动情况图</a:t>
            </a:r>
            <a:endParaRPr lang="zh-CN" altLang="en-US"/>
          </a:p>
        </c:rich>
      </c:tx>
      <c:layout/>
      <c:overlay val="0"/>
      <c:spPr>
        <a:noFill/>
        <a:ln>
          <a:noFill/>
        </a:ln>
        <a:effectLst/>
      </c:spPr>
    </c:title>
    <c:autoTitleDeleted val="0"/>
    <c:plotArea>
      <c:layout>
        <c:manualLayout>
          <c:layoutTarget val="inner"/>
          <c:xMode val="edge"/>
          <c:yMode val="edge"/>
          <c:x val="0.185000075276723"/>
          <c:y val="0.423859181234082"/>
          <c:w val="0.743333635796564"/>
          <c:h val="0.34771681334772"/>
        </c:manualLayout>
      </c:layout>
      <c:barChart>
        <c:barDir val="col"/>
        <c:grouping val="clustered"/>
        <c:varyColors val="0"/>
        <c:ser>
          <c:idx val="0"/>
          <c:order val="0"/>
          <c:tx>
            <c:strRef>
              <c:f>'[图表 在 文档 1]Sheet1'!$B$3</c:f>
              <c:strCache>
                <c:ptCount val="1"/>
                <c:pt idx="0">
                  <c:v>收支</c:v>
                </c:pt>
              </c:strCache>
            </c:strRef>
          </c:tx>
          <c:spPr>
            <a:solidFill>
              <a:srgbClr val="2582E8"/>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solidFill>
                    <a:latin typeface="微软雅黑" panose="020B0503020204020204" charset="-122"/>
                    <a:ea typeface="微软雅黑" panose="020B0503020204020204" charset="-122"/>
                    <a:cs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'[图表 在 文档 1]Sheet1'!$C$2:$F$2</c:f>
              <c:numCache>
                <c:formatCode>General</c:formatCode>
                <c:ptCount val="4"/>
                <c:pt idx="0">
                  <c:v>2021</c:v>
                </c:pt>
                <c:pt idx="1">
                  <c:v>2022</c:v>
                </c:pt>
              </c:numCache>
            </c:numRef>
          </c:cat>
          <c:val>
            <c:numRef>
              <c:f>'[图表 在 文档 1]Sheet1'!$C$3:$F$3</c:f>
              <c:numCache>
                <c:formatCode>General</c:formatCode>
                <c:ptCount val="4"/>
                <c:pt idx="0">
                  <c:v>3463.52</c:v>
                </c:pt>
                <c:pt idx="1">
                  <c:v>5043.4</c:v>
                </c:pt>
              </c:numCache>
            </c:numRef>
          </c:val>
        </c:ser>
        <c:dLbls>
          <c:showLegendKey val="0"/>
          <c:showVal val="1"/>
          <c:showCatName val="0"/>
          <c:showSerName val="0"/>
          <c:showPercent val="0"/>
          <c:showBubbleSize val="0"/>
        </c:dLbls>
        <c:gapWidth val="403"/>
        <c:overlap val="-53"/>
        <c:axId val="100735232"/>
        <c:axId val="100746752"/>
      </c:barChart>
      <c:catAx>
        <c:axId val="10073523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rgbClr val="333333"/>
                </a:solidFill>
                <a:latin typeface="微软雅黑" panose="020B0503020204020204" charset="-122"/>
                <a:ea typeface="微软雅黑" panose="020B0503020204020204" charset="-122"/>
                <a:cs typeface="微软雅黑" panose="020B0503020204020204" charset="-122"/>
              </a:defRPr>
            </a:pPr>
          </a:p>
        </c:txPr>
        <c:crossAx val="100746752"/>
        <c:crosses val="autoZero"/>
        <c:auto val="1"/>
        <c:lblAlgn val="ctr"/>
        <c:lblOffset val="100"/>
        <c:noMultiLvlLbl val="0"/>
      </c:catAx>
      <c:valAx>
        <c:axId val="10074675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0" spcFirstLastPara="0" vertOverflow="ellipsis" vert="horz" wrap="square" anchor="ctr" anchorCtr="1"/>
          <a:lstStyle/>
          <a:p>
            <a:pPr>
              <a:defRPr lang="zh-CN" sz="900" b="0" i="0" u="none" strike="noStrike" kern="1200" baseline="0">
                <a:solidFill>
                  <a:srgbClr val="333333"/>
                </a:solidFill>
                <a:latin typeface="微软雅黑" panose="020B0503020204020204" charset="-122"/>
                <a:ea typeface="微软雅黑" panose="020B0503020204020204" charset="-122"/>
                <a:cs typeface="微软雅黑" panose="020B0503020204020204" charset="-122"/>
              </a:defRPr>
            </a:pPr>
          </a:p>
        </c:txPr>
        <c:crossAx val="100735232"/>
        <c:crosses val="autoZero"/>
        <c:crossBetween val="between"/>
      </c:valAx>
      <c:spPr>
        <a:noFill/>
        <a:ln>
          <a:noFill/>
        </a:ln>
        <a:effectLst/>
      </c:spPr>
    </c:plotArea>
    <c:legend>
      <c:legendPos val="t"/>
      <c:layout>
        <c:manualLayout>
          <c:xMode val="edge"/>
          <c:yMode val="edge"/>
          <c:x val="0.4545"/>
          <c:y val="0.1515"/>
          <c:w val="0.0907500000000002"/>
          <c:h val="0.0805000000000002"/>
        </c:manualLayout>
      </c:layout>
      <c:overlay val="0"/>
      <c:spPr>
        <a:noFill/>
        <a:ln>
          <a:noFill/>
        </a:ln>
        <a:effectLst/>
      </c:spPr>
      <c:txPr>
        <a:bodyPr rot="0" spcFirstLastPara="0" vertOverflow="ellipsis" vert="horz" wrap="square" anchor="ctr" anchorCtr="1"/>
        <a:lstStyle/>
        <a:p>
          <a:pPr>
            <a:defRPr lang="zh-CN" sz="825" b="0" i="0" u="none" strike="noStrike" kern="1200" baseline="0">
              <a:solidFill>
                <a:srgbClr val="808080"/>
              </a:solidFill>
              <a:latin typeface="微软雅黑" panose="020B0503020204020204" charset="-122"/>
              <a:ea typeface="微软雅黑" panose="020B0503020204020204" charset="-122"/>
              <a:cs typeface="微软雅黑" panose="020B0503020204020204" charset="-122"/>
            </a:defRPr>
          </a:pPr>
        </a:p>
      </c:txPr>
    </c:legend>
    <c:plotVisOnly val="1"/>
    <c:dispBlanksAs val="gap"/>
    <c:showDLblsOverMax val="0"/>
  </c:chart>
  <c:spPr>
    <a:blipFill>
      <a:blip xmlns:r="http://schemas.openxmlformats.org/officeDocument/2006/relationships" r:embed="rId3"/>
      <a:stretch>
        <a:fillRect/>
      </a:stretch>
    </a:blipFill>
    <a:ln w="9525" cap="flat" cmpd="sng" algn="ctr">
      <a:noFill/>
      <a:prstDash val="solid"/>
      <a:round/>
    </a:ln>
    <a:effectLst>
      <a:outerShdw blurRad="63500" dist="37357" dir="2700000" sx="0" sy="0" rotWithShape="0">
        <a:scrgbClr r="0" g="0" b="0"/>
      </a:outerShdw>
    </a:effectLst>
  </c:spPr>
  <c:txPr>
    <a:bodyPr/>
    <a:lstStyle/>
    <a:p>
      <a:pPr>
        <a:defRPr lang="zh-CN" sz="1000" b="0" i="0" u="none" strike="noStrike" baseline="0">
          <a:solidFill>
            <a:srgbClr val="000000"/>
          </a:solidFill>
          <a:latin typeface="微软雅黑" panose="020B0503020204020204" charset="-122"/>
          <a:ea typeface="微软雅黑" panose="020B0503020204020204" charset="-122"/>
          <a:cs typeface="微软雅黑" panose="020B050302020402020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800" b="1" i="0" u="none" strike="noStrike" kern="1200" baseline="0">
                <a:solidFill>
                  <a:srgbClr val="000000"/>
                </a:solidFill>
                <a:latin typeface="微软雅黑" panose="020B0503020204020204" charset="-122"/>
                <a:ea typeface="微软雅黑" panose="020B0503020204020204" charset="-122"/>
                <a:cs typeface="微软雅黑" panose="020B0503020204020204" charset="-122"/>
              </a:defRPr>
            </a:pPr>
            <a:r>
              <a:rPr lang="zh-CN" altLang="en-US"/>
              <a:t>收入决算结构图</a:t>
            </a:r>
            <a:endParaRPr lang="zh-CN" altLang="en-US"/>
          </a:p>
        </c:rich>
      </c:tx>
      <c:layout/>
      <c:overlay val="0"/>
    </c:title>
    <c:autoTitleDeleted val="0"/>
    <c:plotArea>
      <c:layout/>
      <c:pieChart>
        <c:varyColors val="1"/>
        <c:ser>
          <c:idx val="0"/>
          <c:order val="0"/>
          <c:spPr>
            <a:ln w="12700">
              <a:solidFill>
                <a:schemeClr val="bg1"/>
              </a:solidFill>
            </a:ln>
            <a:effectLst/>
          </c:spPr>
          <c:explosion val="0"/>
          <c:dPt>
            <c:idx val="0"/>
            <c:bubble3D val="0"/>
            <c:spPr>
              <a:solidFill>
                <a:srgbClr val="FE5A5A"/>
              </a:solidFill>
              <a:ln w="12700">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0000"/>
                    </a:solidFill>
                    <a:latin typeface="微软雅黑" panose="020B0503020204020204" charset="-122"/>
                    <a:ea typeface="微软雅黑" panose="020B0503020204020204" charset="-122"/>
                    <a:cs typeface="微软雅黑" panose="020B0503020204020204"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3175" cap="flat" cmpd="sng" algn="ctr">
                      <a:solidFill>
                        <a:srgbClr val="969696"/>
                      </a:solidFill>
                      <a:prstDash val="solid"/>
                      <a:round/>
                    </a:ln>
                  </c:spPr>
                </c15:leaderLines>
              </c:ext>
            </c:extLst>
          </c:dLbls>
          <c:cat>
            <c:strRef>
              <c:f>'[图表 在 文档 1]Sheet1'!$C$3</c:f>
              <c:strCache>
                <c:ptCount val="1"/>
                <c:pt idx="0">
                  <c:v>一般公共预算</c:v>
                </c:pt>
              </c:strCache>
            </c:strRef>
          </c:cat>
          <c:val>
            <c:numRef>
              <c:f>'[图表 在 文档 1]Sheet1'!$C$4</c:f>
              <c:numCache>
                <c:formatCode>General</c:formatCode>
                <c:ptCount val="1"/>
                <c:pt idx="0">
                  <c:v>28181100</c:v>
                </c:pt>
              </c:numCache>
            </c:numRef>
          </c:val>
        </c:ser>
        <c:dLbls>
          <c:showLegendKey val="0"/>
          <c:showVal val="0"/>
          <c:showCatName val="0"/>
          <c:showSerName val="0"/>
          <c:showPercent val="1"/>
          <c:showBubbleSize val="0"/>
          <c:showLeaderLines val="1"/>
        </c:dLbls>
        <c:firstSliceAng val="257"/>
      </c:pieChart>
      <c:spPr>
        <a:noFill/>
        <a:ln>
          <a:noFill/>
        </a:ln>
        <a:effectLst/>
      </c:spPr>
    </c:plotArea>
    <c:legend>
      <c:legendPos val="r"/>
      <c:layout>
        <c:manualLayout>
          <c:xMode val="edge"/>
          <c:yMode val="edge"/>
          <c:x val="0.753333639865582"/>
          <c:y val="0.573605838077257"/>
          <c:w val="0.218333422173432"/>
          <c:h val="0.149746656843179"/>
        </c:manualLayout>
      </c:layout>
      <c:overlay val="0"/>
      <c:txPr>
        <a:bodyPr rot="0" spcFirstLastPara="0" vertOverflow="ellipsis" vert="horz" wrap="square" anchor="ctr" anchorCtr="1"/>
        <a:lstStyle/>
        <a:p>
          <a:pPr>
            <a:defRPr lang="zh-CN" sz="920" b="0" i="0" u="none" strike="noStrike" kern="1200" baseline="0">
              <a:solidFill>
                <a:srgbClr val="000000"/>
              </a:solidFill>
              <a:latin typeface="微软雅黑" panose="020B0503020204020204" charset="-122"/>
              <a:ea typeface="微软雅黑" panose="020B0503020204020204" charset="-122"/>
              <a:cs typeface="微软雅黑" panose="020B0503020204020204" charset="-122"/>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sz="1000" b="0" i="0" u="none" strike="noStrike" baseline="0">
          <a:solidFill>
            <a:srgbClr val="000000"/>
          </a:solidFill>
          <a:latin typeface="微软雅黑" panose="020B0503020204020204" charset="-122"/>
          <a:ea typeface="微软雅黑" panose="020B0503020204020204" charset="-122"/>
          <a:cs typeface="微软雅黑" panose="020B0503020204020204"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400" b="0" i="0" u="none" strike="noStrike" kern="1200" baseline="0">
                <a:solidFill>
                  <a:srgbClr val="808080"/>
                </a:solidFill>
                <a:latin typeface="微软雅黑" panose="020B0503020204020204" charset="-122"/>
                <a:ea typeface="微软雅黑" panose="020B0503020204020204" charset="-122"/>
                <a:cs typeface="微软雅黑" panose="020B0503020204020204" charset="-122"/>
              </a:defRPr>
            </a:pPr>
            <a:r>
              <a:rPr lang="zh-CN" altLang="en-US"/>
              <a:t>支出决算结构图</a:t>
            </a:r>
            <a:endParaRPr lang="zh-CN" altLang="en-US"/>
          </a:p>
        </c:rich>
      </c:tx>
      <c:layout/>
      <c:overlay val="0"/>
      <c:spPr>
        <a:noFill/>
        <a:ln>
          <a:noFill/>
        </a:ln>
        <a:effectLst/>
      </c:spPr>
    </c:title>
    <c:autoTitleDeleted val="0"/>
    <c:plotArea>
      <c:layout>
        <c:manualLayout>
          <c:layoutTarget val="inner"/>
          <c:xMode val="edge"/>
          <c:yMode val="edge"/>
          <c:x val="0.335000136311906"/>
          <c:y val="0.340102576559081"/>
          <c:w val="0.381666821967298"/>
          <c:h val="0.581220074865893"/>
        </c:manualLayout>
      </c:layout>
      <c:pieChart>
        <c:varyColors val="1"/>
        <c:ser>
          <c:idx val="0"/>
          <c:order val="0"/>
          <c:spPr>
            <a:gradFill>
              <a:gsLst>
                <a:gs pos="80000">
                  <a:srgbClr val="333F50"/>
                </a:gs>
                <a:gs pos="61000">
                  <a:srgbClr val="992028">
                    <a:alpha val="100000"/>
                  </a:srgbClr>
                </a:gs>
                <a:gs pos="29000">
                  <a:srgbClr val="FF0000"/>
                </a:gs>
              </a:gsLst>
              <a:lin ang="18900000" scaled="0"/>
            </a:gradFill>
            <a:ln w="3175">
              <a:noFill/>
            </a:ln>
            <a:effectLst/>
          </c:spPr>
          <c:explosion val="0"/>
          <c:dPt>
            <c:idx val="0"/>
            <c:bubble3D val="0"/>
            <c:spPr>
              <a:solidFill>
                <a:srgbClr val="F8E4DB"/>
              </a:solidFill>
              <a:ln w="3175">
                <a:noFill/>
              </a:ln>
              <a:effectLst/>
            </c:spPr>
          </c:dPt>
          <c:dPt>
            <c:idx val="1"/>
            <c:bubble3D val="0"/>
            <c:spPr>
              <a:solidFill>
                <a:srgbClr val="EDBB72"/>
              </a:solidFill>
              <a:ln w="3175">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666699"/>
                    </a:solidFill>
                    <a:latin typeface="微软雅黑" panose="020B0503020204020204" charset="-122"/>
                    <a:ea typeface="微软雅黑" panose="020B0503020204020204" charset="-122"/>
                    <a:cs typeface="微软雅黑" panose="020B0503020204020204"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'[图表 在 文档 2]Sheet1'!$D$9:$E$9</c:f>
              <c:strCache>
                <c:ptCount val="2"/>
                <c:pt idx="0">
                  <c:v>基本支出</c:v>
                </c:pt>
                <c:pt idx="1">
                  <c:v>项目支出</c:v>
                </c:pt>
              </c:strCache>
            </c:strRef>
          </c:cat>
          <c:val>
            <c:numRef>
              <c:f>'[图表 在 文档 2]Sheet1'!$D$10:$E$10</c:f>
              <c:numCache>
                <c:formatCode>General</c:formatCode>
                <c:ptCount val="2"/>
                <c:pt idx="0">
                  <c:v>22885517</c:v>
                </c:pt>
                <c:pt idx="1">
                  <c:v>27548541</c:v>
                </c:pt>
              </c:numCache>
            </c:numRef>
          </c:val>
        </c:ser>
        <c:dLbls>
          <c:showLegendKey val="0"/>
          <c:showVal val="0"/>
          <c:showCatName val="0"/>
          <c:showSerName val="0"/>
          <c:showPercent val="1"/>
          <c:showBubbleSize val="0"/>
          <c:showLeaderLines val="1"/>
        </c:dLbls>
        <c:firstSliceAng val="32"/>
      </c:pieChart>
      <c:spPr>
        <a:noFill/>
        <a:ln w="3175">
          <a:noFill/>
        </a:ln>
        <a:effectLst/>
      </c:spPr>
    </c:plotArea>
    <c:legend>
      <c:legendPos val="r"/>
      <c:layout>
        <c:manualLayout>
          <c:xMode val="edge"/>
          <c:yMode val="edge"/>
          <c:x val="0.0416666836208838"/>
          <c:y val="0.421321102304535"/>
          <c:w val="0.0833333672417673"/>
          <c:h val="0.357869129065901"/>
        </c:manualLayout>
      </c:layout>
      <c:overlay val="0"/>
      <c:spPr>
        <a:noFill/>
        <a:ln>
          <a:noFill/>
        </a:ln>
        <a:effectLst/>
      </c:spPr>
      <c:txPr>
        <a:bodyPr rot="0" spcFirstLastPara="0" vertOverflow="ellipsis" vert="horz" wrap="square" anchor="ctr" anchorCtr="1"/>
        <a:lstStyle/>
        <a:p>
          <a:pPr>
            <a:defRPr lang="zh-CN" sz="825" b="0" i="0" u="none" strike="noStrike" kern="1200" baseline="0">
              <a:solidFill>
                <a:srgbClr val="808080"/>
              </a:solidFill>
              <a:latin typeface="微软雅黑" panose="020B0503020204020204" charset="-122"/>
              <a:ea typeface="微软雅黑" panose="020B0503020204020204" charset="-122"/>
              <a:cs typeface="微软雅黑" panose="020B0503020204020204" charset="-122"/>
            </a:defRPr>
          </a:pPr>
        </a:p>
      </c:txPr>
    </c:legend>
    <c:plotVisOnly val="1"/>
    <c:dispBlanksAs val="zero"/>
    <c:showDLblsOverMax val="0"/>
  </c:chart>
  <c:spPr>
    <a:solidFill>
      <a:schemeClr val="bg1"/>
    </a:solidFill>
    <a:ln w="9525" cap="flat" cmpd="sng" algn="ctr">
      <a:solidFill>
        <a:srgbClr val="6D8B94"/>
      </a:solidFill>
      <a:prstDash val="solid"/>
      <a:round/>
    </a:ln>
    <a:effectLst>
      <a:outerShdw blurRad="63500" dist="37357" dir="2700000" sx="0" sy="0" rotWithShape="0">
        <a:scrgbClr r="0" g="0" b="0"/>
      </a:outerShdw>
    </a:effectLst>
  </c:spPr>
  <c:txPr>
    <a:bodyPr/>
    <a:lstStyle/>
    <a:p>
      <a:pPr>
        <a:defRPr lang="zh-CN" sz="1000" b="0" i="0" u="none" strike="noStrike" baseline="0">
          <a:solidFill>
            <a:srgbClr val="000000"/>
          </a:solidFill>
          <a:latin typeface="微软雅黑" panose="020B0503020204020204" charset="-122"/>
          <a:ea typeface="微软雅黑" panose="020B0503020204020204" charset="-122"/>
          <a:cs typeface="微软雅黑" panose="020B0503020204020204"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333333"/>
                </a:solidFill>
                <a:latin typeface="宋体" panose="02010600030101010101" charset="-122"/>
                <a:ea typeface="宋体" panose="02010600030101010101" charset="-122"/>
                <a:cs typeface="宋体" panose="02010600030101010101" charset="-122"/>
              </a:defRPr>
            </a:pPr>
            <a:r>
              <a:rPr lang="zh-CN" altLang="en-US"/>
              <a:t>财政拨款收、支决算总计变动情况</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 在 文档 3]Sheet1'!$C$7:$D$7</c:f>
              <c:strCache>
                <c:ptCount val="2"/>
                <c:pt idx="0">
                  <c:v>2021年</c:v>
                </c:pt>
                <c:pt idx="1">
                  <c:v>2022年</c:v>
                </c:pt>
              </c:strCache>
            </c:strRef>
          </c:cat>
          <c:val>
            <c:numRef>
              <c:f>'[图表 在 文档 3]Sheet1'!$C$8:$D$8</c:f>
              <c:numCache>
                <c:formatCode>General</c:formatCode>
                <c:ptCount val="2"/>
                <c:pt idx="0">
                  <c:v>3463.52</c:v>
                </c:pt>
                <c:pt idx="1">
                  <c:v>5043.4</c:v>
                </c:pt>
              </c:numCache>
            </c:numRef>
          </c:val>
        </c:ser>
        <c:dLbls>
          <c:showLegendKey val="0"/>
          <c:showVal val="1"/>
          <c:showCatName val="0"/>
          <c:showSerName val="0"/>
          <c:showPercent val="0"/>
          <c:showBubbleSize val="0"/>
        </c:dLbls>
        <c:gapWidth val="219"/>
        <c:overlap val="-27"/>
        <c:axId val="167979264"/>
        <c:axId val="168014592"/>
      </c:barChart>
      <c:catAx>
        <c:axId val="167979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crossAx val="168014592"/>
        <c:crosses val="autoZero"/>
        <c:auto val="1"/>
        <c:lblAlgn val="ctr"/>
        <c:lblOffset val="100"/>
        <c:noMultiLvlLbl val="0"/>
      </c:catAx>
      <c:valAx>
        <c:axId val="1680145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crossAx val="167979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baseline="0">
                <a:solidFill>
                  <a:srgbClr val="333333"/>
                </a:solidFill>
                <a:latin typeface="宋体" panose="02010600030101010101" charset="-122"/>
                <a:ea typeface="宋体" panose="02010600030101010101" charset="-122"/>
                <a:cs typeface="宋体" panose="02010600030101010101" charset="-122"/>
              </a:defRPr>
            </a:pPr>
            <a:r>
              <a:rPr lang="zh-CN" altLang="en-US"/>
              <a:t>一般公共预算财政拨款支出决算变动情况</a:t>
            </a:r>
            <a:endParaRPr lang="zh-CN"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 在 文档 3]Sheet1'!$C$5:$D$5</c:f>
              <c:strCache>
                <c:ptCount val="2"/>
                <c:pt idx="0">
                  <c:v>2021年</c:v>
                </c:pt>
                <c:pt idx="1">
                  <c:v>2022年</c:v>
                </c:pt>
              </c:strCache>
            </c:strRef>
          </c:cat>
          <c:val>
            <c:numRef>
              <c:f>'[图表 在 文档 3]Sheet1'!$C$6:$D$6</c:f>
              <c:numCache>
                <c:formatCode>General</c:formatCode>
                <c:ptCount val="2"/>
                <c:pt idx="0">
                  <c:v>3043.57</c:v>
                </c:pt>
                <c:pt idx="1">
                  <c:v>5043.4</c:v>
                </c:pt>
              </c:numCache>
            </c:numRef>
          </c:val>
        </c:ser>
        <c:dLbls>
          <c:showLegendKey val="0"/>
          <c:showVal val="1"/>
          <c:showCatName val="0"/>
          <c:showSerName val="0"/>
          <c:showPercent val="0"/>
          <c:showBubbleSize val="0"/>
        </c:dLbls>
        <c:gapWidth val="219"/>
        <c:overlap val="-27"/>
        <c:axId val="78752000"/>
        <c:axId val="115814400"/>
      </c:barChart>
      <c:catAx>
        <c:axId val="78752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crossAx val="115814400"/>
        <c:crosses val="autoZero"/>
        <c:auto val="1"/>
        <c:lblAlgn val="ctr"/>
        <c:lblOffset val="100"/>
        <c:noMultiLvlLbl val="0"/>
      </c:catAx>
      <c:valAx>
        <c:axId val="1158144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0" spcFirstLastPara="0" vertOverflow="ellipsis" vert="horz" wrap="square" anchor="ctr" anchorCtr="1"/>
          <a:lstStyle/>
          <a:p>
            <a:pPr>
              <a:defRPr lang="zh-CN" sz="900" b="0" i="0" u="none" strike="noStrike" kern="1200" baseline="0">
                <a:solidFill>
                  <a:srgbClr val="333333"/>
                </a:solidFill>
                <a:latin typeface="宋体" panose="02010600030101010101" charset="-122"/>
                <a:ea typeface="宋体" panose="02010600030101010101" charset="-122"/>
                <a:cs typeface="宋体" panose="02010600030101010101" charset="-122"/>
              </a:defRPr>
            </a:pPr>
          </a:p>
        </c:txPr>
        <c:crossAx val="78752000"/>
        <c:crosses val="autoZero"/>
        <c:crossBetween val="between"/>
        <c:majorUnit val="5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400" b="0" i="0" u="none" strike="noStrike" kern="1200" baseline="0">
                <a:solidFill>
                  <a:srgbClr val="000000"/>
                </a:solidFill>
                <a:latin typeface="微软雅黑" panose="020B0503020204020204" charset="-122"/>
                <a:ea typeface="微软雅黑" panose="020B0503020204020204" charset="-122"/>
                <a:cs typeface="微软雅黑" panose="020B0503020204020204" charset="-122"/>
              </a:defRPr>
            </a:pPr>
            <a:r>
              <a:rPr lang="zh-CN" altLang="en-US"/>
              <a:t>一般公共预算财政拨款支出决算结构</a:t>
            </a:r>
            <a:endParaRPr lang="zh-CN" altLang="en-US"/>
          </a:p>
        </c:rich>
      </c:tx>
      <c:layout/>
      <c:overlay val="0"/>
      <c:spPr>
        <a:noFill/>
        <a:ln>
          <a:noFill/>
        </a:ln>
        <a:effectLst/>
      </c:spPr>
    </c:title>
    <c:autoTitleDeleted val="0"/>
    <c:plotArea>
      <c:layout>
        <c:manualLayout>
          <c:layoutTarget val="inner"/>
          <c:xMode val="edge"/>
          <c:yMode val="edge"/>
          <c:x val="0.317195325542571"/>
          <c:y val="0.335026418699993"/>
          <c:w val="0.370617696160269"/>
          <c:h val="0.563453522359076"/>
        </c:manualLayout>
      </c:layout>
      <c:pieChart>
        <c:varyColors val="1"/>
        <c:ser>
          <c:idx val="0"/>
          <c:order val="0"/>
          <c:spPr>
            <a:pattFill prst="pct5">
              <a:fgClr>
                <a:schemeClr val="accent1"/>
              </a:fgClr>
              <a:bgClr>
                <a:schemeClr val="bg1"/>
              </a:bgClr>
            </a:pattFill>
            <a:ln w="12700">
              <a:solidFill>
                <a:schemeClr val="bg1"/>
              </a:solidFill>
            </a:ln>
            <a:effectLst>
              <a:outerShdw blurRad="63500" sx="102000" sy="102000" algn="ctr" rotWithShape="0">
                <a:prstClr val="black">
                  <a:alpha val="40000"/>
                </a:prstClr>
              </a:outerShdw>
            </a:effectLst>
          </c:spPr>
          <c:explosion val="0"/>
          <c:dPt>
            <c:idx val="0"/>
            <c:bubble3D val="0"/>
            <c:spPr>
              <a:solidFill>
                <a:srgbClr val="1C2B56"/>
              </a:solidFill>
              <a:ln w="12700">
                <a:solidFill>
                  <a:schemeClr val="bg1"/>
                </a:solidFill>
              </a:ln>
              <a:effectLst>
                <a:outerShdw blurRad="63500" sx="102000" sy="102000" algn="ctr" rotWithShape="0">
                  <a:prstClr val="black">
                    <a:alpha val="40000"/>
                  </a:prstClr>
                </a:outerShdw>
              </a:effectLst>
            </c:spPr>
          </c:dPt>
          <c:dPt>
            <c:idx val="1"/>
            <c:bubble3D val="0"/>
            <c:spPr>
              <a:solidFill>
                <a:srgbClr val="35B3C1"/>
              </a:solidFill>
              <a:ln w="12700">
                <a:solidFill>
                  <a:schemeClr val="bg1"/>
                </a:solidFill>
              </a:ln>
              <a:effectLst>
                <a:outerShdw blurRad="63500" sx="102000" sy="102000" algn="ctr" rotWithShape="0">
                  <a:prstClr val="black">
                    <a:alpha val="40000"/>
                  </a:prstClr>
                </a:outerShdw>
              </a:effectLst>
            </c:spPr>
          </c:dPt>
          <c:dPt>
            <c:idx val="2"/>
            <c:bubble3D val="0"/>
            <c:spPr>
              <a:solidFill>
                <a:srgbClr val="3A579D"/>
              </a:solidFill>
              <a:ln w="12700">
                <a:solidFill>
                  <a:schemeClr val="bg1"/>
                </a:solidFill>
              </a:ln>
              <a:effectLst>
                <a:outerShdw blurRad="63500" sx="102000" sy="102000" algn="ctr" rotWithShape="0">
                  <a:prstClr val="black">
                    <a:alpha val="40000"/>
                  </a:prstClr>
                </a:outerShdw>
              </a:effectLst>
            </c:spPr>
          </c:dPt>
          <c:dPt>
            <c:idx val="3"/>
            <c:bubble3D val="0"/>
            <c:spPr>
              <a:solidFill>
                <a:srgbClr val="3B7B9B"/>
              </a:solidFill>
              <a:ln w="12700">
                <a:solidFill>
                  <a:schemeClr val="bg1"/>
                </a:solidFill>
              </a:ln>
              <a:effectLst>
                <a:outerShdw blurRad="63500" sx="102000" sy="102000" algn="ctr" rotWithShape="0">
                  <a:prstClr val="black">
                    <a:alpha val="40000"/>
                  </a:prstClr>
                </a:outerShdw>
              </a:effectLst>
            </c:spPr>
          </c:dPt>
          <c:dLbls>
            <c:dLbl>
              <c:idx val="0"/>
              <c:layout/>
              <c:numFmt formatCode="General" sourceLinked="1"/>
              <c:spPr>
                <a:solidFill>
                  <a:srgbClr val="1C2B56"/>
                </a:solid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FFFFFF"/>
                      </a:solidFill>
                      <a:latin typeface="微软雅黑" panose="020B0503020204020204" charset="-122"/>
                      <a:ea typeface="微软雅黑" panose="020B0503020204020204" charset="-122"/>
                      <a:cs typeface="微软雅黑" panose="020B0503020204020204" charset="-122"/>
                    </a:defRPr>
                  </a:pPr>
                </a:p>
              </c:txPr>
              <c:dLblPos val="bestFit"/>
              <c:showLegendKey val="0"/>
              <c:showVal val="0"/>
              <c:showCatName val="0"/>
              <c:showSerName val="1"/>
              <c:showPercent val="1"/>
              <c:showBubbleSize val="0"/>
              <c:extLst>
                <c:ext xmlns:c15="http://schemas.microsoft.com/office/drawing/2012/chart" uri="{CE6537A1-D6FC-4f65-9D91-7224C49458BB}"/>
              </c:extLst>
            </c:dLbl>
            <c:dLbl>
              <c:idx val="1"/>
              <c:layout/>
              <c:numFmt formatCode="General" sourceLinked="1"/>
              <c:spPr>
                <a:solidFill>
                  <a:srgbClr val="35B3C1"/>
                </a:solid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FFFFFF"/>
                      </a:solidFill>
                      <a:latin typeface="微软雅黑" panose="020B0503020204020204" charset="-122"/>
                      <a:ea typeface="微软雅黑" panose="020B0503020204020204" charset="-122"/>
                      <a:cs typeface="微软雅黑" panose="020B0503020204020204" charset="-122"/>
                    </a:defRPr>
                  </a:pPr>
                </a:p>
              </c:txPr>
              <c:dLblPos val="bestFit"/>
              <c:showLegendKey val="0"/>
              <c:showVal val="0"/>
              <c:showCatName val="0"/>
              <c:showSerName val="1"/>
              <c:showPercent val="1"/>
              <c:showBubbleSize val="0"/>
              <c:extLst>
                <c:ext xmlns:c15="http://schemas.microsoft.com/office/drawing/2012/chart" uri="{CE6537A1-D6FC-4f65-9D91-7224C49458BB}"/>
              </c:extLst>
            </c:dLbl>
            <c:dLbl>
              <c:idx val="3"/>
              <c:layout/>
              <c:numFmt formatCode="General" sourceLinked="1"/>
              <c:spPr>
                <a:solidFill>
                  <a:srgbClr val="3B7B9B"/>
                </a:solid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FFFFFF"/>
                      </a:solidFill>
                      <a:latin typeface="微软雅黑" panose="020B0503020204020204" charset="-122"/>
                      <a:ea typeface="微软雅黑" panose="020B0503020204020204" charset="-122"/>
                      <a:cs typeface="微软雅黑" panose="020B0503020204020204" charset="-122"/>
                    </a:defRPr>
                  </a:pPr>
                </a:p>
              </c:txPr>
              <c:dLblPos val="ctr"/>
              <c:showLegendKey val="0"/>
              <c:showVal val="0"/>
              <c:showCatName val="0"/>
              <c:showSerName val="0"/>
              <c:showPercent val="1"/>
              <c:showBubbleSize val="0"/>
              <c:extLst>
                <c:ext xmlns:c15="http://schemas.microsoft.com/office/drawing/2012/chart" uri="{CE6537A1-D6FC-4f65-9D91-7224C49458BB}">
                  <c15:layout/>
                </c:ext>
              </c:extLst>
            </c:dLbl>
            <c:spPr>
              <a:solidFill>
                <a:srgbClr val="3A579D"/>
              </a:solid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FFFFFF"/>
                    </a:solidFill>
                    <a:latin typeface="微软雅黑" panose="020B0503020204020204" charset="-122"/>
                    <a:ea typeface="微软雅黑" panose="020B0503020204020204" charset="-122"/>
                    <a:cs typeface="微软雅黑" panose="020B0503020204020204" charset="-122"/>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3175" cap="flat" cmpd="sng" algn="ctr">
                      <a:solidFill>
                        <a:srgbClr val="808080"/>
                      </a:solidFill>
                      <a:prstDash val="solid"/>
                      <a:round/>
                    </a:ln>
                  </c:spPr>
                </c15:leaderLines>
              </c:ext>
            </c:extLst>
          </c:dLbls>
          <c:cat>
            <c:strRef>
              <c:f>'[图表 在 文档 4]Sheet1'!$F$10:$I$10</c:f>
              <c:strCache>
                <c:ptCount val="4"/>
                <c:pt idx="0">
                  <c:v>教育支出</c:v>
                </c:pt>
                <c:pt idx="1">
                  <c:v>社会保障和就业</c:v>
                </c:pt>
                <c:pt idx="2">
                  <c:v>卫生健康支出</c:v>
                </c:pt>
                <c:pt idx="3">
                  <c:v>住房保障支出</c:v>
                </c:pt>
              </c:strCache>
            </c:strRef>
          </c:cat>
          <c:val>
            <c:numRef>
              <c:f>'[图表 在 文档 4]Sheet1'!$F$11:$I$11</c:f>
              <c:numCache>
                <c:formatCode>General</c:formatCode>
                <c:ptCount val="4"/>
                <c:pt idx="0">
                  <c:v>4052.19</c:v>
                </c:pt>
                <c:pt idx="1">
                  <c:v>815.09</c:v>
                </c:pt>
                <c:pt idx="2">
                  <c:v>43.68</c:v>
                </c:pt>
                <c:pt idx="3">
                  <c:v>132.44</c:v>
                </c:pt>
              </c:numCache>
            </c:numRef>
          </c:val>
        </c:ser>
        <c:dLbls>
          <c:showLegendKey val="0"/>
          <c:showVal val="0"/>
          <c:showCatName val="0"/>
          <c:showSerName val="0"/>
          <c:showPercent val="1"/>
          <c:showBubbleSize val="0"/>
          <c:showLeaderLines val="1"/>
        </c:dLbls>
        <c:firstSliceAng val="221"/>
      </c:pieChart>
      <c:spPr>
        <a:noFill/>
        <a:ln>
          <a:noFill/>
        </a:ln>
        <a:effectLst/>
      </c:spPr>
    </c:plotArea>
    <c:legend>
      <c:legendPos val="r"/>
      <c:layout>
        <c:manualLayout>
          <c:xMode val="edge"/>
          <c:yMode val="edge"/>
          <c:x val="0.677796327212022"/>
          <c:y val="0.487311154472714"/>
          <c:w val="0.293823038397329"/>
          <c:h val="0.256345971884086"/>
        </c:manualLayout>
      </c:layout>
      <c:overlay val="0"/>
      <c:spPr>
        <a:noFill/>
        <a:ln>
          <a:noFill/>
        </a:ln>
        <a:effectLst/>
      </c:spPr>
      <c:txPr>
        <a:bodyPr rot="0" spcFirstLastPara="0" vertOverflow="ellipsis" vert="horz" wrap="square" anchor="ctr" anchorCtr="1"/>
        <a:lstStyle/>
        <a:p>
          <a:pPr>
            <a:defRPr lang="zh-CN" sz="825" b="0" i="0" u="none" strike="noStrike" kern="1200" baseline="0">
              <a:solidFill>
                <a:srgbClr val="000000"/>
              </a:solidFill>
              <a:latin typeface="微软雅黑" panose="020B0503020204020204" charset="-122"/>
              <a:ea typeface="微软雅黑" panose="020B0503020204020204" charset="-122"/>
              <a:cs typeface="微软雅黑" panose="020B0503020204020204" charset="-122"/>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sz="900" b="0" i="0" u="none" strike="noStrike" baseline="0">
          <a:solidFill>
            <a:srgbClr val="000000"/>
          </a:solidFill>
          <a:latin typeface="微软雅黑" panose="020B0503020204020204" charset="-122"/>
          <a:ea typeface="微软雅黑" panose="020B0503020204020204" charset="-122"/>
          <a:cs typeface="微软雅黑" panose="020B0503020204020204"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400" b="0" i="0" u="none" strike="noStrike" kern="1200" baseline="0">
                <a:solidFill>
                  <a:srgbClr val="000000"/>
                </a:solidFill>
                <a:latin typeface="微软雅黑" panose="020B0503020204020204" charset="-122"/>
                <a:ea typeface="微软雅黑" panose="020B0503020204020204" charset="-122"/>
                <a:cs typeface="微软雅黑" panose="020B0503020204020204" charset="-122"/>
              </a:defRPr>
            </a:pPr>
            <a:r>
              <a:rPr lang="zh-CN" altLang="en-US"/>
              <a:t>“三公”经费财政拨款支出结构</a:t>
            </a:r>
            <a:endParaRPr lang="zh-CN" altLang="en-US"/>
          </a:p>
        </c:rich>
      </c:tx>
      <c:layout/>
      <c:overlay val="0"/>
      <c:spPr>
        <a:noFill/>
        <a:ln>
          <a:noFill/>
        </a:ln>
        <a:effectLst/>
      </c:spPr>
    </c:title>
    <c:autoTitleDeleted val="0"/>
    <c:plotArea>
      <c:layout>
        <c:manualLayout>
          <c:layoutTarget val="inner"/>
          <c:xMode val="edge"/>
          <c:yMode val="edge"/>
          <c:x val="0.317195325542571"/>
          <c:y val="0.335026418699993"/>
          <c:w val="0.370617696160269"/>
          <c:h val="0.563453522359076"/>
        </c:manualLayout>
      </c:layout>
      <c:pieChart>
        <c:varyColors val="1"/>
        <c:ser>
          <c:idx val="0"/>
          <c:order val="0"/>
          <c:spPr>
            <a:pattFill prst="pct5">
              <a:fgClr>
                <a:schemeClr val="accent1"/>
              </a:fgClr>
              <a:bgClr>
                <a:schemeClr val="bg1"/>
              </a:bgClr>
            </a:pattFill>
            <a:ln w="12700">
              <a:solidFill>
                <a:schemeClr val="bg1"/>
              </a:solidFill>
            </a:ln>
            <a:effectLst>
              <a:outerShdw blurRad="63500" sx="102000" sy="102000" algn="ctr" rotWithShape="0">
                <a:prstClr val="black">
                  <a:alpha val="40000"/>
                </a:prstClr>
              </a:outerShdw>
            </a:effectLst>
          </c:spPr>
          <c:explosion val="0"/>
          <c:dPt>
            <c:idx val="0"/>
            <c:bubble3D val="0"/>
            <c:spPr>
              <a:solidFill>
                <a:srgbClr val="1C2B56"/>
              </a:solidFill>
              <a:ln w="12700">
                <a:solidFill>
                  <a:schemeClr val="bg1"/>
                </a:solidFill>
              </a:ln>
              <a:effectLst>
                <a:outerShdw blurRad="63500" sx="102000" sy="102000" algn="ctr" rotWithShape="0">
                  <a:prstClr val="black">
                    <a:alpha val="40000"/>
                  </a:prstClr>
                </a:outerShdw>
              </a:effectLst>
            </c:spPr>
          </c:dPt>
          <c:dPt>
            <c:idx val="1"/>
            <c:bubble3D val="0"/>
            <c:spPr>
              <a:solidFill>
                <a:srgbClr val="35B3C1"/>
              </a:solidFill>
              <a:ln w="12700">
                <a:solidFill>
                  <a:schemeClr val="bg1"/>
                </a:solidFill>
              </a:ln>
              <a:effectLst>
                <a:outerShdw blurRad="63500" sx="102000" sy="102000" algn="ctr" rotWithShape="0">
                  <a:prstClr val="black">
                    <a:alpha val="40000"/>
                  </a:prstClr>
                </a:outerShdw>
              </a:effectLst>
            </c:spPr>
          </c:dPt>
          <c:dPt>
            <c:idx val="2"/>
            <c:bubble3D val="0"/>
            <c:spPr>
              <a:solidFill>
                <a:srgbClr val="3A579D"/>
              </a:solidFill>
              <a:ln w="12700">
                <a:solidFill>
                  <a:schemeClr val="bg1"/>
                </a:solidFill>
              </a:ln>
              <a:effectLst>
                <a:outerShdw blurRad="63500" sx="102000" sy="102000" algn="ctr" rotWithShape="0">
                  <a:prstClr val="black">
                    <a:alpha val="40000"/>
                  </a:prstClr>
                </a:outerShdw>
              </a:effectLst>
            </c:spPr>
          </c:dPt>
          <c:dLbls>
            <c:dLbl>
              <c:idx val="0"/>
              <c:layout/>
              <c:numFmt formatCode="General" sourceLinked="1"/>
              <c:spPr>
                <a:solidFill>
                  <a:srgbClr val="1C2B56"/>
                </a:solid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FFFFFF"/>
                      </a:solidFill>
                      <a:latin typeface="微软雅黑" panose="020B0503020204020204" charset="-122"/>
                      <a:ea typeface="微软雅黑" panose="020B0503020204020204" charset="-122"/>
                      <a:cs typeface="微软雅黑" panose="020B0503020204020204" charset="-122"/>
                    </a:defRPr>
                  </a:pPr>
                </a:p>
              </c:txPr>
              <c:dLblPos val="bestFit"/>
              <c:showLegendKey val="0"/>
              <c:showVal val="0"/>
              <c:showCatName val="0"/>
              <c:showSerName val="1"/>
              <c:showPercent val="1"/>
              <c:showBubbleSize val="0"/>
              <c:extLst>
                <c:ext xmlns:c15="http://schemas.microsoft.com/office/drawing/2012/chart" uri="{CE6537A1-D6FC-4f65-9D91-7224C49458BB}"/>
              </c:extLst>
            </c:dLbl>
            <c:dLbl>
              <c:idx val="1"/>
              <c:layout/>
              <c:numFmt formatCode="General" sourceLinked="1"/>
              <c:spPr>
                <a:solidFill>
                  <a:srgbClr val="35B3C1"/>
                </a:solid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FFFFFF"/>
                      </a:solidFill>
                      <a:latin typeface="微软雅黑" panose="020B0503020204020204" charset="-122"/>
                      <a:ea typeface="微软雅黑" panose="020B0503020204020204" charset="-122"/>
                      <a:cs typeface="微软雅黑" panose="020B0503020204020204" charset="-122"/>
                    </a:defRPr>
                  </a:pPr>
                </a:p>
              </c:txPr>
              <c:dLblPos val="bestFit"/>
              <c:showLegendKey val="0"/>
              <c:showVal val="0"/>
              <c:showCatName val="0"/>
              <c:showSerName val="1"/>
              <c:showPercent val="1"/>
              <c:showBubbleSize val="0"/>
              <c:extLst>
                <c:ext xmlns:c15="http://schemas.microsoft.com/office/drawing/2012/chart" uri="{CE6537A1-D6FC-4f65-9D91-7224C49458BB}"/>
              </c:extLst>
            </c:dLbl>
            <c:spPr>
              <a:solidFill>
                <a:srgbClr val="3A579D"/>
              </a:solid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FFFFFF"/>
                    </a:solidFill>
                    <a:latin typeface="微软雅黑" panose="020B0503020204020204" charset="-122"/>
                    <a:ea typeface="微软雅黑" panose="020B0503020204020204" charset="-122"/>
                    <a:cs typeface="微软雅黑" panose="020B0503020204020204" charset="-122"/>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3175" cap="flat" cmpd="sng" algn="ctr">
                      <a:solidFill>
                        <a:srgbClr val="808080"/>
                      </a:solidFill>
                      <a:prstDash val="solid"/>
                      <a:round/>
                    </a:ln>
                  </c:spPr>
                </c15:leaderLines>
              </c:ext>
            </c:extLst>
          </c:dLbls>
          <c:cat>
            <c:strRef>
              <c:f>'[图表 在 文档 6]Sheet1'!$F$10:$H$10</c:f>
              <c:strCache>
                <c:ptCount val="3"/>
                <c:pt idx="0">
                  <c:v>因公出国（境）</c:v>
                </c:pt>
                <c:pt idx="1">
                  <c:v>公务用车购置及运行维护</c:v>
                </c:pt>
                <c:pt idx="2">
                  <c:v>公务接待费</c:v>
                </c:pt>
              </c:strCache>
            </c:strRef>
          </c:cat>
          <c:val>
            <c:numRef>
              <c:f>'[图表 在 文档 6]Sheet1'!$F$11:$H$11</c:f>
              <c:numCache>
                <c:formatCode>General</c:formatCode>
                <c:ptCount val="3"/>
                <c:pt idx="0">
                  <c:v>0</c:v>
                </c:pt>
                <c:pt idx="1">
                  <c:v>0</c:v>
                </c:pt>
                <c:pt idx="2">
                  <c:v>0</c:v>
                </c:pt>
              </c:numCache>
            </c:numRef>
          </c:val>
        </c:ser>
        <c:dLbls>
          <c:showLegendKey val="0"/>
          <c:showVal val="0"/>
          <c:showCatName val="0"/>
          <c:showSerName val="0"/>
          <c:showPercent val="1"/>
          <c:showBubbleSize val="0"/>
          <c:showLeaderLines val="1"/>
        </c:dLbls>
        <c:firstSliceAng val="221"/>
      </c:pieChart>
      <c:spPr>
        <a:noFill/>
        <a:ln>
          <a:noFill/>
        </a:ln>
        <a:effectLst/>
      </c:spPr>
    </c:plotArea>
    <c:legend>
      <c:legendPos val="r"/>
      <c:layout>
        <c:manualLayout>
          <c:xMode val="edge"/>
          <c:yMode val="edge"/>
          <c:x val="0.677796327212022"/>
          <c:y val="0.487311154472714"/>
          <c:w val="0.293823038397329"/>
          <c:h val="0.256345971884086"/>
        </c:manualLayout>
      </c:layout>
      <c:overlay val="0"/>
      <c:spPr>
        <a:noFill/>
        <a:ln>
          <a:noFill/>
        </a:ln>
        <a:effectLst/>
      </c:spPr>
      <c:txPr>
        <a:bodyPr rot="0" spcFirstLastPara="0" vertOverflow="ellipsis" vert="horz" wrap="square" anchor="ctr" anchorCtr="1"/>
        <a:lstStyle/>
        <a:p>
          <a:pPr>
            <a:defRPr lang="zh-CN" sz="825" b="0" i="0" u="none" strike="noStrike" kern="1200" baseline="0">
              <a:solidFill>
                <a:srgbClr val="000000"/>
              </a:solidFill>
              <a:latin typeface="微软雅黑" panose="020B0503020204020204" charset="-122"/>
              <a:ea typeface="微软雅黑" panose="020B0503020204020204" charset="-122"/>
              <a:cs typeface="微软雅黑" panose="020B0503020204020204" charset="-122"/>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a:lstStyle/>
    <a:p>
      <a:pPr>
        <a:defRPr lang="zh-CN" sz="900" b="0" i="0" u="none" strike="noStrike" baseline="0">
          <a:solidFill>
            <a:srgbClr val="000000"/>
          </a:solidFill>
          <a:latin typeface="微软雅黑" panose="020B0503020204020204" charset="-122"/>
          <a:ea typeface="微软雅黑" panose="020B0503020204020204" charset="-122"/>
          <a:cs typeface="微软雅黑" panose="020B0503020204020204"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63FCE-E055-452F-A2E9-45F6480B7FBB}">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17</Pages>
  <Words>3809</Words>
  <Characters>4179</Characters>
  <Lines>44</Lines>
  <Paragraphs>12</Paragraphs>
  <TotalTime>925</TotalTime>
  <ScaleCrop>false</ScaleCrop>
  <LinksUpToDate>false</LinksUpToDate>
  <CharactersWithSpaces>4302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lzjyj</cp:lastModifiedBy>
  <cp:lastPrinted>2023-10-09T09:48:00Z</cp:lastPrinted>
  <dcterms:modified xsi:type="dcterms:W3CDTF">2023-10-15T05:50:08Z</dcterms:modified>
  <dc:title>四川省***</dc:title>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074E8A0DB00C462F8B698C2E2F941BFF</vt:lpwstr>
  </property>
</Properties>
</file>