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jc w:val="center"/>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96475"/>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jc w:val="center"/>
        <w:rPr>
          <w:rFonts w:ascii="方正小标宋简体" w:hAnsi="方正小标宋简体" w:eastAsia="方正小标宋简体" w:cs="方正小标宋简体"/>
          <w:sz w:val="72"/>
          <w:szCs w:val="72"/>
        </w:rPr>
      </w:pPr>
      <w:bookmarkStart w:id="6" w:name="_Toc15377194"/>
      <w:bookmarkStart w:id="7" w:name="_Toc15306268"/>
      <w:bookmarkStart w:id="8" w:name="_Toc15396598"/>
      <w:bookmarkStart w:id="9" w:name="_Toc15396476"/>
      <w:bookmarkStart w:id="10" w:name="_Toc15377426"/>
      <w:bookmarkStart w:id="11" w:name="_Toc15378442"/>
      <w:r>
        <w:rPr>
          <w:rFonts w:hint="eastAsia" w:ascii="方正小标宋简体" w:hAnsi="方正小标宋简体" w:eastAsia="方正小标宋简体" w:cs="方正小标宋简体"/>
          <w:sz w:val="72"/>
          <w:szCs w:val="72"/>
        </w:rPr>
        <w:t>广元市利州区嘉陵第一初级中学单位决算</w:t>
      </w:r>
      <w:bookmarkEnd w:id="6"/>
      <w:bookmarkEnd w:id="7"/>
      <w:bookmarkEnd w:id="8"/>
      <w:bookmarkEnd w:id="9"/>
      <w:bookmarkEnd w:id="10"/>
      <w:bookmarkEnd w:id="11"/>
    </w:p>
    <w:p>
      <w:pPr>
        <w:widowControl/>
        <w:jc w:val="center"/>
        <w:rPr>
          <w:rFonts w:ascii="黑体" w:hAnsi="黑体" w:eastAsia="黑体"/>
          <w:sz w:val="48"/>
          <w:szCs w:val="48"/>
        </w:rPr>
        <w:sectPr>
          <w:footerReference r:id="rId4" w:type="first"/>
          <w:headerReference r:id="rId3"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pStyle w:val="10"/>
        <w:rPr>
          <w:sz w:val="24"/>
        </w:rPr>
      </w:pPr>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sdt>
      <w:sdtPr>
        <w:rPr>
          <w:rFonts w:ascii="Times New Roman" w:hAnsi="Times New Roman" w:eastAsia="宋体"/>
          <w:sz w:val="21"/>
          <w:szCs w:val="24"/>
          <w:lang w:val="zh-CN"/>
        </w:rPr>
        <w:id w:val="-1744838358"/>
        <w:docPartObj>
          <w:docPartGallery w:val="Table of Contents"/>
          <w:docPartUnique/>
        </w:docPartObj>
      </w:sdtPr>
      <w:sdtEndPr>
        <w:rPr>
          <w:rFonts w:ascii="仿宋" w:hAnsi="仿宋" w:eastAsia="仿宋"/>
          <w:sz w:val="28"/>
          <w:szCs w:val="28"/>
          <w:lang w:val="en-US"/>
        </w:rPr>
      </w:sdtEndPr>
      <w:sdtContent>
        <w:p>
          <w:pPr>
            <w:pStyle w:val="10"/>
            <w:jc w:val="left"/>
            <w:rPr>
              <w:rFonts w:asciiTheme="minorHAnsi" w:hAnsiTheme="minorHAnsi" w:eastAsiaTheme="minorEastAsia" w:cstheme="minorBidi"/>
              <w:sz w:val="21"/>
              <w:szCs w:val="22"/>
            </w:rPr>
          </w:pPr>
          <w:bookmarkStart w:id="12" w:name="_Toc15377196"/>
          <w:bookmarkStart w:id="13" w:name="_Toc15396599"/>
          <w:r>
            <w:fldChar w:fldCharType="begin"/>
          </w:r>
          <w:r>
            <w:instrText xml:space="preserve"> TOC \o "1-3" \n \p " " \u </w:instrText>
          </w:r>
          <w: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rPr>
            <w:t>单位概况</w:t>
          </w:r>
        </w:p>
        <w:p>
          <w:pPr>
            <w:pStyle w:val="11"/>
            <w:rPr>
              <w:rFonts w:asciiTheme="minorHAnsi" w:hAnsiTheme="minorHAnsi" w:eastAsiaTheme="minorEastAsia" w:cstheme="minorBidi"/>
              <w:szCs w:val="22"/>
            </w:rPr>
          </w:pPr>
          <w:r>
            <w:rPr>
              <w:rFonts w:hint="eastAsia" w:ascii="黑体" w:hAnsi="黑体" w:eastAsia="黑体"/>
            </w:rPr>
            <w:t>一、主要职责</w:t>
          </w:r>
        </w:p>
        <w:p>
          <w:pPr>
            <w:pStyle w:val="11"/>
            <w:rPr>
              <w:rFonts w:asciiTheme="minorHAnsi" w:hAnsiTheme="minorHAnsi" w:eastAsiaTheme="minorEastAsia" w:cstheme="minorBidi"/>
              <w:szCs w:val="22"/>
            </w:rPr>
          </w:pPr>
          <w:r>
            <w:rPr>
              <w:rFonts w:hint="eastAsia" w:ascii="黑体" w:hAnsi="黑体" w:eastAsia="黑体"/>
            </w:rPr>
            <w:t>二、机构设置</w:t>
          </w:r>
        </w:p>
        <w:p>
          <w:pPr>
            <w:pStyle w:val="10"/>
            <w:jc w:val="left"/>
            <w:rPr>
              <w:rFonts w:asciiTheme="minorHAnsi" w:hAnsiTheme="minorHAnsi" w:eastAsiaTheme="minorEastAsia" w:cstheme="minorBidi"/>
              <w:sz w:val="21"/>
              <w:szCs w:val="22"/>
            </w:rPr>
          </w:pPr>
          <w:r>
            <w:rPr>
              <w:rFonts w:hint="eastAsia" w:ascii="黑体" w:hAnsi="黑体" w:eastAsia="黑体"/>
            </w:rPr>
            <w:t>第二部分</w:t>
          </w:r>
          <w:r>
            <w:rPr>
              <w:rFonts w:ascii="黑体" w:hAnsi="黑体" w:eastAsia="黑体"/>
            </w:rPr>
            <w:t xml:space="preserve"> 2022</w:t>
          </w:r>
          <w:r>
            <w:rPr>
              <w:rFonts w:hint="eastAsia" w:ascii="黑体" w:hAnsi="黑体" w:eastAsia="黑体"/>
            </w:rPr>
            <w:t>年度单位决算情况说明</w:t>
          </w:r>
        </w:p>
        <w:p>
          <w:pPr>
            <w:pStyle w:val="11"/>
            <w:rPr>
              <w:rFonts w:asciiTheme="minorHAnsi" w:hAnsiTheme="minorHAnsi" w:eastAsiaTheme="minorEastAsia" w:cstheme="minorBidi"/>
              <w:szCs w:val="22"/>
            </w:rPr>
          </w:pPr>
          <w:r>
            <w:rPr>
              <w:rFonts w:hint="eastAsia" w:ascii="黑体" w:hAnsi="黑体" w:eastAsia="黑体"/>
            </w:rPr>
            <w:t>一、收入支出决算总体情况说明</w:t>
          </w:r>
        </w:p>
        <w:p>
          <w:pPr>
            <w:pStyle w:val="11"/>
            <w:rPr>
              <w:rFonts w:asciiTheme="minorHAnsi" w:hAnsiTheme="minorHAnsi" w:eastAsiaTheme="minorEastAsia" w:cstheme="minorBidi"/>
              <w:szCs w:val="22"/>
            </w:rPr>
          </w:pPr>
          <w:r>
            <w:rPr>
              <w:rFonts w:hint="eastAsia" w:ascii="黑体" w:hAnsi="黑体" w:eastAsia="黑体"/>
            </w:rPr>
            <w:t>二、收入决算情况说明</w:t>
          </w:r>
        </w:p>
        <w:p>
          <w:pPr>
            <w:pStyle w:val="11"/>
            <w:rPr>
              <w:rFonts w:asciiTheme="minorHAnsi" w:hAnsiTheme="minorHAnsi" w:eastAsiaTheme="minorEastAsia" w:cstheme="minorBidi"/>
              <w:szCs w:val="22"/>
            </w:rPr>
          </w:pPr>
          <w:r>
            <w:rPr>
              <w:rFonts w:hint="eastAsia" w:ascii="黑体" w:hAnsi="黑体" w:eastAsia="黑体"/>
            </w:rPr>
            <w:t>三、支出决算情况说明</w:t>
          </w:r>
        </w:p>
        <w:p>
          <w:pPr>
            <w:pStyle w:val="11"/>
            <w:rPr>
              <w:rFonts w:hint="eastAsia" w:ascii="宋体" w:hAnsi="宋体" w:eastAsia="宋体" w:cs="宋体"/>
              <w:sz w:val="21"/>
              <w:szCs w:val="21"/>
            </w:rPr>
          </w:pPr>
          <w:r>
            <w:rPr>
              <w:rFonts w:hint="eastAsia" w:ascii="黑体" w:hAnsi="黑体" w:eastAsia="黑体"/>
            </w:rPr>
            <w:t>四、财政拨款收入支出决算总体情况说明</w:t>
          </w:r>
        </w:p>
        <w:p>
          <w:pPr>
            <w:pStyle w:val="11"/>
            <w:rPr>
              <w:rFonts w:asciiTheme="minorHAnsi" w:hAnsiTheme="minorHAnsi" w:eastAsiaTheme="minorEastAsia" w:cstheme="minorBidi"/>
              <w:szCs w:val="22"/>
            </w:rPr>
          </w:pPr>
          <w:r>
            <w:rPr>
              <w:rFonts w:hint="eastAsia" w:ascii="黑体" w:hAnsi="黑体" w:eastAsia="黑体"/>
            </w:rPr>
            <w:t>五、一般公共预算财政拨款支出决算情况说明</w:t>
          </w:r>
        </w:p>
        <w:p>
          <w:pPr>
            <w:pStyle w:val="11"/>
            <w:rPr>
              <w:rFonts w:asciiTheme="minorHAnsi" w:hAnsiTheme="minorHAnsi" w:eastAsiaTheme="minorEastAsia" w:cstheme="minorBidi"/>
              <w:szCs w:val="22"/>
            </w:rPr>
          </w:pPr>
          <w:r>
            <w:rPr>
              <w:rFonts w:hint="eastAsia" w:ascii="黑体" w:hAnsi="黑体" w:eastAsia="黑体"/>
            </w:rPr>
            <w:t>六、一般公共预算财政拨款基本支出决算情况说明</w:t>
          </w:r>
        </w:p>
        <w:p>
          <w:pPr>
            <w:pStyle w:val="11"/>
            <w:rPr>
              <w:rFonts w:asciiTheme="minorHAnsi" w:hAnsiTheme="minorHAnsi" w:eastAsiaTheme="minorEastAsia" w:cstheme="minorBidi"/>
              <w:szCs w:val="22"/>
            </w:rPr>
          </w:pPr>
          <w:r>
            <w:rPr>
              <w:rFonts w:hint="eastAsia" w:ascii="黑体" w:hAnsi="黑体" w:eastAsia="黑体"/>
            </w:rPr>
            <w:t>七、财政拨款“三公”经费支出决算情况说明</w:t>
          </w:r>
        </w:p>
        <w:p>
          <w:pPr>
            <w:pStyle w:val="11"/>
            <w:rPr>
              <w:rFonts w:asciiTheme="minorHAnsi" w:hAnsiTheme="minorHAnsi" w:eastAsiaTheme="minorEastAsia" w:cstheme="minorBidi"/>
              <w:szCs w:val="22"/>
            </w:rPr>
          </w:pPr>
          <w:r>
            <w:rPr>
              <w:rFonts w:hint="eastAsia" w:ascii="黑体" w:hAnsi="黑体" w:eastAsia="黑体"/>
            </w:rPr>
            <w:t>八、政府性基金预算支出决算情况说明</w:t>
          </w:r>
        </w:p>
        <w:p>
          <w:pPr>
            <w:pStyle w:val="11"/>
            <w:rPr>
              <w:rFonts w:asciiTheme="minorHAnsi" w:hAnsiTheme="minorHAnsi" w:eastAsiaTheme="minorEastAsia" w:cstheme="minorBidi"/>
              <w:szCs w:val="22"/>
            </w:rPr>
          </w:pPr>
          <w:r>
            <w:rPr>
              <w:rFonts w:hint="eastAsia" w:ascii="黑体" w:hAnsi="黑体" w:eastAsia="黑体"/>
            </w:rPr>
            <w:t>九、国有资本经营预算支出决算情况说明</w:t>
          </w:r>
        </w:p>
        <w:p>
          <w:pPr>
            <w:pStyle w:val="11"/>
            <w:rPr>
              <w:rFonts w:asciiTheme="minorHAnsi" w:hAnsiTheme="minorHAnsi" w:eastAsiaTheme="minorEastAsia" w:cstheme="minorBidi"/>
              <w:szCs w:val="22"/>
            </w:rPr>
          </w:pPr>
          <w:r>
            <w:rPr>
              <w:rFonts w:hint="eastAsia" w:ascii="黑体" w:hAnsi="黑体" w:eastAsia="黑体"/>
            </w:rPr>
            <w:t>十、其他重要事项的情况说明</w:t>
          </w:r>
        </w:p>
        <w:p>
          <w:pPr>
            <w:pStyle w:val="10"/>
            <w:jc w:val="left"/>
            <w:rPr>
              <w:rFonts w:asciiTheme="minorHAnsi" w:hAnsiTheme="minorHAnsi" w:eastAsiaTheme="minorEastAsia" w:cstheme="minorBidi"/>
              <w:sz w:val="21"/>
              <w:szCs w:val="22"/>
            </w:rPr>
          </w:pPr>
          <w:r>
            <w:rPr>
              <w:rFonts w:hint="eastAsia" w:ascii="黑体" w:hAnsi="黑体" w:eastAsia="黑体" w:cs="黑体"/>
              <w:bCs/>
              <w:kern w:val="44"/>
            </w:rPr>
            <w:t>第三部分</w:t>
          </w:r>
          <w:r>
            <w:rPr>
              <w:rFonts w:hint="eastAsia" w:ascii="黑体" w:hAnsi="黑体" w:eastAsia="黑体"/>
            </w:rPr>
            <w:t xml:space="preserve"> 名</w:t>
          </w:r>
          <w:r>
            <w:rPr>
              <w:rFonts w:hint="eastAsia" w:ascii="黑体" w:hAnsi="黑体" w:eastAsia="黑体"/>
              <w:bCs/>
              <w:kern w:val="44"/>
            </w:rPr>
            <w:t>词解释</w:t>
          </w:r>
        </w:p>
        <w:p>
          <w:pPr>
            <w:pStyle w:val="10"/>
            <w:jc w:val="left"/>
            <w:rPr>
              <w:rFonts w:hint="eastAsia" w:ascii="黑体" w:hAnsi="黑体" w:eastAsia="黑体"/>
              <w:bCs/>
              <w:kern w:val="44"/>
            </w:rPr>
          </w:pPr>
          <w:r>
            <w:rPr>
              <w:rFonts w:hint="eastAsia" w:ascii="黑体" w:hAnsi="黑体" w:eastAsia="黑体"/>
            </w:rPr>
            <w:t>第</w:t>
          </w:r>
          <w:r>
            <w:rPr>
              <w:rFonts w:hint="eastAsia" w:ascii="黑体" w:hAnsi="黑体" w:eastAsia="黑体"/>
              <w:bCs/>
              <w:kern w:val="44"/>
            </w:rPr>
            <w:t>四部分</w:t>
          </w:r>
          <w:r>
            <w:rPr>
              <w:rFonts w:ascii="黑体" w:hAnsi="黑体" w:eastAsia="黑体"/>
              <w:bCs/>
              <w:kern w:val="44"/>
            </w:rPr>
            <w:t xml:space="preserve"> </w:t>
          </w:r>
          <w:r>
            <w:rPr>
              <w:rFonts w:hint="eastAsia" w:ascii="黑体" w:hAnsi="黑体" w:eastAsia="黑体"/>
              <w:bCs/>
              <w:kern w:val="44"/>
            </w:rPr>
            <w:t>附件</w:t>
          </w:r>
        </w:p>
        <w:p>
          <w:pPr>
            <w:pStyle w:val="11"/>
            <w:rPr>
              <w:rFonts w:hint="eastAsia" w:ascii="黑体" w:hAnsi="黑体" w:eastAsia="黑体" w:cs="Times New Roman"/>
            </w:rPr>
          </w:pPr>
          <w:r>
            <w:rPr>
              <w:rFonts w:hint="eastAsia" w:ascii="黑体" w:hAnsi="黑体" w:eastAsia="黑体" w:cs="Times New Roman"/>
              <w:lang w:val="en-US" w:eastAsia="zh-CN"/>
            </w:rPr>
            <w:t>部门预算项目支出绩效自评表（2022年度）</w:t>
          </w:r>
        </w:p>
        <w:p>
          <w:pPr>
            <w:pStyle w:val="10"/>
            <w:jc w:val="left"/>
            <w:rPr>
              <w:rFonts w:asciiTheme="minorHAnsi" w:hAnsiTheme="minorHAnsi" w:eastAsiaTheme="minorEastAsia" w:cstheme="minorBidi"/>
              <w:sz w:val="21"/>
              <w:szCs w:val="22"/>
            </w:rPr>
          </w:pPr>
          <w:r>
            <w:rPr>
              <w:rFonts w:hint="eastAsia" w:ascii="黑体" w:hAnsi="黑体" w:eastAsia="黑体"/>
            </w:rPr>
            <w:t>第</w:t>
          </w:r>
          <w:r>
            <w:rPr>
              <w:rFonts w:hint="eastAsia" w:ascii="黑体" w:hAnsi="黑体" w:eastAsia="黑体"/>
              <w:bCs/>
              <w:kern w:val="44"/>
            </w:rPr>
            <w:t>五部分</w:t>
          </w:r>
          <w:r>
            <w:rPr>
              <w:rFonts w:ascii="黑体" w:hAnsi="黑体" w:eastAsia="黑体"/>
              <w:bCs/>
              <w:kern w:val="44"/>
            </w:rPr>
            <w:t xml:space="preserve"> </w:t>
          </w:r>
          <w:r>
            <w:rPr>
              <w:rFonts w:hint="eastAsia" w:ascii="黑体" w:hAnsi="黑体" w:eastAsia="黑体"/>
              <w:bCs/>
              <w:kern w:val="44"/>
            </w:rPr>
            <w:t>附表</w:t>
          </w:r>
        </w:p>
        <w:p>
          <w:pPr>
            <w:pStyle w:val="11"/>
            <w:rPr>
              <w:rFonts w:asciiTheme="minorHAnsi" w:hAnsiTheme="minorHAnsi" w:eastAsiaTheme="minorEastAsia" w:cstheme="minorBidi"/>
              <w:szCs w:val="22"/>
            </w:rPr>
          </w:pPr>
          <w:r>
            <w:rPr>
              <w:rFonts w:hint="eastAsia" w:ascii="仿宋" w:hAnsi="仿宋" w:eastAsia="仿宋" w:cs="仿宋"/>
              <w:spacing w:val="-8"/>
            </w:rPr>
            <w:t>一、收入支出决算总表</w:t>
          </w:r>
        </w:p>
        <w:p>
          <w:pPr>
            <w:pStyle w:val="11"/>
            <w:rPr>
              <w:rFonts w:asciiTheme="minorHAnsi" w:hAnsiTheme="minorHAnsi" w:eastAsiaTheme="minorEastAsia" w:cstheme="minorBidi"/>
              <w:szCs w:val="22"/>
            </w:rPr>
          </w:pPr>
          <w:r>
            <w:rPr>
              <w:rFonts w:hint="eastAsia" w:ascii="仿宋" w:hAnsi="仿宋" w:eastAsia="仿宋" w:cs="仿宋"/>
              <w:spacing w:val="-8"/>
            </w:rPr>
            <w:t>二、收入决算表</w:t>
          </w:r>
        </w:p>
        <w:p>
          <w:pPr>
            <w:pStyle w:val="11"/>
            <w:rPr>
              <w:rFonts w:asciiTheme="minorHAnsi" w:hAnsiTheme="minorHAnsi" w:eastAsiaTheme="minorEastAsia" w:cstheme="minorBidi"/>
              <w:szCs w:val="22"/>
            </w:rPr>
          </w:pPr>
          <w:r>
            <w:rPr>
              <w:rFonts w:hint="eastAsia" w:ascii="仿宋" w:hAnsi="仿宋" w:eastAsia="仿宋" w:cs="仿宋"/>
              <w:spacing w:val="-8"/>
            </w:rPr>
            <w:t>三、支出决算表</w:t>
          </w:r>
        </w:p>
        <w:p>
          <w:pPr>
            <w:pStyle w:val="11"/>
            <w:rPr>
              <w:rFonts w:asciiTheme="minorHAnsi" w:hAnsiTheme="minorHAnsi" w:eastAsiaTheme="minorEastAsia" w:cstheme="minorBidi"/>
              <w:szCs w:val="22"/>
            </w:rPr>
          </w:pPr>
          <w:r>
            <w:rPr>
              <w:rFonts w:hint="eastAsia" w:ascii="仿宋" w:hAnsi="仿宋" w:eastAsia="仿宋" w:cs="仿宋"/>
              <w:spacing w:val="-8"/>
            </w:rPr>
            <w:t>四、财政拨款收入支出决算总表</w:t>
          </w:r>
        </w:p>
        <w:p>
          <w:pPr>
            <w:pStyle w:val="11"/>
            <w:rPr>
              <w:rFonts w:asciiTheme="minorHAnsi" w:hAnsiTheme="minorHAnsi" w:eastAsiaTheme="minorEastAsia" w:cstheme="minorBidi"/>
              <w:szCs w:val="22"/>
            </w:rPr>
          </w:pPr>
          <w:r>
            <w:rPr>
              <w:rFonts w:hint="eastAsia" w:ascii="仿宋" w:hAnsi="仿宋" w:eastAsia="仿宋" w:cs="仿宋"/>
              <w:spacing w:val="-8"/>
            </w:rPr>
            <w:t>五、财政拨款支出决算明细表</w:t>
          </w:r>
        </w:p>
        <w:p>
          <w:pPr>
            <w:pStyle w:val="11"/>
            <w:rPr>
              <w:rFonts w:asciiTheme="minorHAnsi" w:hAnsiTheme="minorHAnsi" w:eastAsiaTheme="minorEastAsia" w:cstheme="minorBidi"/>
              <w:szCs w:val="22"/>
            </w:rPr>
          </w:pPr>
          <w:r>
            <w:rPr>
              <w:rFonts w:hint="eastAsia" w:ascii="仿宋" w:hAnsi="仿宋" w:eastAsia="仿宋" w:cs="仿宋"/>
              <w:spacing w:val="-8"/>
            </w:rPr>
            <w:t>六、一般公共预算财政拨款支出决算表</w:t>
          </w:r>
        </w:p>
        <w:p>
          <w:pPr>
            <w:pStyle w:val="11"/>
            <w:rPr>
              <w:rFonts w:asciiTheme="minorHAnsi" w:hAnsiTheme="minorHAnsi" w:eastAsiaTheme="minorEastAsia" w:cstheme="minorBidi"/>
              <w:szCs w:val="22"/>
            </w:rPr>
          </w:pPr>
          <w:r>
            <w:rPr>
              <w:rFonts w:hint="eastAsia" w:ascii="仿宋" w:hAnsi="仿宋" w:eastAsia="仿宋" w:cs="仿宋"/>
              <w:spacing w:val="-8"/>
            </w:rPr>
            <w:t>七、一般公共预算财政拨款支出决算明细表</w:t>
          </w:r>
        </w:p>
        <w:p>
          <w:pPr>
            <w:pStyle w:val="11"/>
            <w:rPr>
              <w:rFonts w:asciiTheme="minorHAnsi" w:hAnsiTheme="minorHAnsi" w:eastAsiaTheme="minorEastAsia" w:cstheme="minorBidi"/>
              <w:szCs w:val="22"/>
            </w:rPr>
          </w:pPr>
          <w:r>
            <w:rPr>
              <w:rFonts w:hint="eastAsia" w:ascii="仿宋" w:hAnsi="仿宋" w:eastAsia="仿宋" w:cs="仿宋"/>
              <w:spacing w:val="-8"/>
            </w:rPr>
            <w:t>八、一般公共预算财政拨款基本支出决算表</w:t>
          </w:r>
        </w:p>
        <w:p>
          <w:pPr>
            <w:pStyle w:val="11"/>
            <w:rPr>
              <w:rFonts w:asciiTheme="minorHAnsi" w:hAnsiTheme="minorHAnsi" w:eastAsiaTheme="minorEastAsia" w:cstheme="minorBidi"/>
              <w:szCs w:val="22"/>
            </w:rPr>
          </w:pPr>
          <w:r>
            <w:rPr>
              <w:rFonts w:hint="eastAsia" w:ascii="仿宋" w:hAnsi="仿宋" w:eastAsia="仿宋" w:cs="仿宋"/>
              <w:spacing w:val="-8"/>
            </w:rPr>
            <w:t>九、一般公共预算财政拨款项目支出决算表</w:t>
          </w:r>
        </w:p>
        <w:p>
          <w:pPr>
            <w:pStyle w:val="11"/>
            <w:rPr>
              <w:rFonts w:asciiTheme="minorHAnsi" w:hAnsiTheme="minorHAnsi" w:eastAsiaTheme="minorEastAsia" w:cstheme="minorBidi"/>
              <w:szCs w:val="22"/>
            </w:rPr>
          </w:pPr>
          <w:r>
            <w:rPr>
              <w:rFonts w:hint="eastAsia" w:ascii="仿宋" w:hAnsi="仿宋" w:eastAsia="仿宋" w:cs="仿宋"/>
              <w:spacing w:val="-8"/>
            </w:rPr>
            <w:t>十、政府性基金预算财政拨款收入支出决算表</w:t>
          </w:r>
        </w:p>
        <w:p>
          <w:pPr>
            <w:pStyle w:val="11"/>
            <w:rPr>
              <w:rFonts w:asciiTheme="minorHAnsi" w:hAnsiTheme="minorHAnsi" w:eastAsiaTheme="minorEastAsia" w:cstheme="minorBidi"/>
              <w:szCs w:val="22"/>
            </w:rPr>
          </w:pPr>
          <w:r>
            <w:rPr>
              <w:rFonts w:hint="eastAsia" w:ascii="仿宋" w:hAnsi="仿宋" w:eastAsia="仿宋" w:cs="仿宋"/>
              <w:spacing w:val="-8"/>
            </w:rPr>
            <w:t>十一、国有资本经营预算财政拨款收入支出决算表</w:t>
          </w:r>
        </w:p>
        <w:p>
          <w:pPr>
            <w:pStyle w:val="11"/>
            <w:rPr>
              <w:rFonts w:asciiTheme="minorHAnsi" w:hAnsiTheme="minorHAnsi" w:eastAsiaTheme="minorEastAsia" w:cstheme="minorBidi"/>
              <w:szCs w:val="22"/>
            </w:rPr>
          </w:pPr>
          <w:r>
            <w:rPr>
              <w:rFonts w:hint="eastAsia" w:ascii="仿宋" w:hAnsi="仿宋" w:eastAsia="仿宋" w:cs="仿宋"/>
              <w:spacing w:val="-8"/>
            </w:rPr>
            <w:t>十二、国有资本经营预算财政拨款支出决算表</w:t>
          </w:r>
        </w:p>
        <w:p>
          <w:pPr>
            <w:pStyle w:val="11"/>
            <w:rPr>
              <w:rFonts w:asciiTheme="minorHAnsi" w:hAnsiTheme="minorHAnsi" w:eastAsiaTheme="minorEastAsia" w:cstheme="minorBidi"/>
              <w:szCs w:val="22"/>
            </w:rPr>
          </w:pPr>
          <w:r>
            <w:rPr>
              <w:rFonts w:hint="eastAsia" w:ascii="仿宋" w:hAnsi="仿宋" w:eastAsia="仿宋" w:cs="仿宋"/>
              <w:spacing w:val="-8"/>
            </w:rPr>
            <w:t>十三、财政拨款“三公”经费支出决算表</w:t>
          </w:r>
        </w:p>
        <w:p>
          <w:pPr>
            <w:pStyle w:val="10"/>
          </w:pPr>
          <w:r>
            <w:fldChar w:fldCharType="end"/>
          </w:r>
        </w:p>
      </w:sdtContent>
    </w:sdt>
    <w:p>
      <w:pPr>
        <w:pStyle w:val="3"/>
        <w:jc w:val="center"/>
        <w:rPr>
          <w:rFonts w:ascii="黑体" w:hAnsi="黑体" w:eastAsia="黑体"/>
          <w:b w:val="0"/>
        </w:rPr>
        <w:sectPr>
          <w:pgSz w:w="11906" w:h="16838"/>
          <w:pgMar w:top="1440" w:right="1800" w:bottom="1440" w:left="1800" w:header="851" w:footer="992" w:gutter="0"/>
          <w:pgNumType w:start="1"/>
          <w:cols w:space="425" w:num="1"/>
          <w:titlePg/>
          <w:docGrid w:type="lines" w:linePitch="312" w:charSpace="0"/>
        </w:sectPr>
      </w:pPr>
    </w:p>
    <w:p>
      <w:pPr>
        <w:pStyle w:val="3"/>
        <w:jc w:val="center"/>
        <w:rPr>
          <w:rStyle w:val="26"/>
          <w:rFonts w:ascii="黑体" w:hAnsi="黑体" w:eastAsia="黑体"/>
          <w:b/>
          <w:bCs w:val="0"/>
        </w:rPr>
      </w:pPr>
      <w:bookmarkStart w:id="14" w:name="_Toc146046780"/>
      <w:bookmarkStart w:id="15" w:name="_Toc144939396"/>
      <w:bookmarkStart w:id="16" w:name="_Toc146045953"/>
      <w:r>
        <w:rPr>
          <w:rFonts w:hint="eastAsia" w:ascii="黑体" w:hAnsi="黑体" w:eastAsia="黑体"/>
          <w:b w:val="0"/>
        </w:rPr>
        <w:t>第一部分 单位</w:t>
      </w:r>
      <w:r>
        <w:rPr>
          <w:rStyle w:val="26"/>
          <w:rFonts w:hint="eastAsia" w:ascii="黑体" w:hAnsi="黑体" w:eastAsia="黑体"/>
          <w:b w:val="0"/>
          <w:bCs w:val="0"/>
        </w:rPr>
        <w:t>概况</w:t>
      </w:r>
      <w:bookmarkEnd w:id="12"/>
      <w:bookmarkEnd w:id="13"/>
      <w:bookmarkEnd w:id="14"/>
      <w:bookmarkEnd w:id="15"/>
      <w:bookmarkEnd w:id="16"/>
    </w:p>
    <w:p>
      <w:pPr>
        <w:pStyle w:val="4"/>
        <w:rPr>
          <w:rStyle w:val="27"/>
          <w:rFonts w:ascii="黑体" w:hAnsi="黑体" w:eastAsia="黑体"/>
          <w:b w:val="0"/>
          <w:bCs w:val="0"/>
        </w:rPr>
      </w:pPr>
      <w:bookmarkStart w:id="17" w:name="_Toc146045954"/>
      <w:bookmarkStart w:id="18" w:name="_Toc144939397"/>
      <w:bookmarkStart w:id="19" w:name="_Toc146046781"/>
      <w:bookmarkStart w:id="20" w:name="_Toc15377197"/>
      <w:bookmarkStart w:id="21" w:name="_Toc15396600"/>
      <w:r>
        <w:rPr>
          <w:rStyle w:val="27"/>
          <w:rFonts w:hint="eastAsia" w:ascii="黑体" w:hAnsi="黑体" w:eastAsia="黑体"/>
          <w:b w:val="0"/>
          <w:bCs w:val="0"/>
        </w:rPr>
        <w:t>一、主要职责</w:t>
      </w:r>
      <w:bookmarkEnd w:id="17"/>
      <w:bookmarkEnd w:id="18"/>
      <w:bookmarkEnd w:id="19"/>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（一）主要职能</w:t>
      </w:r>
      <w:bookmarkStart w:id="22" w:name="_Toc15378446"/>
      <w:bookmarkStart w:id="23" w:name="_Toc15377199"/>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1．贯彻执行党和国家关于教育改革和发展的各项方针、政策，拟订全校教育事业发展规划和有关教育的规范性文件并组织实施；指导协调学校各部门的教育、教学体制改革。</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4.促进基础教育发展，教育学生成长为德学兼备、思想端正的学生，让学生获得基本的基础知识，尽可能培养其自学能力。</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（二）2022年重点工作完成情况</w:t>
      </w:r>
      <w:bookmarkEnd w:id="22"/>
      <w:bookmarkEnd w:id="23"/>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1.教育质量稳中有升，特色学校创建有质的飞跃。</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2.确保校园安全稳定，再创安全文明平安校园。</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3.建立学生自主管理委员会，促进学生自我管理、合作探究，力促“生本德育”在学校全面实施，并取得阶段性成果；学生评价机制健全完善。</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4.巩固全国文明卫生城市创建成果，全面深化学校卫生环境，校园文化建设上新台阶。</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5.完善制度建设，以制度治校。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6.抓实安全教学常规工作，力争创新有亮点。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7.抓实德育工作，力争各项主题活动实效性强，为“生本德育”全面实施提供支撑。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9.认真实施学校发展规划，完善特色学校创建方案，加快特色学校创建工作，深入开展“文明校园”创建活动，巩固活动成果。抓好常态化“新冠病毒”防疫工作，确保师生平安。</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12.做好校务、财务公开工作。坚持“公开、公平、公正”的工作原则，进一步规范工会代表大会和教职工代表会议制度，深化工会和教职工代表会议的民主监督工作。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13.加强班集体建设，做实“文明班级”“绿色班级”“温馨班级”评比活动。建设学校网站和校报，加大学校对外宣传工作。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14.坚持开展安全主题教育活动，加强学生的自救、逃生、防自然灾害，防地质灾害等安全知识教育。</w:t>
      </w:r>
    </w:p>
    <w:p>
      <w:pPr>
        <w:snapToGrid w:val="0"/>
        <w:spacing w:line="560" w:lineRule="exact"/>
        <w:ind w:firstLine="616" w:firstLineChars="200"/>
        <w:rPr>
          <w:rFonts w:ascii="仿宋" w:hAnsi="仿宋" w:eastAsia="仿宋" w:cs="仿宋"/>
          <w:sz w:val="32"/>
          <w:szCs w:val="32"/>
        </w:rPr>
      </w:pPr>
      <w:r>
        <w:rPr>
          <w:rFonts w:hint="eastAsia" w:ascii="仿宋" w:hAnsi="仿宋" w:eastAsia="仿宋" w:cs="仿宋"/>
          <w:spacing w:val="-6"/>
          <w:sz w:val="32"/>
          <w:szCs w:val="32"/>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rPr>
          <w:rStyle w:val="27"/>
          <w:rFonts w:ascii="黑体" w:hAnsi="黑体" w:eastAsia="黑体"/>
        </w:rPr>
      </w:pPr>
    </w:p>
    <w:p>
      <w:pPr>
        <w:pStyle w:val="4"/>
        <w:rPr>
          <w:rStyle w:val="27"/>
          <w:rFonts w:ascii="黑体" w:hAnsi="黑体" w:eastAsia="黑体"/>
          <w:b/>
          <w:bCs w:val="0"/>
        </w:rPr>
      </w:pPr>
      <w:bookmarkStart w:id="24" w:name="_Toc146046782"/>
      <w:bookmarkStart w:id="25" w:name="_Toc144939398"/>
      <w:bookmarkStart w:id="26" w:name="_Toc146045955"/>
      <w:r>
        <w:rPr>
          <w:rStyle w:val="27"/>
          <w:rFonts w:hint="eastAsia" w:ascii="黑体" w:hAnsi="黑体" w:eastAsia="黑体"/>
          <w:b/>
          <w:bCs w:val="0"/>
        </w:rPr>
        <w:t>二、</w:t>
      </w:r>
      <w:r>
        <w:rPr>
          <w:rStyle w:val="27"/>
          <w:rFonts w:hint="eastAsia" w:ascii="黑体" w:hAnsi="黑体" w:eastAsia="黑体"/>
          <w:b w:val="0"/>
          <w:bCs w:val="0"/>
        </w:rPr>
        <w:t>机构设置</w:t>
      </w:r>
      <w:bookmarkEnd w:id="24"/>
      <w:bookmarkEnd w:id="25"/>
      <w:bookmarkEnd w:id="26"/>
    </w:p>
    <w:bookmarkEnd w:id="20"/>
    <w:bookmarkEnd w:id="21"/>
    <w:p>
      <w:pPr>
        <w:ind w:firstLine="640" w:firstLineChars="200"/>
        <w:rPr>
          <w:rFonts w:ascii="仿宋" w:hAnsi="仿宋" w:eastAsia="仿宋" w:cs="仿宋"/>
          <w:sz w:val="32"/>
          <w:szCs w:val="32"/>
        </w:rPr>
      </w:pPr>
      <w:r>
        <w:rPr>
          <w:rFonts w:hint="eastAsia" w:ascii="仿宋" w:hAnsi="仿宋" w:eastAsia="仿宋" w:cs="仿宋"/>
          <w:sz w:val="32"/>
          <w:szCs w:val="32"/>
        </w:rPr>
        <w:t>广元市利州区嘉陵一中共有二个校区，设置了办公室、政教处、教务处、教研室、财务室、总务室等部门15个。</w:t>
      </w:r>
    </w:p>
    <w:p>
      <w:pPr>
        <w:rPr>
          <w:rFonts w:ascii="仿宋" w:hAnsi="仿宋" w:eastAsia="仿宋"/>
          <w:kern w:val="0"/>
          <w:sz w:val="32"/>
          <w:szCs w:val="32"/>
        </w:rPr>
      </w:pPr>
    </w:p>
    <w:p>
      <w:pPr>
        <w:pStyle w:val="3"/>
        <w:ind w:right="440"/>
        <w:jc w:val="center"/>
        <w:rPr>
          <w:rStyle w:val="26"/>
          <w:rFonts w:ascii="黑体" w:hAnsi="黑体" w:eastAsia="黑体"/>
          <w:b w:val="0"/>
          <w:bCs/>
        </w:rPr>
      </w:pPr>
      <w:bookmarkStart w:id="27" w:name="_Toc15377204"/>
      <w:bookmarkStart w:id="28" w:name="_Toc146046783"/>
      <w:bookmarkStart w:id="29" w:name="_Toc146045956"/>
      <w:bookmarkStart w:id="30" w:name="_Toc144939399"/>
      <w:bookmarkStart w:id="31" w:name="_Toc15396602"/>
      <w:r>
        <w:rPr>
          <w:rFonts w:hint="eastAsia" w:ascii="黑体" w:hAnsi="黑体" w:eastAsia="黑体"/>
          <w:b w:val="0"/>
        </w:rPr>
        <w:t>第二部分 2022年度</w:t>
      </w:r>
      <w:r>
        <w:rPr>
          <w:rStyle w:val="26"/>
          <w:rFonts w:hint="eastAsia" w:ascii="黑体" w:hAnsi="黑体" w:eastAsia="黑体"/>
          <w:b w:val="0"/>
          <w:bCs/>
        </w:rPr>
        <w:t>单位决算情况说明</w:t>
      </w:r>
      <w:bookmarkEnd w:id="27"/>
      <w:bookmarkEnd w:id="28"/>
      <w:bookmarkEnd w:id="29"/>
      <w:bookmarkEnd w:id="30"/>
      <w:bookmarkEnd w:id="31"/>
    </w:p>
    <w:p>
      <w:pPr>
        <w:pStyle w:val="4"/>
        <w:rPr>
          <w:rFonts w:ascii="黑体" w:hAnsi="黑体" w:eastAsia="黑体"/>
        </w:rPr>
      </w:pPr>
      <w:bookmarkStart w:id="32" w:name="_Toc15396603"/>
      <w:bookmarkStart w:id="33" w:name="_Toc146046784"/>
      <w:bookmarkStart w:id="34" w:name="_Toc144939400"/>
      <w:bookmarkStart w:id="35" w:name="_Toc146045957"/>
      <w:bookmarkStart w:id="36" w:name="_Toc15377205"/>
      <w:r>
        <w:rPr>
          <w:rFonts w:hint="eastAsia" w:ascii="黑体" w:hAnsi="黑体" w:eastAsia="黑体"/>
        </w:rPr>
        <w:t>一、收入支出决算总体情况说明</w:t>
      </w:r>
      <w:bookmarkEnd w:id="32"/>
      <w:bookmarkEnd w:id="33"/>
      <w:bookmarkEnd w:id="34"/>
      <w:bookmarkEnd w:id="35"/>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4344.43</w:t>
      </w:r>
      <w:r>
        <w:rPr>
          <w:rFonts w:hint="eastAsia" w:ascii="仿宋" w:hAnsi="仿宋" w:eastAsia="仿宋"/>
          <w:sz w:val="32"/>
          <w:szCs w:val="32"/>
        </w:rPr>
        <w:t>万元。与2021年相比，收、支总计各增加1617.85万元，增长59.34</w:t>
      </w:r>
      <w:r>
        <w:rPr>
          <w:rFonts w:ascii="仿宋" w:hAnsi="仿宋" w:eastAsia="仿宋"/>
          <w:sz w:val="32"/>
          <w:szCs w:val="32"/>
        </w:rPr>
        <w:t>%</w:t>
      </w:r>
      <w:r>
        <w:rPr>
          <w:rFonts w:hint="eastAsia" w:ascii="仿宋" w:hAnsi="仿宋" w:eastAsia="仿宋"/>
          <w:sz w:val="32"/>
          <w:szCs w:val="32"/>
        </w:rPr>
        <w:t>。主要变动原因是财政项目资金增加。</w:t>
      </w:r>
    </w:p>
    <w:p>
      <w:pPr>
        <w:pStyle w:val="2"/>
        <w:spacing w:before="72"/>
        <w:jc w:val="center"/>
      </w:pPr>
      <w: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rPr>
          <w:rStyle w:val="27"/>
          <w:rFonts w:ascii="黑体" w:hAnsi="黑体" w:eastAsia="黑体"/>
          <w:b w:val="0"/>
          <w:bCs w:val="0"/>
        </w:rPr>
      </w:pPr>
      <w:bookmarkStart w:id="37" w:name="_Toc146045958"/>
      <w:bookmarkStart w:id="38" w:name="_Toc15377206"/>
      <w:bookmarkStart w:id="39" w:name="_Toc15396604"/>
      <w:bookmarkStart w:id="40" w:name="_Toc146046785"/>
      <w:bookmarkStart w:id="41" w:name="_Toc144939401"/>
      <w:r>
        <w:rPr>
          <w:rFonts w:hint="eastAsia" w:ascii="黑体" w:hAnsi="黑体" w:eastAsia="黑体"/>
        </w:rPr>
        <w:t>二、收</w:t>
      </w:r>
      <w:r>
        <w:rPr>
          <w:rStyle w:val="27"/>
          <w:rFonts w:hint="eastAsia" w:ascii="黑体" w:hAnsi="黑体" w:eastAsia="黑体"/>
          <w:b w:val="0"/>
          <w:bCs w:val="0"/>
        </w:rPr>
        <w:t>入决算情况说明</w:t>
      </w:r>
      <w:bookmarkEnd w:id="37"/>
      <w:bookmarkEnd w:id="38"/>
      <w:bookmarkEnd w:id="39"/>
      <w:bookmarkEnd w:id="40"/>
      <w:bookmarkEnd w:id="41"/>
    </w:p>
    <w:p>
      <w:pPr>
        <w:ind w:firstLine="707" w:firstLineChars="22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2695.51</w:t>
      </w:r>
      <w:r>
        <w:rPr>
          <w:rFonts w:hint="eastAsia" w:ascii="仿宋" w:hAnsi="仿宋" w:eastAsia="仿宋"/>
          <w:sz w:val="32"/>
          <w:szCs w:val="32"/>
        </w:rPr>
        <w:t>万元，其中：一般公共预算财政拨款收入</w:t>
      </w:r>
      <w:r>
        <w:rPr>
          <w:rFonts w:ascii="仿宋" w:hAnsi="仿宋" w:eastAsia="仿宋"/>
          <w:sz w:val="32"/>
          <w:szCs w:val="32"/>
        </w:rPr>
        <w:t>2579.68</w:t>
      </w:r>
      <w:r>
        <w:rPr>
          <w:rFonts w:hint="eastAsia" w:ascii="仿宋" w:hAnsi="仿宋" w:eastAsia="仿宋"/>
          <w:sz w:val="32"/>
          <w:szCs w:val="32"/>
        </w:rPr>
        <w:t>万元，占95.70</w:t>
      </w:r>
      <w:r>
        <w:rPr>
          <w:rFonts w:ascii="仿宋" w:hAnsi="仿宋" w:eastAsia="仿宋"/>
          <w:sz w:val="32"/>
          <w:szCs w:val="32"/>
        </w:rPr>
        <w:t>%</w:t>
      </w:r>
      <w:r>
        <w:rPr>
          <w:rFonts w:hint="eastAsia" w:ascii="仿宋" w:hAnsi="仿宋" w:eastAsia="仿宋"/>
          <w:sz w:val="32"/>
          <w:szCs w:val="32"/>
        </w:rPr>
        <w:t>；事业收入</w:t>
      </w:r>
      <w:r>
        <w:rPr>
          <w:rFonts w:ascii="仿宋" w:hAnsi="仿宋" w:eastAsia="仿宋"/>
          <w:sz w:val="32"/>
          <w:szCs w:val="32"/>
        </w:rPr>
        <w:t>115.27</w:t>
      </w:r>
      <w:r>
        <w:rPr>
          <w:rFonts w:hint="eastAsia" w:ascii="仿宋" w:hAnsi="仿宋" w:eastAsia="仿宋"/>
          <w:sz w:val="32"/>
          <w:szCs w:val="32"/>
        </w:rPr>
        <w:t>万元，占4.28</w:t>
      </w:r>
      <w:r>
        <w:rPr>
          <w:rFonts w:ascii="仿宋" w:hAnsi="仿宋" w:eastAsia="仿宋"/>
          <w:sz w:val="32"/>
          <w:szCs w:val="32"/>
        </w:rPr>
        <w:t>%</w:t>
      </w:r>
      <w:r>
        <w:rPr>
          <w:rFonts w:hint="eastAsia" w:ascii="仿宋" w:hAnsi="仿宋" w:eastAsia="仿宋"/>
          <w:sz w:val="32"/>
          <w:szCs w:val="32"/>
        </w:rPr>
        <w:t>；其他收入0.56万元，占0.02</w:t>
      </w:r>
      <w:r>
        <w:rPr>
          <w:rFonts w:ascii="仿宋" w:hAnsi="仿宋" w:eastAsia="仿宋"/>
          <w:sz w:val="32"/>
          <w:szCs w:val="32"/>
        </w:rPr>
        <w:t>%</w:t>
      </w:r>
      <w:r>
        <w:rPr>
          <w:rFonts w:hint="eastAsia" w:ascii="仿宋" w:hAnsi="仿宋" w:eastAsia="仿宋"/>
          <w:sz w:val="32"/>
          <w:szCs w:val="32"/>
        </w:rPr>
        <w:t>。</w:t>
      </w:r>
    </w:p>
    <w:p>
      <w:pPr>
        <w:pStyle w:val="2"/>
        <w:spacing w:before="72"/>
        <w:jc w:val="center"/>
      </w:pPr>
      <w:r>
        <w:drawing>
          <wp:inline distT="0" distB="0" distL="0" distR="0">
            <wp:extent cx="4572000" cy="27432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pPr>
        <w:pStyle w:val="4"/>
        <w:rPr>
          <w:rStyle w:val="27"/>
          <w:rFonts w:ascii="黑体" w:hAnsi="黑体" w:eastAsia="黑体"/>
          <w:b w:val="0"/>
          <w:bCs w:val="0"/>
        </w:rPr>
      </w:pPr>
      <w:bookmarkStart w:id="42" w:name="_Toc146046786"/>
      <w:bookmarkStart w:id="43" w:name="_Toc15377207"/>
      <w:bookmarkStart w:id="44" w:name="_Toc15396605"/>
      <w:bookmarkStart w:id="45" w:name="_Toc146045959"/>
      <w:bookmarkStart w:id="46" w:name="_Toc144939402"/>
      <w:r>
        <w:rPr>
          <w:rFonts w:hint="eastAsia" w:ascii="黑体" w:hAnsi="黑体" w:eastAsia="黑体"/>
        </w:rPr>
        <w:t>三、支</w:t>
      </w:r>
      <w:r>
        <w:rPr>
          <w:rStyle w:val="27"/>
          <w:rFonts w:hint="eastAsia" w:ascii="黑体" w:hAnsi="黑体" w:eastAsia="黑体"/>
          <w:b w:val="0"/>
          <w:bCs w:val="0"/>
        </w:rPr>
        <w:t>出决算情况说明</w:t>
      </w:r>
      <w:bookmarkEnd w:id="42"/>
      <w:bookmarkEnd w:id="43"/>
      <w:bookmarkEnd w:id="44"/>
      <w:bookmarkEnd w:id="45"/>
      <w:bookmarkEnd w:id="46"/>
    </w:p>
    <w:p>
      <w:pPr>
        <w:ind w:firstLine="707" w:firstLineChars="22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4344.43</w:t>
      </w:r>
      <w:r>
        <w:rPr>
          <w:rFonts w:hint="eastAsia" w:ascii="仿宋" w:hAnsi="仿宋" w:eastAsia="仿宋"/>
          <w:sz w:val="32"/>
          <w:szCs w:val="32"/>
        </w:rPr>
        <w:t>万元，其中：基本支出</w:t>
      </w:r>
      <w:r>
        <w:rPr>
          <w:rFonts w:ascii="仿宋" w:hAnsi="仿宋" w:eastAsia="仿宋"/>
          <w:sz w:val="32"/>
          <w:szCs w:val="32"/>
        </w:rPr>
        <w:t>2335.23</w:t>
      </w:r>
      <w:r>
        <w:rPr>
          <w:rFonts w:hint="eastAsia" w:ascii="仿宋" w:hAnsi="仿宋" w:eastAsia="仿宋"/>
          <w:sz w:val="32"/>
          <w:szCs w:val="32"/>
        </w:rPr>
        <w:t>万元，占53.75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2009.2</w:t>
      </w:r>
      <w:r>
        <w:rPr>
          <w:rFonts w:hint="eastAsia" w:ascii="仿宋" w:hAnsi="仿宋" w:eastAsia="仿宋"/>
          <w:sz w:val="32"/>
          <w:szCs w:val="32"/>
        </w:rPr>
        <w:t>0万元，占46.25</w:t>
      </w:r>
      <w:r>
        <w:rPr>
          <w:rFonts w:ascii="仿宋" w:hAnsi="仿宋" w:eastAsia="仿宋"/>
          <w:sz w:val="32"/>
          <w:szCs w:val="32"/>
        </w:rPr>
        <w:t>%</w:t>
      </w:r>
      <w:r>
        <w:rPr>
          <w:rFonts w:hint="eastAsia" w:ascii="仿宋" w:hAnsi="仿宋" w:eastAsia="仿宋"/>
          <w:sz w:val="32"/>
          <w:szCs w:val="32"/>
        </w:rPr>
        <w:t>。</w:t>
      </w:r>
    </w:p>
    <w:p>
      <w:pPr>
        <w:jc w:val="center"/>
        <w:rPr>
          <w:rFonts w:ascii="仿宋" w:hAnsi="仿宋" w:eastAsia="仿宋"/>
          <w:sz w:val="32"/>
          <w:szCs w:val="32"/>
          <w:shd w:val="pct10" w:color="auto" w:fill="FFFFFF"/>
        </w:rPr>
      </w:pPr>
      <w:r>
        <w:rPr>
          <w:rFonts w:ascii="仿宋" w:hAnsi="仿宋" w:eastAsia="仿宋"/>
          <w:sz w:val="32"/>
          <w:szCs w:val="32"/>
          <w:shd w:val="pct10" w:color="auto" w:fill="FFFFFF"/>
        </w:rPr>
        <w:drawing>
          <wp:inline distT="0" distB="0" distL="0" distR="0">
            <wp:extent cx="4572000" cy="2743200"/>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pPr>
        <w:pStyle w:val="4"/>
        <w:rPr>
          <w:rFonts w:ascii="黑体" w:hAnsi="黑体" w:eastAsia="黑体"/>
        </w:rPr>
      </w:pPr>
      <w:bookmarkStart w:id="47" w:name="_Toc15396606"/>
      <w:bookmarkStart w:id="48" w:name="_Toc144939403"/>
      <w:bookmarkStart w:id="49" w:name="_Toc15377208"/>
      <w:bookmarkStart w:id="50" w:name="_Toc146046787"/>
      <w:bookmarkStart w:id="51" w:name="_Toc146045960"/>
      <w:r>
        <w:rPr>
          <w:rFonts w:hint="eastAsia" w:ascii="黑体" w:hAnsi="黑体" w:eastAsia="黑体"/>
        </w:rPr>
        <w:t>四、财政拨款收入支出决算总体情况说明</w:t>
      </w:r>
      <w:bookmarkEnd w:id="47"/>
      <w:bookmarkEnd w:id="48"/>
      <w:bookmarkEnd w:id="49"/>
      <w:bookmarkEnd w:id="50"/>
      <w:bookmarkEnd w:id="51"/>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4228.6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21年相比，财政拨款收、支总计各增加1650.11万元，增长64.00</w:t>
      </w:r>
      <w:r>
        <w:rPr>
          <w:rFonts w:ascii="仿宋" w:hAnsi="仿宋" w:eastAsia="仿宋"/>
          <w:sz w:val="32"/>
          <w:szCs w:val="32"/>
        </w:rPr>
        <w:t>%</w:t>
      </w:r>
      <w:r>
        <w:rPr>
          <w:rFonts w:hint="eastAsia" w:ascii="仿宋" w:hAnsi="仿宋" w:eastAsia="仿宋"/>
          <w:sz w:val="32"/>
          <w:szCs w:val="32"/>
        </w:rPr>
        <w:t>。主要变动原因是财政项目资金增加。</w:t>
      </w:r>
    </w:p>
    <w:p>
      <w:pPr>
        <w:jc w:val="center"/>
        <w:rPr>
          <w:rFonts w:ascii="仿宋" w:hAnsi="仿宋" w:eastAsia="仿宋"/>
          <w:sz w:val="32"/>
          <w:szCs w:val="32"/>
        </w:rPr>
      </w:pPr>
      <w:r>
        <w:rPr>
          <w:rFonts w:ascii="仿宋" w:hAnsi="仿宋" w:eastAsia="仿宋"/>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b/>
          <w:sz w:val="32"/>
          <w:szCs w:val="32"/>
        </w:rPr>
      </w:pPr>
      <w:r>
        <w:rPr>
          <w:rFonts w:hint="eastAsia" w:ascii="仿宋" w:hAnsi="仿宋" w:eastAsia="仿宋"/>
          <w:sz w:val="32"/>
          <w:szCs w:val="32"/>
        </w:rPr>
        <w:t>（图4：财政拨款收、支决算总计变动情况）</w:t>
      </w:r>
    </w:p>
    <w:p>
      <w:pPr>
        <w:pStyle w:val="4"/>
        <w:rPr>
          <w:rFonts w:ascii="黑体" w:hAnsi="黑体" w:eastAsia="黑体"/>
        </w:rPr>
      </w:pPr>
      <w:bookmarkStart w:id="52" w:name="_Toc15377209"/>
      <w:bookmarkStart w:id="53" w:name="_Toc15396607"/>
      <w:bookmarkStart w:id="54" w:name="_Toc146045961"/>
      <w:bookmarkStart w:id="55" w:name="_Toc144939404"/>
      <w:bookmarkStart w:id="56" w:name="_Toc146046788"/>
      <w:r>
        <w:rPr>
          <w:rFonts w:hint="eastAsia" w:ascii="黑体" w:hAnsi="黑体" w:eastAsia="黑体"/>
        </w:rPr>
        <w:t>五、一般公共预算财政拨款支出决算情况说明</w:t>
      </w:r>
      <w:bookmarkEnd w:id="52"/>
      <w:bookmarkEnd w:id="53"/>
      <w:bookmarkEnd w:id="54"/>
      <w:bookmarkEnd w:id="55"/>
      <w:bookmarkEnd w:id="56"/>
    </w:p>
    <w:p>
      <w:pPr>
        <w:spacing w:line="600" w:lineRule="exact"/>
        <w:ind w:firstLine="565" w:firstLineChars="176"/>
        <w:rPr>
          <w:rFonts w:ascii="仿宋" w:hAnsi="仿宋" w:eastAsia="仿宋"/>
          <w:b/>
          <w:sz w:val="32"/>
          <w:szCs w:val="32"/>
        </w:rPr>
      </w:pPr>
      <w:bookmarkStart w:id="57" w:name="_Toc15377210"/>
      <w:bookmarkStart w:id="58" w:name="_Toc144939405"/>
      <w:r>
        <w:rPr>
          <w:rFonts w:hint="eastAsia" w:ascii="仿宋" w:hAnsi="仿宋" w:eastAsia="仿宋"/>
          <w:b/>
          <w:sz w:val="32"/>
          <w:szCs w:val="32"/>
        </w:rPr>
        <w:t>（一）一般公共预算财政拨款支出决算总体情况</w:t>
      </w:r>
      <w:bookmarkEnd w:id="57"/>
      <w:bookmarkEnd w:id="5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4228.6</w:t>
      </w:r>
      <w:r>
        <w:rPr>
          <w:rFonts w:hint="eastAsia" w:ascii="仿宋" w:hAnsi="仿宋" w:eastAsia="仿宋"/>
          <w:sz w:val="32"/>
          <w:szCs w:val="32"/>
        </w:rPr>
        <w:t>0万元，占本年支出合计的97.33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21年相比，一般公共预算财政拨款支出增加1797.02万元，增长73.90</w:t>
      </w:r>
      <w:r>
        <w:rPr>
          <w:rFonts w:ascii="仿宋" w:hAnsi="仿宋" w:eastAsia="仿宋"/>
          <w:sz w:val="32"/>
          <w:szCs w:val="32"/>
        </w:rPr>
        <w:t>%</w:t>
      </w:r>
      <w:r>
        <w:rPr>
          <w:rFonts w:hint="eastAsia" w:ascii="仿宋" w:hAnsi="仿宋" w:eastAsia="仿宋"/>
          <w:sz w:val="32"/>
          <w:szCs w:val="32"/>
        </w:rPr>
        <w:t>。主要变动原因是财政项目资金增加。</w:t>
      </w:r>
    </w:p>
    <w:p>
      <w:pPr>
        <w:pStyle w:val="2"/>
        <w:spacing w:before="72"/>
        <w:jc w:val="center"/>
      </w:pPr>
      <w:r>
        <w:drawing>
          <wp:inline distT="0" distB="0" distL="0" distR="0">
            <wp:extent cx="4572000" cy="2743200"/>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424" w:firstLineChars="132"/>
        <w:rPr>
          <w:rFonts w:ascii="仿宋" w:hAnsi="仿宋" w:eastAsia="仿宋"/>
          <w:b/>
          <w:sz w:val="32"/>
          <w:szCs w:val="32"/>
        </w:rPr>
      </w:pPr>
      <w:bookmarkStart w:id="59" w:name="_Toc144939406"/>
      <w:bookmarkStart w:id="60" w:name="_Toc15377211"/>
      <w:r>
        <w:rPr>
          <w:rFonts w:hint="eastAsia" w:ascii="仿宋" w:hAnsi="仿宋" w:eastAsia="仿宋"/>
          <w:b/>
          <w:sz w:val="32"/>
          <w:szCs w:val="32"/>
        </w:rPr>
        <w:t>（二）一般公共预算财政拨款支出决算结构情况</w:t>
      </w:r>
      <w:bookmarkEnd w:id="59"/>
      <w:bookmarkEnd w:id="60"/>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4228.6</w:t>
      </w:r>
      <w:r>
        <w:rPr>
          <w:rFonts w:hint="eastAsia" w:ascii="仿宋" w:hAnsi="仿宋" w:eastAsia="仿宋"/>
          <w:sz w:val="32"/>
          <w:szCs w:val="32"/>
        </w:rPr>
        <w:t>0万元，主要用于以下方面</w:t>
      </w:r>
      <w:r>
        <w:rPr>
          <w:rFonts w:ascii="仿宋" w:hAnsi="仿宋" w:eastAsia="仿宋"/>
          <w:sz w:val="32"/>
          <w:szCs w:val="32"/>
        </w:rPr>
        <w:t>:</w:t>
      </w:r>
      <w:r>
        <w:rPr>
          <w:rFonts w:hint="eastAsia" w:ascii="仿宋" w:hAnsi="仿宋" w:eastAsia="仿宋"/>
          <w:sz w:val="32"/>
          <w:szCs w:val="32"/>
        </w:rPr>
        <w:t>教育支出</w:t>
      </w:r>
      <w:r>
        <w:rPr>
          <w:rFonts w:ascii="仿宋" w:hAnsi="仿宋" w:eastAsia="仿宋"/>
          <w:sz w:val="32"/>
          <w:szCs w:val="32"/>
        </w:rPr>
        <w:t>4020.7</w:t>
      </w:r>
      <w:r>
        <w:rPr>
          <w:rFonts w:hint="eastAsia" w:ascii="仿宋" w:hAnsi="仿宋" w:eastAsia="仿宋"/>
          <w:sz w:val="32"/>
          <w:szCs w:val="32"/>
        </w:rPr>
        <w:t>0万元，占95.08%；卫生健康支出87.40万元，占2.07%；住房保障支出120.49万元，占2.85%。</w:t>
      </w:r>
    </w:p>
    <w:p>
      <w:pPr>
        <w:jc w:val="center"/>
        <w:rPr>
          <w:rFonts w:ascii="仿宋" w:hAnsi="仿宋" w:eastAsia="仿宋"/>
          <w:sz w:val="32"/>
          <w:szCs w:val="32"/>
        </w:rPr>
      </w:pPr>
      <w:r>
        <w:rPr>
          <w:rFonts w:ascii="仿宋" w:hAnsi="仿宋" w:eastAsia="仿宋"/>
          <w:sz w:val="32"/>
          <w:szCs w:val="32"/>
        </w:rPr>
        <w:drawing>
          <wp:inline distT="0" distB="0" distL="0" distR="0">
            <wp:extent cx="4572000" cy="2743200"/>
            <wp:effectExtent l="19050" t="0" r="1905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rPr>
          <w:rFonts w:ascii="仿宋" w:hAnsi="仿宋" w:eastAsia="仿宋"/>
          <w:b/>
          <w:sz w:val="32"/>
          <w:szCs w:val="32"/>
        </w:rPr>
      </w:pPr>
      <w:bookmarkStart w:id="61" w:name="_Toc15377212"/>
      <w:bookmarkStart w:id="62" w:name="_Toc144939407"/>
      <w:r>
        <w:rPr>
          <w:rFonts w:hint="eastAsia" w:ascii="仿宋" w:hAnsi="仿宋" w:eastAsia="仿宋"/>
          <w:b/>
          <w:sz w:val="32"/>
          <w:szCs w:val="32"/>
        </w:rPr>
        <w:t>（三）一般公共预算财政拨款支出决算具体情况</w:t>
      </w:r>
      <w:bookmarkEnd w:id="61"/>
      <w:bookmarkEnd w:id="62"/>
    </w:p>
    <w:p>
      <w:pPr>
        <w:ind w:firstLine="643" w:firstLineChars="200"/>
        <w:rPr>
          <w:rFonts w:ascii="仿宋" w:hAnsi="仿宋" w:eastAsia="仿宋"/>
          <w:sz w:val="32"/>
          <w:szCs w:val="32"/>
        </w:rPr>
      </w:pPr>
      <w:bookmarkStart w:id="63" w:name="_Toc15377213"/>
      <w:bookmarkStart w:id="64" w:name="_Toc15378460"/>
      <w:bookmarkStart w:id="65" w:name="_Toc15377444"/>
      <w:r>
        <w:rPr>
          <w:rFonts w:hint="eastAsia" w:ascii="仿宋" w:hAnsi="仿宋" w:eastAsia="仿宋"/>
          <w:b/>
          <w:sz w:val="32"/>
          <w:szCs w:val="32"/>
        </w:rPr>
        <w:t>2022年一般公共预算支出决算数为</w:t>
      </w:r>
      <w:r>
        <w:rPr>
          <w:rFonts w:ascii="仿宋" w:hAnsi="仿宋" w:eastAsia="仿宋"/>
          <w:b/>
          <w:sz w:val="32"/>
          <w:szCs w:val="32"/>
        </w:rPr>
        <w:t>4228.6</w:t>
      </w:r>
      <w:r>
        <w:rPr>
          <w:rFonts w:hint="eastAsia" w:ascii="仿宋" w:hAnsi="仿宋" w:eastAsia="仿宋"/>
          <w:b/>
          <w:sz w:val="32"/>
          <w:szCs w:val="32"/>
        </w:rPr>
        <w:t>0万元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63"/>
      <w:bookmarkEnd w:id="64"/>
      <w:bookmarkEnd w:id="65"/>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教育支出（类）普通教育（款）初中教育（项）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ascii="仿宋" w:hAnsi="仿宋" w:eastAsia="仿宋"/>
          <w:b w:val="0"/>
          <w:bCs/>
          <w:sz w:val="32"/>
          <w:szCs w:val="32"/>
        </w:rPr>
        <w:t>4020.7</w:t>
      </w:r>
      <w:r>
        <w:rPr>
          <w:rStyle w:val="16"/>
          <w:rFonts w:hint="eastAsia" w:ascii="仿宋" w:hAnsi="仿宋" w:eastAsia="仿宋"/>
          <w:b w:val="0"/>
          <w:bCs/>
          <w:sz w:val="32"/>
          <w:szCs w:val="32"/>
        </w:rPr>
        <w:t>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卫生健康支出（类）行政事业单位医疗（款）事业单位医疗（项）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ascii="仿宋" w:hAnsi="仿宋" w:eastAsia="仿宋"/>
          <w:b w:val="0"/>
          <w:bCs/>
          <w:sz w:val="32"/>
          <w:szCs w:val="32"/>
        </w:rPr>
        <w:t>87.4</w:t>
      </w:r>
      <w:r>
        <w:rPr>
          <w:rStyle w:val="16"/>
          <w:rFonts w:hint="eastAsia" w:ascii="仿宋" w:hAnsi="仿宋" w:eastAsia="仿宋"/>
          <w:b w:val="0"/>
          <w:bCs/>
          <w:sz w:val="32"/>
          <w:szCs w:val="32"/>
        </w:rPr>
        <w:t>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住房保障支出（类）住房改革支出（款）住房公积金（项）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ascii="仿宋" w:hAnsi="仿宋" w:eastAsia="仿宋"/>
          <w:b w:val="0"/>
          <w:bCs/>
          <w:sz w:val="32"/>
          <w:szCs w:val="32"/>
        </w:rPr>
        <w:t>120.49</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4"/>
        <w:rPr>
          <w:rFonts w:ascii="黑体" w:hAnsi="黑体" w:eastAsia="黑体"/>
        </w:rPr>
      </w:pPr>
      <w:bookmarkStart w:id="66" w:name="_Toc146045962"/>
      <w:bookmarkStart w:id="67" w:name="_Toc146046789"/>
      <w:bookmarkStart w:id="68" w:name="_Toc15396608"/>
      <w:bookmarkStart w:id="69" w:name="_Toc15377214"/>
      <w:bookmarkStart w:id="70" w:name="_Toc144939408"/>
      <w:r>
        <w:rPr>
          <w:rFonts w:hint="eastAsia" w:ascii="黑体" w:hAnsi="黑体" w:eastAsia="黑体"/>
        </w:rPr>
        <w:t>六、一般公共预算财政拨款基本支出决算情况说明</w:t>
      </w:r>
      <w:bookmarkEnd w:id="66"/>
      <w:bookmarkEnd w:id="67"/>
      <w:bookmarkEnd w:id="68"/>
      <w:bookmarkEnd w:id="69"/>
      <w:bookmarkEnd w:id="70"/>
      <w:r>
        <w:rPr>
          <w:rFonts w:ascii="黑体" w:hAnsi="黑体" w:eastAsia="黑体"/>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22年一般公共预算财政拨款基本支出2219.40万元，其中：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sz w:val="32"/>
          <w:szCs w:val="32"/>
        </w:rPr>
        <w:t>1986.31</w:t>
      </w:r>
      <w:r>
        <w:rPr>
          <w:rFonts w:hint="eastAsia" w:ascii="仿宋" w:hAnsi="仿宋" w:eastAsia="仿宋"/>
          <w:sz w:val="32"/>
          <w:szCs w:val="32"/>
        </w:rPr>
        <w:t>万元，主要包括：基本工资、津贴补贴、绩效工资、机关事业单位基本养老保险缴费、其他社会保障缴费、其他工资福利支出、抚恤金、生活补助、奖励金、住房公积金。</w:t>
      </w:r>
    </w:p>
    <w:p>
      <w:pPr>
        <w:spacing w:line="600" w:lineRule="exact"/>
        <w:ind w:firstLine="645"/>
        <w:rPr>
          <w:rFonts w:ascii="仿宋" w:hAnsi="仿宋" w:eastAsia="仿宋"/>
          <w:b/>
          <w:sz w:val="32"/>
          <w:szCs w:val="32"/>
        </w:rPr>
      </w:pPr>
      <w:r>
        <w:rPr>
          <w:rFonts w:hint="eastAsia" w:ascii="仿宋" w:hAnsi="仿宋" w:eastAsia="仿宋"/>
          <w:sz w:val="32"/>
          <w:szCs w:val="32"/>
        </w:rPr>
        <w:t>　　公用经费</w:t>
      </w:r>
      <w:r>
        <w:rPr>
          <w:rFonts w:ascii="仿宋" w:hAnsi="仿宋" w:eastAsia="仿宋"/>
          <w:sz w:val="32"/>
          <w:szCs w:val="32"/>
        </w:rPr>
        <w:t>233.09</w:t>
      </w:r>
      <w:r>
        <w:rPr>
          <w:rFonts w:hint="eastAsia" w:ascii="仿宋" w:hAnsi="仿宋" w:eastAsia="仿宋"/>
          <w:sz w:val="32"/>
          <w:szCs w:val="32"/>
        </w:rPr>
        <w:t>万元，主要包括：办公费、印刷费、手续费、水费、电费、邮电费、物业管理费、差旅费、维修（护）费、租赁费、培训费、劳务费、工会经费、福利费、办公设备购置。</w:t>
      </w:r>
    </w:p>
    <w:p>
      <w:pPr>
        <w:pStyle w:val="4"/>
        <w:rPr>
          <w:rFonts w:ascii="黑体" w:hAnsi="黑体" w:eastAsia="黑体"/>
        </w:rPr>
      </w:pPr>
      <w:bookmarkStart w:id="71" w:name="_Toc15377215"/>
      <w:bookmarkStart w:id="72" w:name="_Toc146045963"/>
      <w:bookmarkStart w:id="73" w:name="_Toc15396609"/>
      <w:bookmarkStart w:id="74" w:name="_Toc146046790"/>
      <w:bookmarkStart w:id="75" w:name="_Toc144939409"/>
      <w:r>
        <w:rPr>
          <w:rFonts w:hint="eastAsia" w:ascii="黑体" w:hAnsi="黑体" w:eastAsia="黑体"/>
        </w:rPr>
        <w:t>七、财政拨款“三公”经费支出决算情况说明</w:t>
      </w:r>
      <w:bookmarkEnd w:id="71"/>
      <w:bookmarkEnd w:id="72"/>
      <w:bookmarkEnd w:id="73"/>
      <w:bookmarkEnd w:id="74"/>
      <w:bookmarkEnd w:id="75"/>
    </w:p>
    <w:p>
      <w:pPr>
        <w:spacing w:line="600" w:lineRule="exact"/>
        <w:ind w:firstLine="567"/>
        <w:rPr>
          <w:rFonts w:ascii="仿宋" w:hAnsi="仿宋" w:eastAsia="仿宋"/>
          <w:b/>
          <w:sz w:val="32"/>
          <w:szCs w:val="32"/>
        </w:rPr>
      </w:pPr>
      <w:bookmarkStart w:id="76" w:name="_Toc15377216"/>
      <w:bookmarkStart w:id="77" w:name="_Toc144939410"/>
      <w:r>
        <w:rPr>
          <w:rFonts w:hint="eastAsia" w:ascii="仿宋" w:hAnsi="仿宋" w:eastAsia="仿宋"/>
          <w:b/>
          <w:sz w:val="32"/>
          <w:szCs w:val="32"/>
        </w:rPr>
        <w:t>（一）“三公”经费财政拨款支出决算总体情况说明</w:t>
      </w:r>
      <w:bookmarkEnd w:id="76"/>
      <w:bookmarkEnd w:id="77"/>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sz w:val="32"/>
          <w:szCs w:val="32"/>
          <w:lang w:val="en-US" w:eastAsia="zh-CN"/>
        </w:rPr>
        <w:t>与2021年度持平</w:t>
      </w:r>
      <w:r>
        <w:rPr>
          <w:rFonts w:hint="eastAsia" w:ascii="仿宋" w:hAnsi="仿宋" w:eastAsia="仿宋"/>
          <w:sz w:val="32"/>
          <w:szCs w:val="32"/>
        </w:rPr>
        <w:t>。</w:t>
      </w:r>
    </w:p>
    <w:p>
      <w:pPr>
        <w:spacing w:line="600" w:lineRule="exact"/>
        <w:ind w:firstLine="641"/>
        <w:rPr>
          <w:rFonts w:ascii="仿宋" w:hAnsi="仿宋" w:eastAsia="仿宋"/>
          <w:b/>
          <w:sz w:val="32"/>
          <w:szCs w:val="32"/>
        </w:rPr>
      </w:pPr>
      <w:bookmarkStart w:id="78" w:name="_Toc15377217"/>
      <w:bookmarkStart w:id="79" w:name="_Toc144939411"/>
      <w:r>
        <w:rPr>
          <w:rFonts w:hint="eastAsia" w:ascii="仿宋" w:hAnsi="仿宋" w:eastAsia="仿宋"/>
          <w:b/>
          <w:sz w:val="32"/>
          <w:szCs w:val="32"/>
        </w:rPr>
        <w:t>（二）“三公”经费财政拨款支出决算具体情况说明</w:t>
      </w:r>
      <w:bookmarkEnd w:id="78"/>
      <w:bookmarkEnd w:id="7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22年“三公”经费财政拨款支出决算中，因公出国（境）费支出决算0.00万元，占0.00%；公务用车购置及运行维护费支出决算0.00万元，占0.00%；公务接待费支出决算0.00万元，占0.00%。</w:t>
      </w:r>
      <w:bookmarkStart w:id="80" w:name="_Toc15396610"/>
      <w:bookmarkStart w:id="81" w:name="_Toc15377218"/>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1.因公出国（境）经费支出0.00万元，完成预算0.0%。因公出国（境）支出决算</w:t>
      </w:r>
      <w:r>
        <w:rPr>
          <w:rFonts w:hint="eastAsia" w:ascii="仿宋" w:hAnsi="仿宋" w:eastAsia="仿宋"/>
          <w:sz w:val="32"/>
          <w:szCs w:val="32"/>
          <w:lang w:val="en-US" w:eastAsia="zh-CN"/>
        </w:rPr>
        <w:t>与2021年度持平</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2.公务用车购置及运行维护费支出0.00万元,完成预算0.00%。公务用车购置及运行维护费支出决算</w:t>
      </w:r>
      <w:r>
        <w:rPr>
          <w:rFonts w:hint="eastAsia" w:ascii="仿宋" w:hAnsi="仿宋" w:eastAsia="仿宋"/>
          <w:sz w:val="32"/>
          <w:szCs w:val="32"/>
          <w:lang w:val="en-US" w:eastAsia="zh-CN"/>
        </w:rPr>
        <w:t>与2021年度持平</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其中：公务用车购置支出0.00万元。全年按规定更新购置公务用车0辆。截至2022年12月底，单位共有公务用车0辆。</w:t>
      </w:r>
    </w:p>
    <w:p>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公务用车运行维护费支出0.00万元。</w:t>
      </w:r>
    </w:p>
    <w:p>
      <w:pPr>
        <w:spacing w:line="600" w:lineRule="exact"/>
        <w:ind w:firstLine="640"/>
        <w:rPr>
          <w:rFonts w:ascii="黑体" w:eastAsia="黑体"/>
          <w:sz w:val="32"/>
          <w:szCs w:val="32"/>
        </w:rPr>
      </w:pPr>
      <w:r>
        <w:rPr>
          <w:rFonts w:hint="eastAsia" w:ascii="仿宋" w:hAnsi="仿宋" w:eastAsia="仿宋"/>
          <w:sz w:val="32"/>
          <w:szCs w:val="32"/>
        </w:rPr>
        <w:t>3.公务接待费支出0.00万元，完成预算0.00%。公务接待费支出决算</w:t>
      </w:r>
      <w:r>
        <w:rPr>
          <w:rFonts w:hint="eastAsia" w:ascii="仿宋" w:hAnsi="仿宋" w:eastAsia="仿宋"/>
          <w:sz w:val="32"/>
          <w:szCs w:val="32"/>
          <w:lang w:val="en-US" w:eastAsia="zh-CN"/>
        </w:rPr>
        <w:t>与2021年度持平</w:t>
      </w:r>
      <w:r>
        <w:rPr>
          <w:rFonts w:hint="eastAsia" w:ascii="仿宋" w:hAnsi="仿宋" w:eastAsia="仿宋"/>
          <w:sz w:val="32"/>
          <w:szCs w:val="32"/>
        </w:rPr>
        <w:t>。</w:t>
      </w:r>
    </w:p>
    <w:p>
      <w:pPr>
        <w:pStyle w:val="4"/>
        <w:rPr>
          <w:rFonts w:ascii="黑体" w:hAnsi="黑体" w:eastAsia="黑体"/>
        </w:rPr>
      </w:pPr>
      <w:bookmarkStart w:id="82" w:name="_Toc144939412"/>
      <w:bookmarkStart w:id="83" w:name="_Toc146045964"/>
      <w:bookmarkStart w:id="84" w:name="_Toc146046791"/>
      <w:r>
        <w:rPr>
          <w:rFonts w:hint="eastAsia" w:ascii="黑体" w:hAnsi="黑体" w:eastAsia="黑体"/>
        </w:rPr>
        <w:t>八、政府性基金预算支出决算情况说明</w:t>
      </w:r>
      <w:bookmarkEnd w:id="80"/>
      <w:bookmarkEnd w:id="81"/>
      <w:bookmarkEnd w:id="82"/>
      <w:bookmarkEnd w:id="83"/>
      <w:bookmarkEnd w:id="84"/>
    </w:p>
    <w:p>
      <w:pPr>
        <w:spacing w:line="60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22年政府性基金预算财政拨款支出0.00万元。</w:t>
      </w:r>
    </w:p>
    <w:p>
      <w:pPr>
        <w:pStyle w:val="4"/>
        <w:rPr>
          <w:rFonts w:ascii="黑体" w:hAnsi="黑体" w:eastAsia="黑体"/>
        </w:rPr>
      </w:pPr>
      <w:bookmarkStart w:id="85" w:name="_Toc15377219"/>
      <w:bookmarkStart w:id="86" w:name="_Toc144939413"/>
      <w:bookmarkStart w:id="87" w:name="_Toc146046792"/>
      <w:bookmarkStart w:id="88" w:name="_Toc146045965"/>
      <w:bookmarkStart w:id="89" w:name="_Toc15396611"/>
      <w:r>
        <w:rPr>
          <w:rFonts w:hint="eastAsia" w:ascii="黑体" w:hAnsi="黑体" w:eastAsia="黑体"/>
        </w:rPr>
        <w:t>九、国有资本经营预算支出决算情况说明</w:t>
      </w:r>
      <w:bookmarkEnd w:id="85"/>
      <w:bookmarkEnd w:id="86"/>
      <w:bookmarkEnd w:id="87"/>
      <w:bookmarkEnd w:id="88"/>
      <w:bookmarkEnd w:id="8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22年国有资本经营预算财政拨款支出0.00万元。</w:t>
      </w:r>
    </w:p>
    <w:p>
      <w:pPr>
        <w:spacing w:line="580" w:lineRule="exact"/>
        <w:jc w:val="center"/>
        <w:rPr>
          <w:rFonts w:ascii="方正小标宋简体" w:hAnsi="方正小标宋简体" w:eastAsia="方正小标宋简体" w:cs="方正小标宋简体"/>
          <w:sz w:val="44"/>
          <w:szCs w:val="44"/>
        </w:rPr>
      </w:pPr>
    </w:p>
    <w:p>
      <w:pPr>
        <w:pStyle w:val="4"/>
        <w:rPr>
          <w:rFonts w:ascii="黑体" w:hAnsi="黑体" w:eastAsia="黑体"/>
        </w:rPr>
      </w:pPr>
      <w:bookmarkStart w:id="90" w:name="_Toc146045966"/>
      <w:bookmarkStart w:id="91" w:name="_Toc15377221"/>
      <w:bookmarkStart w:id="92" w:name="_Toc15396612"/>
      <w:bookmarkStart w:id="93" w:name="_Toc146046793"/>
      <w:bookmarkStart w:id="94" w:name="_Toc144939414"/>
      <w:r>
        <w:rPr>
          <w:rFonts w:hint="eastAsia" w:ascii="黑体" w:hAnsi="黑体" w:eastAsia="黑体"/>
        </w:rPr>
        <w:t>十、其他重要事项的情况说明</w:t>
      </w:r>
      <w:bookmarkEnd w:id="90"/>
      <w:bookmarkEnd w:id="91"/>
      <w:bookmarkEnd w:id="92"/>
      <w:bookmarkEnd w:id="93"/>
      <w:bookmarkEnd w:id="94"/>
    </w:p>
    <w:p>
      <w:pPr>
        <w:spacing w:line="600" w:lineRule="exact"/>
        <w:ind w:firstLine="643" w:firstLineChars="200"/>
        <w:rPr>
          <w:rFonts w:ascii="仿宋" w:hAnsi="仿宋" w:eastAsia="仿宋"/>
          <w:sz w:val="32"/>
          <w:szCs w:val="32"/>
        </w:rPr>
      </w:pPr>
      <w:bookmarkStart w:id="95" w:name="_Toc144939415"/>
      <w:bookmarkStart w:id="96" w:name="_Toc15377222"/>
      <w:r>
        <w:rPr>
          <w:rFonts w:hint="eastAsia" w:ascii="仿宋" w:hAnsi="仿宋" w:eastAsia="仿宋"/>
          <w:b/>
          <w:sz w:val="32"/>
          <w:szCs w:val="32"/>
        </w:rPr>
        <w:t>（一）机关运行经费支出情况</w:t>
      </w:r>
      <w:bookmarkEnd w:id="95"/>
      <w:bookmarkEnd w:id="9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22年，机关运行经费支出0.00万元，</w:t>
      </w:r>
      <w:r>
        <w:rPr>
          <w:rFonts w:hint="eastAsia" w:ascii="仿宋" w:hAnsi="仿宋" w:eastAsia="仿宋"/>
          <w:sz w:val="32"/>
          <w:szCs w:val="32"/>
          <w:lang w:val="en-US" w:eastAsia="zh-CN"/>
        </w:rPr>
        <w:t>与2021年度持平</w:t>
      </w:r>
      <w:r>
        <w:rPr>
          <w:rFonts w:hint="eastAsia" w:ascii="仿宋" w:hAnsi="仿宋" w:eastAsia="仿宋"/>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bookmarkStart w:id="97" w:name="_Toc144939416"/>
      <w:bookmarkStart w:id="98" w:name="_Toc15377223"/>
      <w:r>
        <w:rPr>
          <w:rFonts w:hint="eastAsia" w:ascii="仿宋" w:hAnsi="仿宋" w:eastAsia="仿宋"/>
          <w:b/>
          <w:sz w:val="32"/>
          <w:szCs w:val="32"/>
        </w:rPr>
        <w:t>（二）政府采购支出情况</w:t>
      </w:r>
      <w:bookmarkEnd w:id="97"/>
      <w:bookmarkEnd w:id="98"/>
    </w:p>
    <w:p>
      <w:pPr>
        <w:ind w:firstLine="640" w:firstLineChars="200"/>
        <w:rPr>
          <w:rFonts w:ascii="仿宋" w:hAnsi="仿宋" w:eastAsia="仿宋" w:cs="仿宋"/>
          <w:sz w:val="32"/>
          <w:szCs w:val="32"/>
        </w:rPr>
      </w:pPr>
      <w:r>
        <w:rPr>
          <w:rFonts w:hint="eastAsia" w:ascii="仿宋" w:hAnsi="仿宋" w:eastAsia="仿宋" w:cs="仿宋"/>
          <w:sz w:val="32"/>
          <w:szCs w:val="32"/>
        </w:rPr>
        <w:t>2022年度政府采购支出总额0.00万元</w:t>
      </w:r>
      <w:r>
        <w:rPr>
          <w:rFonts w:hint="eastAsia" w:ascii="仿宋" w:hAnsi="仿宋" w:eastAsia="仿宋" w:cs="仿宋"/>
          <w:sz w:val="32"/>
          <w:szCs w:val="32"/>
          <w:lang w:eastAsia="zh-CN"/>
        </w:rPr>
        <w:t>，</w:t>
      </w:r>
      <w:r>
        <w:rPr>
          <w:rFonts w:hint="eastAsia" w:ascii="仿宋" w:hAnsi="仿宋" w:eastAsia="仿宋"/>
          <w:sz w:val="32"/>
          <w:szCs w:val="32"/>
          <w:lang w:val="en-US" w:eastAsia="zh-CN"/>
        </w:rPr>
        <w:t>与2021年度持平</w:t>
      </w:r>
      <w:r>
        <w:rPr>
          <w:rFonts w:hint="eastAsia" w:ascii="仿宋" w:hAnsi="仿宋" w:eastAsia="仿宋" w:cs="仿宋"/>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bookmarkStart w:id="99" w:name="_Toc15377224"/>
      <w:bookmarkStart w:id="100" w:name="_Toc144939417"/>
      <w:r>
        <w:rPr>
          <w:rFonts w:hint="eastAsia" w:ascii="仿宋" w:hAnsi="仿宋" w:eastAsia="仿宋"/>
          <w:b/>
          <w:sz w:val="32"/>
          <w:szCs w:val="32"/>
        </w:rPr>
        <w:t>（三）国有资产占有使用情况</w:t>
      </w:r>
      <w:bookmarkEnd w:id="99"/>
      <w:bookmarkEnd w:id="100"/>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 w:hAnsi="仿宋" w:eastAsia="仿宋" w:cs="仿宋"/>
          <w:sz w:val="32"/>
          <w:szCs w:val="32"/>
        </w:rPr>
        <w:t>截至2022年12月31日，</w:t>
      </w:r>
      <w:r>
        <w:rPr>
          <w:rFonts w:hint="eastAsia" w:ascii="仿宋" w:hAnsi="仿宋" w:eastAsia="仿宋" w:cs="仿宋"/>
          <w:color w:val="000000"/>
          <w:sz w:val="32"/>
          <w:szCs w:val="32"/>
        </w:rPr>
        <w:t>广元市利州区嘉陵第一初级中学</w:t>
      </w:r>
      <w:r>
        <w:rPr>
          <w:rFonts w:hint="eastAsia" w:ascii="仿宋" w:hAnsi="仿宋" w:eastAsia="仿宋" w:cs="仿宋"/>
          <w:sz w:val="32"/>
          <w:szCs w:val="32"/>
        </w:rPr>
        <w:t>共有车辆0辆。单价50万元以上通用设备0台（套），单价100万元以上专用设备0台（套）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bookmarkStart w:id="101" w:name="_Toc144939418"/>
      <w:r>
        <w:rPr>
          <w:rFonts w:hint="eastAsia" w:ascii="仿宋" w:hAnsi="仿宋" w:eastAsia="仿宋"/>
          <w:b/>
          <w:sz w:val="32"/>
          <w:szCs w:val="32"/>
        </w:rPr>
        <w:t>（四）预算绩效管理情况</w:t>
      </w:r>
      <w:bookmarkEnd w:id="101"/>
    </w:p>
    <w:p>
      <w:pPr>
        <w:pStyle w:val="25"/>
        <w:numPr>
          <w:ilvl w:val="0"/>
          <w:numId w:val="1"/>
        </w:numPr>
        <w:spacing w:line="540" w:lineRule="exact"/>
        <w:ind w:firstLineChars="0"/>
        <w:rPr>
          <w:rFonts w:ascii="仿宋" w:hAnsi="仿宋" w:eastAsia="仿宋" w:cs="仿宋"/>
          <w:sz w:val="32"/>
          <w:szCs w:val="32"/>
        </w:rPr>
      </w:pPr>
      <w:r>
        <w:rPr>
          <w:rFonts w:hint="eastAsia" w:ascii="仿宋" w:hAnsi="仿宋" w:eastAsia="仿宋" w:cs="仿宋"/>
          <w:sz w:val="32"/>
          <w:szCs w:val="32"/>
        </w:rPr>
        <w:t>预算绩效管理工作开展情况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2022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下一步改进措施：</w:t>
      </w:r>
      <w:r>
        <w:rPr>
          <w:rStyle w:val="16"/>
          <w:rFonts w:hint="eastAsia" w:ascii="仿宋" w:hAnsi="仿宋" w:eastAsia="仿宋" w:cs="仿宋"/>
          <w:b w:val="0"/>
          <w:sz w:val="32"/>
          <w:szCs w:val="32"/>
        </w:rPr>
        <w:t>一是</w:t>
      </w:r>
      <w:r>
        <w:rPr>
          <w:rFonts w:hint="eastAsia" w:ascii="仿宋" w:hAnsi="仿宋" w:eastAsia="仿宋" w:cs="仿宋"/>
          <w:sz w:val="32"/>
          <w:szCs w:val="32"/>
        </w:rPr>
        <w:t>进一步加强绩效评价管理制度建设；二是建立有效的绩效管理体系；</w:t>
      </w:r>
      <w:r>
        <w:rPr>
          <w:rStyle w:val="16"/>
          <w:rFonts w:hint="eastAsia" w:ascii="仿宋" w:hAnsi="仿宋" w:eastAsia="仿宋" w:cs="仿宋"/>
          <w:b w:val="0"/>
          <w:sz w:val="32"/>
          <w:szCs w:val="32"/>
        </w:rPr>
        <w:t>三是</w:t>
      </w:r>
      <w:r>
        <w:rPr>
          <w:rFonts w:hint="eastAsia" w:ascii="仿宋" w:hAnsi="仿宋" w:eastAsia="仿宋" w:cs="仿宋"/>
          <w:sz w:val="32"/>
          <w:szCs w:val="32"/>
        </w:rPr>
        <w:t>强化绩效管理数据分析，强化绩效管理数据运用；四是强化绩效评价专业技能的培训；五是探索与预算编制相结合的财政绩效管理，奖绩效评价逐步从事后评价延伸至事前、事中评价。</w:t>
      </w:r>
    </w:p>
    <w:p>
      <w:pPr>
        <w:pStyle w:val="25"/>
        <w:numPr>
          <w:ilvl w:val="0"/>
          <w:numId w:val="2"/>
        </w:numPr>
        <w:spacing w:line="540" w:lineRule="exact"/>
        <w:ind w:firstLineChars="0"/>
        <w:rPr>
          <w:rFonts w:ascii="仿宋" w:hAnsi="仿宋" w:eastAsia="仿宋" w:cs="仿宋"/>
          <w:sz w:val="32"/>
          <w:szCs w:val="32"/>
        </w:rPr>
      </w:pPr>
      <w:r>
        <w:rPr>
          <w:rFonts w:hint="eastAsia" w:ascii="仿宋" w:hAnsi="仿宋" w:eastAsia="仿宋" w:cs="仿宋"/>
          <w:sz w:val="32"/>
          <w:szCs w:val="32"/>
        </w:rPr>
        <w:t>部门开展绩效评价结果。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本部门按要求对2022年部门整体支出绩效评价情况开展自评，本部门自行组织对本校建档立卡贫困学生特别资助项目开展了绩效评价。</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102" w:name="_Toc15377225"/>
      <w:bookmarkStart w:id="103" w:name="_Toc146045967"/>
      <w:bookmarkStart w:id="104" w:name="_Toc15396613"/>
      <w:bookmarkStart w:id="105" w:name="_Toc144939419"/>
      <w:bookmarkStart w:id="106" w:name="_Toc146046794"/>
      <w:r>
        <w:rPr>
          <w:rFonts w:hint="eastAsia" w:ascii="黑体" w:hAnsi="黑体" w:eastAsia="黑体"/>
          <w:sz w:val="44"/>
          <w:szCs w:val="44"/>
        </w:rPr>
        <w:t>名</w:t>
      </w:r>
      <w:r>
        <w:rPr>
          <w:rStyle w:val="26"/>
          <w:rFonts w:hint="eastAsia" w:ascii="黑体" w:hAnsi="黑体" w:eastAsia="黑体"/>
          <w:b w:val="0"/>
        </w:rPr>
        <w:t>词解释</w:t>
      </w:r>
      <w:bookmarkEnd w:id="102"/>
      <w:bookmarkEnd w:id="103"/>
      <w:bookmarkEnd w:id="104"/>
      <w:bookmarkEnd w:id="105"/>
      <w:bookmarkEnd w:id="106"/>
    </w:p>
    <w:p>
      <w:pPr>
        <w:spacing w:line="600" w:lineRule="exact"/>
        <w:jc w:val="left"/>
        <w:rPr>
          <w:rFonts w:ascii="宋体"/>
          <w:b/>
          <w:sz w:val="44"/>
          <w:szCs w:val="44"/>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4.其他收入：指单位取得的除上述收入以外的各项收入。主要是学前教育保育教育费收入、银行存款利息收入等。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7.结余分配：指事业单位按照事业单位会计制度的规定从非财政补助结余中分配的事业基金和职工福利基金等。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 教育支出（类）普通教育（款）初中教育（项）: 反映各部门举办的初中教育支出。政府各部门对社会中介组织等举办的初中教育的资助，如捐赠、补贴等，也在本科目中反映。</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 医疗卫生与计划生育（类）行政事业单位医疗（款）事业单位医疗（项）: 指财政部门安排的事业单位基本医疗保险缴费经费，未参加医疗保险的事业单位的公费医疗经费，按国家规定享受离休人员待遇的医疗经费。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 住房保障支出（类）住房改革支出（款）住房公积金（项）: 指行政事业单位按人力资源和社会保障部、财政部规定的基本工资和津贴补贴以及规定比例为职工缴纳的住房公积金。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12.基本支出：指为保障机构正常运转、完成日常工作任务而发生的人员支出和公用支出。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13.项目支出：指在基本支出之外为完成特定行政任务和事业发展目标所发生的支出。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eastAsia" w:ascii="黑体" w:hAnsi="黑体" w:eastAsia="黑体"/>
          <w:b w:val="0"/>
        </w:rPr>
      </w:pPr>
      <w:bookmarkStart w:id="107" w:name="_Toc15377226"/>
      <w:r>
        <w:rPr>
          <w:rFonts w:ascii="宋体"/>
          <w:b/>
          <w:sz w:val="44"/>
          <w:szCs w:val="44"/>
        </w:rPr>
        <w:br w:type="page"/>
      </w:r>
      <w:bookmarkStart w:id="108" w:name="_Toc15396614"/>
      <w:bookmarkStart w:id="109" w:name="_Toc146046795"/>
      <w:bookmarkStart w:id="110" w:name="_Toc144939420"/>
      <w:bookmarkStart w:id="111" w:name="_Toc146045968"/>
      <w:r>
        <w:rPr>
          <w:rFonts w:hint="eastAsia" w:ascii="黑体" w:hAnsi="黑体" w:eastAsia="黑体"/>
          <w:sz w:val="44"/>
          <w:szCs w:val="44"/>
        </w:rPr>
        <w:t>第</w:t>
      </w:r>
      <w:r>
        <w:rPr>
          <w:rStyle w:val="26"/>
          <w:rFonts w:hint="eastAsia" w:ascii="黑体" w:hAnsi="黑体" w:eastAsia="黑体"/>
          <w:b w:val="0"/>
        </w:rPr>
        <w:t>四部分 附件</w:t>
      </w:r>
      <w:bookmarkEnd w:id="108"/>
      <w:bookmarkEnd w:id="109"/>
      <w:bookmarkEnd w:id="110"/>
      <w:bookmarkEnd w:id="111"/>
    </w:p>
    <w:p>
      <w:pPr>
        <w:pStyle w:val="2"/>
        <w:jc w:val="center"/>
      </w:pPr>
      <w:r>
        <w:rPr>
          <w:rStyle w:val="27"/>
          <w:rFonts w:hint="eastAsia" w:ascii="仿宋" w:hAnsi="仿宋" w:eastAsia="仿宋"/>
          <w:b w:val="0"/>
          <w:bCs w:val="0"/>
          <w:color w:val="auto"/>
          <w:highlight w:val="none"/>
          <w:lang w:val="en-US" w:eastAsia="zh-CN" w:bidi="ar-SA"/>
        </w:rPr>
        <w:t>部门预算项目支出绩效自评表（2022年度）</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bookmarkStart w:id="143" w:name="_GoBack"/>
      <w:bookmarkEnd w:id="143"/>
    </w:p>
    <w:p>
      <w:pPr>
        <w:jc w:val="center"/>
        <w:outlineLvl w:val="0"/>
        <w:rPr>
          <w:rStyle w:val="26"/>
          <w:rFonts w:ascii="黑体" w:hAnsi="黑体" w:eastAsia="黑体"/>
          <w:b w:val="0"/>
        </w:rPr>
      </w:pPr>
      <w:bookmarkStart w:id="112" w:name="_Toc15396618"/>
      <w:bookmarkStart w:id="113" w:name="_Toc144939423"/>
      <w:bookmarkStart w:id="114" w:name="_Toc146045969"/>
      <w:bookmarkStart w:id="115" w:name="_Toc146046796"/>
      <w:r>
        <w:rPr>
          <w:rFonts w:hint="eastAsia" w:ascii="黑体" w:hAnsi="黑体" w:eastAsia="黑体"/>
          <w:sz w:val="44"/>
          <w:szCs w:val="44"/>
        </w:rPr>
        <w:t>第</w:t>
      </w:r>
      <w:r>
        <w:rPr>
          <w:rStyle w:val="26"/>
          <w:rFonts w:hint="eastAsia" w:ascii="黑体" w:hAnsi="黑体" w:eastAsia="黑体"/>
          <w:b w:val="0"/>
        </w:rPr>
        <w:t>五部分 附表</w:t>
      </w:r>
      <w:bookmarkEnd w:id="107"/>
      <w:bookmarkEnd w:id="112"/>
      <w:bookmarkEnd w:id="113"/>
      <w:bookmarkEnd w:id="114"/>
      <w:bookmarkEnd w:id="115"/>
      <w:bookmarkStart w:id="116" w:name="_Toc15396619"/>
    </w:p>
    <w:p>
      <w:pPr>
        <w:outlineLvl w:val="1"/>
        <w:rPr>
          <w:rFonts w:ascii="仿宋" w:hAnsi="仿宋" w:eastAsia="仿宋" w:cs="仿宋"/>
          <w:spacing w:val="-8"/>
          <w:sz w:val="32"/>
          <w:szCs w:val="32"/>
        </w:rPr>
      </w:pPr>
      <w:bookmarkStart w:id="117" w:name="_Toc146045970"/>
      <w:bookmarkStart w:id="118" w:name="_Toc146046797"/>
      <w:r>
        <w:rPr>
          <w:rFonts w:hint="eastAsia" w:ascii="仿宋" w:hAnsi="仿宋" w:eastAsia="仿宋" w:cs="仿宋"/>
          <w:spacing w:val="-8"/>
          <w:sz w:val="32"/>
          <w:szCs w:val="32"/>
        </w:rPr>
        <w:t>一、收入支出决算总表</w:t>
      </w:r>
      <w:bookmarkEnd w:id="117"/>
      <w:bookmarkEnd w:id="118"/>
    </w:p>
    <w:p>
      <w:pPr>
        <w:outlineLvl w:val="1"/>
        <w:rPr>
          <w:rFonts w:ascii="仿宋" w:hAnsi="仿宋" w:eastAsia="仿宋" w:cs="仿宋"/>
          <w:spacing w:val="-8"/>
          <w:sz w:val="32"/>
          <w:szCs w:val="32"/>
        </w:rPr>
      </w:pPr>
      <w:bookmarkStart w:id="119" w:name="_Toc146046798"/>
      <w:bookmarkStart w:id="120" w:name="_Toc146045971"/>
      <w:r>
        <w:rPr>
          <w:rFonts w:hint="eastAsia" w:ascii="仿宋" w:hAnsi="仿宋" w:eastAsia="仿宋" w:cs="仿宋"/>
          <w:spacing w:val="-8"/>
          <w:sz w:val="32"/>
          <w:szCs w:val="32"/>
        </w:rPr>
        <w:t>二、收入决算表</w:t>
      </w:r>
      <w:bookmarkEnd w:id="119"/>
      <w:bookmarkEnd w:id="120"/>
    </w:p>
    <w:p>
      <w:pPr>
        <w:outlineLvl w:val="1"/>
        <w:rPr>
          <w:rFonts w:ascii="仿宋" w:hAnsi="仿宋" w:eastAsia="仿宋" w:cs="仿宋"/>
          <w:spacing w:val="-8"/>
          <w:sz w:val="32"/>
          <w:szCs w:val="32"/>
        </w:rPr>
      </w:pPr>
      <w:bookmarkStart w:id="121" w:name="_Toc146045972"/>
      <w:bookmarkStart w:id="122" w:name="_Toc146046799"/>
      <w:r>
        <w:rPr>
          <w:rFonts w:hint="eastAsia" w:ascii="仿宋" w:hAnsi="仿宋" w:eastAsia="仿宋" w:cs="仿宋"/>
          <w:spacing w:val="-8"/>
          <w:sz w:val="32"/>
          <w:szCs w:val="32"/>
        </w:rPr>
        <w:t>三、支出决算表</w:t>
      </w:r>
      <w:bookmarkEnd w:id="121"/>
      <w:bookmarkEnd w:id="122"/>
    </w:p>
    <w:p>
      <w:pPr>
        <w:outlineLvl w:val="1"/>
        <w:rPr>
          <w:rFonts w:ascii="仿宋" w:hAnsi="仿宋" w:eastAsia="仿宋" w:cs="仿宋"/>
          <w:spacing w:val="-8"/>
          <w:sz w:val="32"/>
          <w:szCs w:val="32"/>
        </w:rPr>
      </w:pPr>
      <w:bookmarkStart w:id="123" w:name="_Toc146045973"/>
      <w:bookmarkStart w:id="124" w:name="_Toc146046800"/>
      <w:r>
        <w:rPr>
          <w:rFonts w:hint="eastAsia" w:ascii="仿宋" w:hAnsi="仿宋" w:eastAsia="仿宋" w:cs="仿宋"/>
          <w:spacing w:val="-8"/>
          <w:sz w:val="32"/>
          <w:szCs w:val="32"/>
        </w:rPr>
        <w:t>四、财政拨款收入支出决算总表</w:t>
      </w:r>
      <w:bookmarkEnd w:id="123"/>
      <w:bookmarkEnd w:id="124"/>
    </w:p>
    <w:p>
      <w:pPr>
        <w:outlineLvl w:val="1"/>
        <w:rPr>
          <w:rFonts w:ascii="仿宋" w:hAnsi="仿宋" w:eastAsia="仿宋" w:cs="仿宋"/>
          <w:spacing w:val="-8"/>
          <w:sz w:val="32"/>
          <w:szCs w:val="32"/>
        </w:rPr>
      </w:pPr>
      <w:bookmarkStart w:id="125" w:name="_Toc146045974"/>
      <w:bookmarkStart w:id="126" w:name="_Toc146046801"/>
      <w:r>
        <w:rPr>
          <w:rFonts w:hint="eastAsia" w:ascii="仿宋" w:hAnsi="仿宋" w:eastAsia="仿宋" w:cs="仿宋"/>
          <w:spacing w:val="-8"/>
          <w:sz w:val="32"/>
          <w:szCs w:val="32"/>
        </w:rPr>
        <w:t>五、财政拨款支出决算明细表</w:t>
      </w:r>
      <w:bookmarkEnd w:id="125"/>
      <w:bookmarkEnd w:id="126"/>
    </w:p>
    <w:p>
      <w:pPr>
        <w:outlineLvl w:val="1"/>
        <w:rPr>
          <w:rFonts w:ascii="仿宋" w:hAnsi="仿宋" w:eastAsia="仿宋" w:cs="仿宋"/>
          <w:spacing w:val="-8"/>
          <w:sz w:val="32"/>
          <w:szCs w:val="32"/>
        </w:rPr>
      </w:pPr>
      <w:bookmarkStart w:id="127" w:name="_Toc146046802"/>
      <w:bookmarkStart w:id="128" w:name="_Toc146045975"/>
      <w:r>
        <w:rPr>
          <w:rFonts w:hint="eastAsia" w:ascii="仿宋" w:hAnsi="仿宋" w:eastAsia="仿宋" w:cs="仿宋"/>
          <w:spacing w:val="-8"/>
          <w:sz w:val="32"/>
          <w:szCs w:val="32"/>
        </w:rPr>
        <w:t>六、一般公共预算财政拨款支出决算表</w:t>
      </w:r>
      <w:bookmarkEnd w:id="127"/>
      <w:bookmarkEnd w:id="128"/>
    </w:p>
    <w:p>
      <w:pPr>
        <w:outlineLvl w:val="1"/>
        <w:rPr>
          <w:rFonts w:ascii="仿宋" w:hAnsi="仿宋" w:eastAsia="仿宋" w:cs="仿宋"/>
          <w:spacing w:val="-8"/>
          <w:sz w:val="32"/>
          <w:szCs w:val="32"/>
        </w:rPr>
      </w:pPr>
      <w:bookmarkStart w:id="129" w:name="_Toc146045976"/>
      <w:bookmarkStart w:id="130" w:name="_Toc146046803"/>
      <w:r>
        <w:rPr>
          <w:rFonts w:hint="eastAsia" w:ascii="仿宋" w:hAnsi="仿宋" w:eastAsia="仿宋" w:cs="仿宋"/>
          <w:spacing w:val="-8"/>
          <w:sz w:val="32"/>
          <w:szCs w:val="32"/>
        </w:rPr>
        <w:t>七、一般公共预算财政拨款支出决算明细表</w:t>
      </w:r>
      <w:bookmarkEnd w:id="129"/>
      <w:bookmarkEnd w:id="130"/>
    </w:p>
    <w:p>
      <w:pPr>
        <w:outlineLvl w:val="1"/>
        <w:rPr>
          <w:rFonts w:ascii="仿宋" w:hAnsi="仿宋" w:eastAsia="仿宋" w:cs="仿宋"/>
          <w:spacing w:val="-8"/>
          <w:sz w:val="32"/>
          <w:szCs w:val="32"/>
        </w:rPr>
      </w:pPr>
      <w:bookmarkStart w:id="131" w:name="_Toc146046804"/>
      <w:bookmarkStart w:id="132" w:name="_Toc146045977"/>
      <w:r>
        <w:rPr>
          <w:rFonts w:hint="eastAsia" w:ascii="仿宋" w:hAnsi="仿宋" w:eastAsia="仿宋" w:cs="仿宋"/>
          <w:spacing w:val="-8"/>
          <w:sz w:val="32"/>
          <w:szCs w:val="32"/>
        </w:rPr>
        <w:t>八、一般公共预算财政拨款基本支出决算表</w:t>
      </w:r>
      <w:bookmarkEnd w:id="131"/>
      <w:bookmarkEnd w:id="132"/>
    </w:p>
    <w:p>
      <w:pPr>
        <w:outlineLvl w:val="1"/>
        <w:rPr>
          <w:rFonts w:ascii="仿宋" w:hAnsi="仿宋" w:eastAsia="仿宋" w:cs="仿宋"/>
          <w:spacing w:val="-8"/>
          <w:sz w:val="32"/>
          <w:szCs w:val="32"/>
        </w:rPr>
      </w:pPr>
      <w:bookmarkStart w:id="133" w:name="_Toc146046805"/>
      <w:bookmarkStart w:id="134" w:name="_Toc146045978"/>
      <w:r>
        <w:rPr>
          <w:rFonts w:hint="eastAsia" w:ascii="仿宋" w:hAnsi="仿宋" w:eastAsia="仿宋" w:cs="仿宋"/>
          <w:spacing w:val="-8"/>
          <w:sz w:val="32"/>
          <w:szCs w:val="32"/>
        </w:rPr>
        <w:t>九、一般公共预算财政拨款项目支出决算表</w:t>
      </w:r>
      <w:bookmarkEnd w:id="133"/>
      <w:bookmarkEnd w:id="134"/>
    </w:p>
    <w:p>
      <w:pPr>
        <w:outlineLvl w:val="1"/>
        <w:rPr>
          <w:rFonts w:ascii="仿宋" w:hAnsi="仿宋" w:eastAsia="仿宋" w:cs="仿宋"/>
          <w:spacing w:val="-8"/>
          <w:sz w:val="32"/>
          <w:szCs w:val="32"/>
        </w:rPr>
      </w:pPr>
      <w:bookmarkStart w:id="135" w:name="_Toc146045979"/>
      <w:bookmarkStart w:id="136" w:name="_Toc146046806"/>
      <w:r>
        <w:rPr>
          <w:rFonts w:hint="eastAsia" w:ascii="仿宋" w:hAnsi="仿宋" w:eastAsia="仿宋" w:cs="仿宋"/>
          <w:spacing w:val="-8"/>
          <w:sz w:val="32"/>
          <w:szCs w:val="32"/>
        </w:rPr>
        <w:t>十、政府性基金预算财政拨款收入支出决算表</w:t>
      </w:r>
      <w:bookmarkEnd w:id="135"/>
      <w:bookmarkEnd w:id="136"/>
    </w:p>
    <w:p>
      <w:pPr>
        <w:outlineLvl w:val="1"/>
        <w:rPr>
          <w:rFonts w:ascii="仿宋" w:hAnsi="仿宋" w:eastAsia="仿宋" w:cs="仿宋"/>
          <w:spacing w:val="-8"/>
          <w:sz w:val="32"/>
          <w:szCs w:val="32"/>
        </w:rPr>
      </w:pPr>
      <w:bookmarkStart w:id="137" w:name="_Toc146045980"/>
      <w:bookmarkStart w:id="138" w:name="_Toc146046807"/>
      <w:r>
        <w:rPr>
          <w:rFonts w:hint="eastAsia" w:ascii="仿宋" w:hAnsi="仿宋" w:eastAsia="仿宋" w:cs="仿宋"/>
          <w:spacing w:val="-8"/>
          <w:sz w:val="32"/>
          <w:szCs w:val="32"/>
        </w:rPr>
        <w:t>十一、国有资本经营预算财政拨款收入支出决算表</w:t>
      </w:r>
      <w:bookmarkEnd w:id="137"/>
      <w:bookmarkEnd w:id="138"/>
    </w:p>
    <w:p>
      <w:pPr>
        <w:outlineLvl w:val="1"/>
        <w:rPr>
          <w:rFonts w:ascii="仿宋" w:hAnsi="仿宋" w:eastAsia="仿宋" w:cs="仿宋"/>
          <w:spacing w:val="-8"/>
          <w:sz w:val="32"/>
          <w:szCs w:val="32"/>
        </w:rPr>
      </w:pPr>
      <w:bookmarkStart w:id="139" w:name="_Toc146045981"/>
      <w:bookmarkStart w:id="140" w:name="_Toc146046808"/>
      <w:r>
        <w:rPr>
          <w:rFonts w:hint="eastAsia" w:ascii="仿宋" w:hAnsi="仿宋" w:eastAsia="仿宋" w:cs="仿宋"/>
          <w:spacing w:val="-8"/>
          <w:sz w:val="32"/>
          <w:szCs w:val="32"/>
        </w:rPr>
        <w:t>十二、国有资本经营预算财政拨款支出决算表</w:t>
      </w:r>
      <w:bookmarkEnd w:id="139"/>
      <w:bookmarkEnd w:id="140"/>
    </w:p>
    <w:p>
      <w:pPr>
        <w:outlineLvl w:val="1"/>
        <w:rPr>
          <w:rFonts w:ascii="仿宋" w:hAnsi="仿宋" w:eastAsia="仿宋" w:cs="仿宋"/>
          <w:spacing w:val="-8"/>
          <w:sz w:val="32"/>
          <w:szCs w:val="32"/>
        </w:rPr>
      </w:pPr>
      <w:bookmarkStart w:id="141" w:name="_Toc146045982"/>
      <w:bookmarkStart w:id="142" w:name="_Toc146046809"/>
      <w:r>
        <w:rPr>
          <w:rFonts w:hint="eastAsia" w:ascii="仿宋" w:hAnsi="仿宋" w:eastAsia="仿宋" w:cs="仿宋"/>
          <w:spacing w:val="-8"/>
          <w:sz w:val="32"/>
          <w:szCs w:val="32"/>
        </w:rPr>
        <w:t>十三、财政拨款“三公”经费支出决算表</w:t>
      </w:r>
      <w:bookmarkEnd w:id="141"/>
      <w:bookmarkEnd w:id="142"/>
    </w:p>
    <w:bookmarkEnd w:id="116"/>
    <w:p>
      <w:pPr>
        <w:rPr>
          <w:rFonts w:ascii="仿宋" w:hAnsi="仿宋" w:eastAsia="仿宋" w:cs="仿宋"/>
          <w:spacing w:val="-8"/>
          <w:sz w:val="32"/>
          <w:szCs w:val="32"/>
        </w:rPr>
      </w:pPr>
    </w:p>
    <w:sectPr>
      <w:footerReference r:id="rId6" w:type="first"/>
      <w:footerReference r:id="rId5" w:type="default"/>
      <w:pgSz w:w="11906" w:h="16838"/>
      <w:pgMar w:top="1440" w:right="1179"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838357"/>
    </w:sdtPr>
    <w:sdtContent>
      <w:sdt>
        <w:sdtPr>
          <w:id w:val="171357217"/>
        </w:sdtPr>
        <w:sdtContent>
          <w:p>
            <w:pPr>
              <w:pStyle w:val="8"/>
              <w:jc w:val="center"/>
            </w:pP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3A910F88"/>
    <w:multiLevelType w:val="multilevel"/>
    <w:tmpl w:val="3A910F8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
    <w:nsid w:val="435303D3"/>
    <w:multiLevelType w:val="multilevel"/>
    <w:tmpl w:val="435303D3"/>
    <w:lvl w:ilvl="0" w:tentative="0">
      <w:start w:val="2"/>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VjZTBmYmZhMjYwMTI1OWZhNWY2NjQ0YTYyMDNmYTAifQ=="/>
  </w:docVars>
  <w:rsids>
    <w:rsidRoot w:val="00F1361C"/>
    <w:rsid w:val="000222C6"/>
    <w:rsid w:val="0002549F"/>
    <w:rsid w:val="000314F0"/>
    <w:rsid w:val="000468DB"/>
    <w:rsid w:val="0006487A"/>
    <w:rsid w:val="00065F8F"/>
    <w:rsid w:val="00070A43"/>
    <w:rsid w:val="000768F2"/>
    <w:rsid w:val="0009184B"/>
    <w:rsid w:val="00094236"/>
    <w:rsid w:val="0009593C"/>
    <w:rsid w:val="00097322"/>
    <w:rsid w:val="00097BA3"/>
    <w:rsid w:val="000A6A92"/>
    <w:rsid w:val="000B047F"/>
    <w:rsid w:val="000B5923"/>
    <w:rsid w:val="000B5A48"/>
    <w:rsid w:val="000B6FF3"/>
    <w:rsid w:val="000C3467"/>
    <w:rsid w:val="000C3CA6"/>
    <w:rsid w:val="000C4650"/>
    <w:rsid w:val="000D1267"/>
    <w:rsid w:val="000D1D50"/>
    <w:rsid w:val="000D2C6D"/>
    <w:rsid w:val="000D5782"/>
    <w:rsid w:val="000E6613"/>
    <w:rsid w:val="000E7119"/>
    <w:rsid w:val="00114E9B"/>
    <w:rsid w:val="00142216"/>
    <w:rsid w:val="00142A20"/>
    <w:rsid w:val="00144D6A"/>
    <w:rsid w:val="0014729F"/>
    <w:rsid w:val="00157BAB"/>
    <w:rsid w:val="00162F37"/>
    <w:rsid w:val="001654D1"/>
    <w:rsid w:val="00174518"/>
    <w:rsid w:val="0018106D"/>
    <w:rsid w:val="001877A7"/>
    <w:rsid w:val="00191536"/>
    <w:rsid w:val="00196687"/>
    <w:rsid w:val="001A1AB9"/>
    <w:rsid w:val="001C0962"/>
    <w:rsid w:val="001D7531"/>
    <w:rsid w:val="001E312B"/>
    <w:rsid w:val="001E737D"/>
    <w:rsid w:val="001F0592"/>
    <w:rsid w:val="001F7506"/>
    <w:rsid w:val="002006CD"/>
    <w:rsid w:val="00202B36"/>
    <w:rsid w:val="00204B7A"/>
    <w:rsid w:val="00204CDE"/>
    <w:rsid w:val="0021101A"/>
    <w:rsid w:val="00220536"/>
    <w:rsid w:val="002312DB"/>
    <w:rsid w:val="00235629"/>
    <w:rsid w:val="00260C38"/>
    <w:rsid w:val="002616C0"/>
    <w:rsid w:val="00265372"/>
    <w:rsid w:val="002662AA"/>
    <w:rsid w:val="00280496"/>
    <w:rsid w:val="002938E6"/>
    <w:rsid w:val="00294DC9"/>
    <w:rsid w:val="00295495"/>
    <w:rsid w:val="002A31DE"/>
    <w:rsid w:val="002B0325"/>
    <w:rsid w:val="002B2613"/>
    <w:rsid w:val="002C7F84"/>
    <w:rsid w:val="002D3928"/>
    <w:rsid w:val="002D6D05"/>
    <w:rsid w:val="002F1818"/>
    <w:rsid w:val="002F567B"/>
    <w:rsid w:val="003216A9"/>
    <w:rsid w:val="00335A74"/>
    <w:rsid w:val="0035204D"/>
    <w:rsid w:val="0036561B"/>
    <w:rsid w:val="00365CF5"/>
    <w:rsid w:val="0037013F"/>
    <w:rsid w:val="00380C92"/>
    <w:rsid w:val="00384EE4"/>
    <w:rsid w:val="003A484F"/>
    <w:rsid w:val="003A4883"/>
    <w:rsid w:val="003B0BE0"/>
    <w:rsid w:val="003B0C1B"/>
    <w:rsid w:val="003B688C"/>
    <w:rsid w:val="003C0291"/>
    <w:rsid w:val="003C39AE"/>
    <w:rsid w:val="003C4F38"/>
    <w:rsid w:val="003C7B60"/>
    <w:rsid w:val="003D0C0F"/>
    <w:rsid w:val="003D1FB2"/>
    <w:rsid w:val="003D66DA"/>
    <w:rsid w:val="003E1310"/>
    <w:rsid w:val="003E6F55"/>
    <w:rsid w:val="00406254"/>
    <w:rsid w:val="004223DE"/>
    <w:rsid w:val="00434489"/>
    <w:rsid w:val="00437085"/>
    <w:rsid w:val="004428DA"/>
    <w:rsid w:val="00443880"/>
    <w:rsid w:val="004464F4"/>
    <w:rsid w:val="00463BF3"/>
    <w:rsid w:val="00471401"/>
    <w:rsid w:val="00473F31"/>
    <w:rsid w:val="0048263A"/>
    <w:rsid w:val="00487E5D"/>
    <w:rsid w:val="004914D0"/>
    <w:rsid w:val="004A711F"/>
    <w:rsid w:val="004B199D"/>
    <w:rsid w:val="004B4690"/>
    <w:rsid w:val="004C0D4E"/>
    <w:rsid w:val="004E0A2D"/>
    <w:rsid w:val="004E206B"/>
    <w:rsid w:val="004E6DF7"/>
    <w:rsid w:val="004F0FBD"/>
    <w:rsid w:val="00505A47"/>
    <w:rsid w:val="00512FDA"/>
    <w:rsid w:val="00516423"/>
    <w:rsid w:val="00520DA0"/>
    <w:rsid w:val="00531DEB"/>
    <w:rsid w:val="00537A80"/>
    <w:rsid w:val="00555FB5"/>
    <w:rsid w:val="005562A8"/>
    <w:rsid w:val="0056033A"/>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1EE0"/>
    <w:rsid w:val="006325F8"/>
    <w:rsid w:val="00633463"/>
    <w:rsid w:val="00633903"/>
    <w:rsid w:val="00634C9A"/>
    <w:rsid w:val="006440E4"/>
    <w:rsid w:val="0066343B"/>
    <w:rsid w:val="00664777"/>
    <w:rsid w:val="006748A4"/>
    <w:rsid w:val="00681A31"/>
    <w:rsid w:val="00683E73"/>
    <w:rsid w:val="006A3141"/>
    <w:rsid w:val="006A500E"/>
    <w:rsid w:val="006A5E34"/>
    <w:rsid w:val="006B2422"/>
    <w:rsid w:val="006B2B9A"/>
    <w:rsid w:val="006C1937"/>
    <w:rsid w:val="006C660E"/>
    <w:rsid w:val="006F020C"/>
    <w:rsid w:val="007047A8"/>
    <w:rsid w:val="007127B7"/>
    <w:rsid w:val="0071798E"/>
    <w:rsid w:val="00730BCB"/>
    <w:rsid w:val="007416B6"/>
    <w:rsid w:val="00746F48"/>
    <w:rsid w:val="0075404D"/>
    <w:rsid w:val="0076182A"/>
    <w:rsid w:val="00767B7E"/>
    <w:rsid w:val="007770C3"/>
    <w:rsid w:val="00784D24"/>
    <w:rsid w:val="00785FBA"/>
    <w:rsid w:val="00786E4A"/>
    <w:rsid w:val="007875EB"/>
    <w:rsid w:val="0079426B"/>
    <w:rsid w:val="007B61D8"/>
    <w:rsid w:val="007C3949"/>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15E"/>
    <w:rsid w:val="00885AF4"/>
    <w:rsid w:val="008939CD"/>
    <w:rsid w:val="008A43BA"/>
    <w:rsid w:val="008B7393"/>
    <w:rsid w:val="008B768C"/>
    <w:rsid w:val="008C4DB1"/>
    <w:rsid w:val="008C4EAF"/>
    <w:rsid w:val="008C5176"/>
    <w:rsid w:val="008C7FD0"/>
    <w:rsid w:val="008E1DE7"/>
    <w:rsid w:val="008E3A1A"/>
    <w:rsid w:val="008E707C"/>
    <w:rsid w:val="00900B08"/>
    <w:rsid w:val="00902155"/>
    <w:rsid w:val="00902FA3"/>
    <w:rsid w:val="00917ADB"/>
    <w:rsid w:val="00923564"/>
    <w:rsid w:val="0092392E"/>
    <w:rsid w:val="009315F9"/>
    <w:rsid w:val="00933499"/>
    <w:rsid w:val="00935C98"/>
    <w:rsid w:val="00946945"/>
    <w:rsid w:val="00951248"/>
    <w:rsid w:val="0095152F"/>
    <w:rsid w:val="009528E5"/>
    <w:rsid w:val="00954C49"/>
    <w:rsid w:val="00955E37"/>
    <w:rsid w:val="0097099F"/>
    <w:rsid w:val="0097182B"/>
    <w:rsid w:val="00971997"/>
    <w:rsid w:val="00971FFC"/>
    <w:rsid w:val="0098660A"/>
    <w:rsid w:val="009931C3"/>
    <w:rsid w:val="0099703F"/>
    <w:rsid w:val="00997EE1"/>
    <w:rsid w:val="009A5BDC"/>
    <w:rsid w:val="009B03A0"/>
    <w:rsid w:val="009B2C43"/>
    <w:rsid w:val="009B4EAE"/>
    <w:rsid w:val="009B668D"/>
    <w:rsid w:val="009B7573"/>
    <w:rsid w:val="009C22F4"/>
    <w:rsid w:val="009C2A4B"/>
    <w:rsid w:val="009C2E98"/>
    <w:rsid w:val="009D3447"/>
    <w:rsid w:val="009D4711"/>
    <w:rsid w:val="009E10BA"/>
    <w:rsid w:val="009F1185"/>
    <w:rsid w:val="009F18CD"/>
    <w:rsid w:val="009F2A13"/>
    <w:rsid w:val="009F7527"/>
    <w:rsid w:val="00A04EB0"/>
    <w:rsid w:val="00A13CC1"/>
    <w:rsid w:val="00A16847"/>
    <w:rsid w:val="00A20A6F"/>
    <w:rsid w:val="00A237D8"/>
    <w:rsid w:val="00A268C4"/>
    <w:rsid w:val="00A307CD"/>
    <w:rsid w:val="00A331C8"/>
    <w:rsid w:val="00A40A00"/>
    <w:rsid w:val="00A4142F"/>
    <w:rsid w:val="00A422EB"/>
    <w:rsid w:val="00A45BB7"/>
    <w:rsid w:val="00A56DF2"/>
    <w:rsid w:val="00A56E6E"/>
    <w:rsid w:val="00A67AB5"/>
    <w:rsid w:val="00A733B2"/>
    <w:rsid w:val="00A741C2"/>
    <w:rsid w:val="00A856A4"/>
    <w:rsid w:val="00A91760"/>
    <w:rsid w:val="00A93B00"/>
    <w:rsid w:val="00A93C21"/>
    <w:rsid w:val="00AB64C9"/>
    <w:rsid w:val="00AC3C6A"/>
    <w:rsid w:val="00AC4955"/>
    <w:rsid w:val="00AD5620"/>
    <w:rsid w:val="00AD656B"/>
    <w:rsid w:val="00AD7C1B"/>
    <w:rsid w:val="00AE16BA"/>
    <w:rsid w:val="00AE1EBE"/>
    <w:rsid w:val="00AF179D"/>
    <w:rsid w:val="00AF39F6"/>
    <w:rsid w:val="00B03C9D"/>
    <w:rsid w:val="00B060AE"/>
    <w:rsid w:val="00B10517"/>
    <w:rsid w:val="00B14E76"/>
    <w:rsid w:val="00B161B8"/>
    <w:rsid w:val="00B2048C"/>
    <w:rsid w:val="00B310B9"/>
    <w:rsid w:val="00B35F3F"/>
    <w:rsid w:val="00B36CBB"/>
    <w:rsid w:val="00B425E0"/>
    <w:rsid w:val="00B440AA"/>
    <w:rsid w:val="00B44B70"/>
    <w:rsid w:val="00B4778C"/>
    <w:rsid w:val="00B53C56"/>
    <w:rsid w:val="00B57DAF"/>
    <w:rsid w:val="00B74D20"/>
    <w:rsid w:val="00B77EA6"/>
    <w:rsid w:val="00B80A2C"/>
    <w:rsid w:val="00B81598"/>
    <w:rsid w:val="00B841F1"/>
    <w:rsid w:val="00B944D6"/>
    <w:rsid w:val="00BB4DF0"/>
    <w:rsid w:val="00BC289F"/>
    <w:rsid w:val="00BC2D50"/>
    <w:rsid w:val="00BC5361"/>
    <w:rsid w:val="00BC5460"/>
    <w:rsid w:val="00BC6B50"/>
    <w:rsid w:val="00BD0E25"/>
    <w:rsid w:val="00BF01AD"/>
    <w:rsid w:val="00BF5BD6"/>
    <w:rsid w:val="00C03E31"/>
    <w:rsid w:val="00C33E72"/>
    <w:rsid w:val="00C354B2"/>
    <w:rsid w:val="00C35554"/>
    <w:rsid w:val="00C42709"/>
    <w:rsid w:val="00C47F69"/>
    <w:rsid w:val="00C533CC"/>
    <w:rsid w:val="00C5751C"/>
    <w:rsid w:val="00C61BFC"/>
    <w:rsid w:val="00C62B85"/>
    <w:rsid w:val="00C6484C"/>
    <w:rsid w:val="00C65438"/>
    <w:rsid w:val="00C87FD8"/>
    <w:rsid w:val="00C91381"/>
    <w:rsid w:val="00C91CBB"/>
    <w:rsid w:val="00CB4E70"/>
    <w:rsid w:val="00CB548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3742"/>
    <w:rsid w:val="00DA634F"/>
    <w:rsid w:val="00DA65AC"/>
    <w:rsid w:val="00DB1913"/>
    <w:rsid w:val="00DC410D"/>
    <w:rsid w:val="00DC5A81"/>
    <w:rsid w:val="00DC68CA"/>
    <w:rsid w:val="00DC7CBA"/>
    <w:rsid w:val="00DD4DE4"/>
    <w:rsid w:val="00DD689A"/>
    <w:rsid w:val="00DD73B7"/>
    <w:rsid w:val="00DF28BC"/>
    <w:rsid w:val="00DF34B9"/>
    <w:rsid w:val="00E01053"/>
    <w:rsid w:val="00E07ACF"/>
    <w:rsid w:val="00E15F05"/>
    <w:rsid w:val="00E1604F"/>
    <w:rsid w:val="00E331A1"/>
    <w:rsid w:val="00E33202"/>
    <w:rsid w:val="00E336A9"/>
    <w:rsid w:val="00E472B1"/>
    <w:rsid w:val="00E50624"/>
    <w:rsid w:val="00E568DF"/>
    <w:rsid w:val="00E62A7A"/>
    <w:rsid w:val="00E64269"/>
    <w:rsid w:val="00E82267"/>
    <w:rsid w:val="00E853CE"/>
    <w:rsid w:val="00E867B6"/>
    <w:rsid w:val="00EA010F"/>
    <w:rsid w:val="00EA3569"/>
    <w:rsid w:val="00EC7F6E"/>
    <w:rsid w:val="00ED1B63"/>
    <w:rsid w:val="00ED3C1F"/>
    <w:rsid w:val="00ED4085"/>
    <w:rsid w:val="00ED420E"/>
    <w:rsid w:val="00ED6FBE"/>
    <w:rsid w:val="00EE2F57"/>
    <w:rsid w:val="00EF4C34"/>
    <w:rsid w:val="00EF77C6"/>
    <w:rsid w:val="00F05438"/>
    <w:rsid w:val="00F073AB"/>
    <w:rsid w:val="00F1361C"/>
    <w:rsid w:val="00F156F0"/>
    <w:rsid w:val="00F15877"/>
    <w:rsid w:val="00F160C7"/>
    <w:rsid w:val="00F2408F"/>
    <w:rsid w:val="00F240E9"/>
    <w:rsid w:val="00F24F6A"/>
    <w:rsid w:val="00F36D8F"/>
    <w:rsid w:val="00F417B1"/>
    <w:rsid w:val="00F45853"/>
    <w:rsid w:val="00F565B4"/>
    <w:rsid w:val="00F602DF"/>
    <w:rsid w:val="00F63F0C"/>
    <w:rsid w:val="00F754A1"/>
    <w:rsid w:val="00F81FD9"/>
    <w:rsid w:val="00F82D78"/>
    <w:rsid w:val="00F82F99"/>
    <w:rsid w:val="00F841AA"/>
    <w:rsid w:val="00F84A94"/>
    <w:rsid w:val="00F87E96"/>
    <w:rsid w:val="00F90EE1"/>
    <w:rsid w:val="00FA23E8"/>
    <w:rsid w:val="00FD3CC1"/>
    <w:rsid w:val="00FF1E02"/>
    <w:rsid w:val="00FF30B4"/>
    <w:rsid w:val="02864151"/>
    <w:rsid w:val="02D0684A"/>
    <w:rsid w:val="043B3539"/>
    <w:rsid w:val="05022605"/>
    <w:rsid w:val="053A62B5"/>
    <w:rsid w:val="06CB3C89"/>
    <w:rsid w:val="0A2032A3"/>
    <w:rsid w:val="0B3831C9"/>
    <w:rsid w:val="0B8A37D8"/>
    <w:rsid w:val="0E1304AF"/>
    <w:rsid w:val="10C055FF"/>
    <w:rsid w:val="10F76014"/>
    <w:rsid w:val="118107EC"/>
    <w:rsid w:val="11DD6519"/>
    <w:rsid w:val="11E64C96"/>
    <w:rsid w:val="12062B4E"/>
    <w:rsid w:val="13FB5623"/>
    <w:rsid w:val="15A73543"/>
    <w:rsid w:val="16BB723D"/>
    <w:rsid w:val="18015F3F"/>
    <w:rsid w:val="1BE8440E"/>
    <w:rsid w:val="1C5B6CA3"/>
    <w:rsid w:val="1D155CEE"/>
    <w:rsid w:val="1EBB288A"/>
    <w:rsid w:val="20F57F95"/>
    <w:rsid w:val="21275322"/>
    <w:rsid w:val="240371BF"/>
    <w:rsid w:val="25577E75"/>
    <w:rsid w:val="25711CC6"/>
    <w:rsid w:val="25C741E6"/>
    <w:rsid w:val="27842671"/>
    <w:rsid w:val="285D2B42"/>
    <w:rsid w:val="29FD04D3"/>
    <w:rsid w:val="2ABE7A3E"/>
    <w:rsid w:val="2BB449EB"/>
    <w:rsid w:val="2C0167A4"/>
    <w:rsid w:val="2C602C01"/>
    <w:rsid w:val="2CA234A8"/>
    <w:rsid w:val="2EFA178C"/>
    <w:rsid w:val="30B46D73"/>
    <w:rsid w:val="3179279B"/>
    <w:rsid w:val="318B1CE1"/>
    <w:rsid w:val="319F7F4E"/>
    <w:rsid w:val="322219EA"/>
    <w:rsid w:val="3344140F"/>
    <w:rsid w:val="36E63FE1"/>
    <w:rsid w:val="383D272C"/>
    <w:rsid w:val="39AE70AB"/>
    <w:rsid w:val="39FE1E87"/>
    <w:rsid w:val="3B621599"/>
    <w:rsid w:val="3BA13E71"/>
    <w:rsid w:val="3C0C0783"/>
    <w:rsid w:val="3CB45B7B"/>
    <w:rsid w:val="3D826D07"/>
    <w:rsid w:val="3DEC7B8D"/>
    <w:rsid w:val="3E480642"/>
    <w:rsid w:val="3F9F3A96"/>
    <w:rsid w:val="42D56C38"/>
    <w:rsid w:val="433E67A9"/>
    <w:rsid w:val="439A35C1"/>
    <w:rsid w:val="44DA5A97"/>
    <w:rsid w:val="451313F6"/>
    <w:rsid w:val="454C610A"/>
    <w:rsid w:val="459A4E3B"/>
    <w:rsid w:val="48BF60AB"/>
    <w:rsid w:val="493C27E9"/>
    <w:rsid w:val="496F39ED"/>
    <w:rsid w:val="49FF41D3"/>
    <w:rsid w:val="4B31132F"/>
    <w:rsid w:val="4BE068DB"/>
    <w:rsid w:val="4BF6002B"/>
    <w:rsid w:val="4C7C3335"/>
    <w:rsid w:val="4ECE2238"/>
    <w:rsid w:val="4F002892"/>
    <w:rsid w:val="50E32FD8"/>
    <w:rsid w:val="51DB4B86"/>
    <w:rsid w:val="53187866"/>
    <w:rsid w:val="53F92DE6"/>
    <w:rsid w:val="55333C3E"/>
    <w:rsid w:val="569E30A4"/>
    <w:rsid w:val="5B6B6D49"/>
    <w:rsid w:val="5BF46D3E"/>
    <w:rsid w:val="5CDE1F96"/>
    <w:rsid w:val="5D156A66"/>
    <w:rsid w:val="5F305ADC"/>
    <w:rsid w:val="5FF41B3B"/>
    <w:rsid w:val="604F0DD1"/>
    <w:rsid w:val="64CA39A1"/>
    <w:rsid w:val="67045969"/>
    <w:rsid w:val="67095D94"/>
    <w:rsid w:val="69630ADE"/>
    <w:rsid w:val="6A9C612F"/>
    <w:rsid w:val="6C4A05C8"/>
    <w:rsid w:val="6D3B1A89"/>
    <w:rsid w:val="6ECF1760"/>
    <w:rsid w:val="6FCA0D33"/>
    <w:rsid w:val="71BF4EC2"/>
    <w:rsid w:val="72734D90"/>
    <w:rsid w:val="7412278C"/>
    <w:rsid w:val="757F20E7"/>
    <w:rsid w:val="76F319AF"/>
    <w:rsid w:val="79E7B28D"/>
    <w:rsid w:val="7A8E326A"/>
    <w:rsid w:val="7F9F20EE"/>
    <w:rsid w:val="7FF26C34"/>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semiHidden/>
    <w:unhideWhenUsed/>
    <w:qFormat/>
    <w:uiPriority w:val="99"/>
    <w:pPr>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22025;&#38517;&#31532;&#19968;&#21021;&#32423;&#20013;&#23398;\&#24191;&#20803;&#24066;&#21033;&#24030;&#21306;&#22025;&#38517;&#31532;&#19968;&#21021;&#32423;&#20013;&#23398;-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'G01 收入支出决算总表(公开01表)'!$J$36:$J$37</c:f>
              <c:strCache>
                <c:ptCount val="2"/>
                <c:pt idx="0">
                  <c:v>2021收支</c:v>
                </c:pt>
                <c:pt idx="1">
                  <c:v>2022收支</c:v>
                </c:pt>
              </c:strCache>
            </c:strRef>
          </c:cat>
          <c:val>
            <c:numRef>
              <c:f>'G01 收入支出决算总表(公开01表)'!$K$36:$K$37</c:f>
              <c:numCache>
                <c:formatCode>General</c:formatCode>
                <c:ptCount val="2"/>
                <c:pt idx="0">
                  <c:v>2726.58</c:v>
                </c:pt>
                <c:pt idx="1" c:formatCode="#,##0.00">
                  <c:v>4344.43</c:v>
                </c:pt>
              </c:numCache>
            </c:numRef>
          </c:val>
        </c:ser>
        <c:dLbls>
          <c:showLegendKey val="0"/>
          <c:showVal val="0"/>
          <c:showCatName val="0"/>
          <c:showSerName val="0"/>
          <c:showPercent val="0"/>
          <c:showBubbleSize val="0"/>
        </c:dLbls>
        <c:gapWidth val="150"/>
        <c:axId val="74359552"/>
        <c:axId val="74361472"/>
      </c:barChart>
      <c:catAx>
        <c:axId val="74359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361472"/>
        <c:crosses val="autoZero"/>
        <c:auto val="1"/>
        <c:lblAlgn val="ctr"/>
        <c:lblOffset val="100"/>
        <c:noMultiLvlLbl val="0"/>
      </c:catAx>
      <c:valAx>
        <c:axId val="7436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359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delete val="1"/>
          </c:dLbls>
          <c:cat>
            <c:strRef>
              <c:f>'G02 收入决算表(公开02表)'!$N$13:$N$18</c:f>
              <c:strCache>
                <c:ptCount val="6"/>
                <c:pt idx="0">
                  <c:v>财政拨款收入</c:v>
                </c:pt>
                <c:pt idx="1">
                  <c:v>上级补助收入</c:v>
                </c:pt>
                <c:pt idx="2">
                  <c:v>事业收入</c:v>
                </c:pt>
                <c:pt idx="3">
                  <c:v>经营收入</c:v>
                </c:pt>
                <c:pt idx="4">
                  <c:v>附属单位上缴收入</c:v>
                </c:pt>
                <c:pt idx="5">
                  <c:v>其他收入</c:v>
                </c:pt>
              </c:strCache>
            </c:strRef>
          </c:cat>
          <c:val>
            <c:numRef>
              <c:f>'G02 收入决算表(公开02表)'!$O$13:$O$18</c:f>
              <c:numCache>
                <c:formatCode>General</c:formatCode>
                <c:ptCount val="6"/>
                <c:pt idx="0">
                  <c:v>2579.68</c:v>
                </c:pt>
                <c:pt idx="1">
                  <c:v>0</c:v>
                </c:pt>
                <c:pt idx="2">
                  <c:v>115.27</c:v>
                </c:pt>
                <c:pt idx="3">
                  <c:v>0</c:v>
                </c:pt>
                <c:pt idx="4">
                  <c:v>0</c:v>
                </c:pt>
                <c:pt idx="5">
                  <c:v>0.56</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3"/>
        <c:delete val="1"/>
      </c:legendEntry>
      <c:legendEntry>
        <c:idx val="4"/>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Lbls>
            <c:delete val="1"/>
          </c:dLbls>
          <c:cat>
            <c:strRef>
              <c:f>'G03 支出决算表(公开03表)'!$M$13:$M$17</c:f>
              <c:strCache>
                <c:ptCount val="5"/>
                <c:pt idx="0">
                  <c:v>基本支出</c:v>
                </c:pt>
                <c:pt idx="1">
                  <c:v>项目支出</c:v>
                </c:pt>
                <c:pt idx="2">
                  <c:v>上缴上级支出</c:v>
                </c:pt>
                <c:pt idx="3">
                  <c:v>经营支出</c:v>
                </c:pt>
                <c:pt idx="4">
                  <c:v>对附属单位补助支出</c:v>
                </c:pt>
              </c:strCache>
            </c:strRef>
          </c:cat>
          <c:val>
            <c:numRef>
              <c:f>'G03 支出决算表(公开03表)'!$N$13:$N$17</c:f>
              <c:numCache>
                <c:formatCode>General</c:formatCode>
                <c:ptCount val="5"/>
                <c:pt idx="0">
                  <c:v>2335.23</c:v>
                </c:pt>
                <c:pt idx="1">
                  <c:v>2009.2</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'G04 财政拨款收入支出决算总表(公开04表)'!$L$39:$L$40</c:f>
              <c:strCache>
                <c:ptCount val="2"/>
                <c:pt idx="0">
                  <c:v>2021年收支</c:v>
                </c:pt>
                <c:pt idx="1">
                  <c:v>2022年收支</c:v>
                </c:pt>
              </c:strCache>
            </c:strRef>
          </c:cat>
          <c:val>
            <c:numRef>
              <c:f>'G04 财政拨款收入支出决算总表(公开04表)'!$M$39:$M$40</c:f>
              <c:numCache>
                <c:formatCode>General</c:formatCode>
                <c:ptCount val="2"/>
                <c:pt idx="0">
                  <c:v>2578.49</c:v>
                </c:pt>
                <c:pt idx="1" c:formatCode="#,##0.00">
                  <c:v>4228.6</c:v>
                </c:pt>
              </c:numCache>
            </c:numRef>
          </c:val>
        </c:ser>
        <c:dLbls>
          <c:showLegendKey val="0"/>
          <c:showVal val="0"/>
          <c:showCatName val="0"/>
          <c:showSerName val="0"/>
          <c:showPercent val="0"/>
          <c:showBubbleSize val="0"/>
        </c:dLbls>
        <c:gapWidth val="150"/>
        <c:axId val="76001280"/>
        <c:axId val="76002816"/>
      </c:barChart>
      <c:catAx>
        <c:axId val="76001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002816"/>
        <c:crosses val="autoZero"/>
        <c:auto val="1"/>
        <c:lblAlgn val="ctr"/>
        <c:lblOffset val="100"/>
        <c:noMultiLvlLbl val="0"/>
      </c:catAx>
      <c:valAx>
        <c:axId val="76002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0012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Lbls>
            <c:delete val="1"/>
          </c:dLbls>
          <c:cat>
            <c:strRef>
              <c:f>'G05 财政拨款支出决算明细表(公开05表)'!$O$11:$O$12</c:f>
              <c:strCache>
                <c:ptCount val="2"/>
                <c:pt idx="0">
                  <c:v>2021年支出</c:v>
                </c:pt>
                <c:pt idx="1">
                  <c:v>2022年支出</c:v>
                </c:pt>
              </c:strCache>
            </c:strRef>
          </c:cat>
          <c:val>
            <c:numRef>
              <c:f>'G05 财政拨款支出决算明细表(公开05表)'!$P$11:$P$12</c:f>
              <c:numCache>
                <c:formatCode>General</c:formatCode>
                <c:ptCount val="2"/>
                <c:pt idx="0">
                  <c:v>2431.58</c:v>
                </c:pt>
                <c:pt idx="1" c:formatCode="#,##0.00">
                  <c:v>4228.6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Lbls>
            <c:delete val="1"/>
          </c:dLbls>
          <c:cat>
            <c:strRef>
              <c:f>'G06 一般公共预算财政拨款支出决算表(公开06表)'!$J$21:$J$23</c:f>
              <c:strCache>
                <c:ptCount val="3"/>
                <c:pt idx="0">
                  <c:v>教育支出</c:v>
                </c:pt>
                <c:pt idx="1">
                  <c:v>卫生健康支出</c:v>
                </c:pt>
                <c:pt idx="2">
                  <c:v>住房保障支出</c:v>
                </c:pt>
              </c:strCache>
            </c:strRef>
          </c:cat>
          <c:val>
            <c:numRef>
              <c:f>'G06 一般公共预算财政拨款支出决算表(公开06表)'!$K$21:$K$23</c:f>
              <c:numCache>
                <c:formatCode>General</c:formatCode>
                <c:ptCount val="3"/>
                <c:pt idx="0">
                  <c:v>4020.7</c:v>
                </c:pt>
                <c:pt idx="1">
                  <c:v>87.4</c:v>
                </c:pt>
                <c:pt idx="2">
                  <c:v>120.49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C9F0-C3EA-4309-B19F-22EE6D9FC97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19475</Words>
  <Characters>20335</Characters>
  <Lines>150</Lines>
  <Paragraphs>42</Paragraphs>
  <TotalTime>0</TotalTime>
  <ScaleCrop>false</ScaleCrop>
  <LinksUpToDate>false</LinksUpToDate>
  <CharactersWithSpaces>20526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2023-10-15T05:59:58Z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023C9776C49E4007A142B05C1BB51ED1_12</vt:lpwstr>
  </property>
</Properties>
</file>