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425"/>
      <w:bookmarkStart w:id="3" w:name="_Toc15378441"/>
      <w:bookmarkStart w:id="4" w:name="_Toc15377193"/>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78442"/>
      <w:bookmarkStart w:id="8" w:name="_Toc15377194"/>
      <w:bookmarkStart w:id="9" w:name="_Toc15396598"/>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w:t>
      </w:r>
      <w:r>
        <w:rPr>
          <w:rFonts w:hint="eastAsia" w:ascii="方正小标宋简体" w:hAnsi="宋体" w:eastAsia="方正小标宋简体"/>
          <w:sz w:val="72"/>
          <w:szCs w:val="72"/>
        </w:rPr>
        <w:t>利州区八一小学</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lang w:val="en-US" w:eastAsia="zh-CN"/>
        </w:rPr>
        <w:t>10</w:t>
      </w:r>
      <w:r>
        <w:rPr>
          <w:rFonts w:hint="eastAsia"/>
        </w:rPr>
        <w:t>月</w:t>
      </w:r>
      <w:r>
        <w:rPr>
          <w:rFonts w:hint="eastAsia"/>
          <w:lang w:val="en-US" w:eastAsia="zh-CN"/>
        </w:rPr>
        <w:t>15</w:t>
      </w:r>
      <w:r>
        <w:rPr>
          <w:rFonts w:hint="eastAsia"/>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1．贯彻执行党和国家关于教育改革和发展的各项方针、政策，拟订</w:t>
      </w:r>
      <w:r>
        <w:rPr>
          <w:rFonts w:hint="eastAsia" w:ascii="仿宋" w:hAnsi="仿宋" w:eastAsia="仿宋" w:cs="仿宋"/>
          <w:sz w:val="28"/>
          <w:szCs w:val="28"/>
          <w:lang w:val="en-US" w:eastAsia="zh-CN"/>
        </w:rPr>
        <w:t>学</w:t>
      </w:r>
      <w:r>
        <w:rPr>
          <w:rFonts w:hint="eastAsia" w:ascii="仿宋" w:hAnsi="仿宋" w:eastAsia="仿宋" w:cs="仿宋"/>
          <w:sz w:val="28"/>
          <w:szCs w:val="28"/>
        </w:rPr>
        <w:t>校教育事业发展规划。</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3．负责推进义务教育均衡发展和促进教育公平，负责义务教育的宏观指导与协调；指导学校全面实施素质教育；督促检查学校办学标准、教学基本要求、教学基本条件的落实情况。</w:t>
      </w:r>
    </w:p>
    <w:p>
      <w:pPr>
        <w:ind w:firstLine="560" w:firstLineChars="200"/>
        <w:rPr>
          <w:rFonts w:hint="eastAsia"/>
          <w:lang w:eastAsia="zh-CN"/>
        </w:rPr>
      </w:pPr>
      <w:r>
        <w:rPr>
          <w:rFonts w:hint="eastAsia" w:ascii="仿宋" w:hAnsi="仿宋" w:eastAsia="仿宋" w:cs="仿宋"/>
          <w:sz w:val="28"/>
          <w:szCs w:val="28"/>
        </w:rPr>
        <w:t>4.促进基础教育发展，</w:t>
      </w:r>
      <w:r>
        <w:rPr>
          <w:rFonts w:hint="eastAsia" w:ascii="仿宋" w:hAnsi="仿宋" w:eastAsia="仿宋" w:cs="仿宋"/>
          <w:sz w:val="28"/>
          <w:szCs w:val="28"/>
          <w:lang w:val="en-US" w:eastAsia="zh-CN"/>
        </w:rPr>
        <w:t>实现学生德、智、体、美、劳全面发展</w:t>
      </w:r>
      <w:r>
        <w:rPr>
          <w:rFonts w:hint="eastAsia" w:ascii="仿宋" w:hAnsi="仿宋" w:eastAsia="仿宋" w:cs="仿宋"/>
          <w:sz w:val="28"/>
          <w:szCs w:val="28"/>
        </w:rPr>
        <w:t>。</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广元市利州区八一小学现有编制</w:t>
      </w:r>
      <w:r>
        <w:rPr>
          <w:rFonts w:hint="eastAsia" w:ascii="仿宋" w:hAnsi="仿宋" w:eastAsia="仿宋" w:cs="仿宋"/>
          <w:sz w:val="28"/>
          <w:szCs w:val="28"/>
          <w:lang w:val="en-US" w:eastAsia="zh-CN"/>
        </w:rPr>
        <w:t>30</w:t>
      </w:r>
      <w:r>
        <w:rPr>
          <w:rFonts w:hint="eastAsia" w:ascii="仿宋" w:hAnsi="仿宋" w:eastAsia="仿宋" w:cs="仿宋"/>
          <w:sz w:val="28"/>
          <w:szCs w:val="28"/>
        </w:rPr>
        <w:t>人，实有在编人数4</w:t>
      </w:r>
      <w:r>
        <w:rPr>
          <w:rFonts w:hint="eastAsia" w:ascii="仿宋" w:hAnsi="仿宋" w:eastAsia="仿宋" w:cs="仿宋"/>
          <w:sz w:val="28"/>
          <w:szCs w:val="28"/>
          <w:lang w:val="en-US" w:eastAsia="zh-CN"/>
        </w:rPr>
        <w:t>7</w:t>
      </w:r>
      <w:r>
        <w:rPr>
          <w:rFonts w:hint="eastAsia" w:ascii="仿宋" w:hAnsi="仿宋" w:eastAsia="仿宋" w:cs="仿宋"/>
          <w:sz w:val="28"/>
          <w:szCs w:val="28"/>
        </w:rPr>
        <w:t>人，退休教师5</w:t>
      </w:r>
      <w:r>
        <w:rPr>
          <w:rFonts w:hint="eastAsia" w:ascii="仿宋" w:hAnsi="仿宋" w:eastAsia="仿宋" w:cs="仿宋"/>
          <w:sz w:val="28"/>
          <w:szCs w:val="28"/>
          <w:lang w:val="en-US" w:eastAsia="zh-CN"/>
        </w:rPr>
        <w:t>3</w:t>
      </w:r>
      <w:r>
        <w:rPr>
          <w:rFonts w:hint="eastAsia" w:ascii="仿宋" w:hAnsi="仿宋" w:eastAsia="仿宋" w:cs="仿宋"/>
          <w:sz w:val="28"/>
          <w:szCs w:val="28"/>
        </w:rPr>
        <w:t>人，临聘人员</w:t>
      </w:r>
      <w:r>
        <w:rPr>
          <w:rFonts w:hint="eastAsia" w:ascii="仿宋" w:hAnsi="仿宋" w:eastAsia="仿宋" w:cs="仿宋"/>
          <w:sz w:val="28"/>
          <w:szCs w:val="28"/>
          <w:lang w:val="en-US" w:eastAsia="zh-CN"/>
        </w:rPr>
        <w:t>2</w:t>
      </w:r>
      <w:r>
        <w:rPr>
          <w:rFonts w:hint="eastAsia" w:ascii="仿宋" w:hAnsi="仿宋" w:eastAsia="仿宋" w:cs="仿宋"/>
          <w:sz w:val="28"/>
          <w:szCs w:val="28"/>
        </w:rPr>
        <w:t>人，享受遗属补助1人，下设各处室 8 个，分别是行政办公室、教导处、德育处、总务处、安办、教科室、技装室。</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总计1037.64万元。与20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96.49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8.51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减少了</w:t>
      </w:r>
      <w:r>
        <w:rPr>
          <w:rFonts w:hint="eastAsia" w:ascii="仿宋" w:hAnsi="仿宋" w:eastAsia="仿宋"/>
          <w:sz w:val="32"/>
          <w:szCs w:val="32"/>
        </w:rPr>
        <w:t>工程项目实施</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总计1037.64万元。与20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15.21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人员增资调整</w:t>
      </w:r>
      <w:r>
        <w:rPr>
          <w:rFonts w:hint="eastAsia" w:ascii="仿宋" w:hAnsi="仿宋" w:eastAsia="仿宋"/>
          <w:color w:val="auto"/>
          <w:sz w:val="32"/>
          <w:szCs w:val="32"/>
          <w:highlight w:val="none"/>
          <w:lang w:eastAsia="zh-CN"/>
        </w:rPr>
        <w:t>。</w:t>
      </w:r>
    </w:p>
    <w:p>
      <w:pPr>
        <w:spacing w:line="600" w:lineRule="exact"/>
        <w:ind w:firstLine="1600" w:firstLineChars="500"/>
        <w:rPr>
          <w:rFonts w:ascii="仿宋" w:hAnsi="仿宋" w:eastAsia="仿宋"/>
          <w:color w:val="auto"/>
          <w:sz w:val="32"/>
          <w:szCs w:val="32"/>
          <w:highlight w:val="none"/>
        </w:rPr>
      </w:pPr>
      <w:r>
        <w:rPr>
          <w:rStyle w:val="30"/>
          <w:rFonts w:hint="eastAsia" w:ascii="黑体" w:hAnsi="黑体" w:eastAsia="黑体"/>
          <w:b w:val="0"/>
        </w:rPr>
        <w:drawing>
          <wp:anchor distT="0" distB="0" distL="114300" distR="114300" simplePos="0" relativeHeight="251659264" behindDoc="1" locked="0" layoutInCell="1" allowOverlap="1">
            <wp:simplePos x="0" y="0"/>
            <wp:positionH relativeFrom="column">
              <wp:posOffset>-3175</wp:posOffset>
            </wp:positionH>
            <wp:positionV relativeFrom="paragraph">
              <wp:posOffset>200025</wp:posOffset>
            </wp:positionV>
            <wp:extent cx="5219700" cy="3233420"/>
            <wp:effectExtent l="4445" t="4445" r="18415" b="8255"/>
            <wp:wrapTight wrapText="bothSides">
              <wp:wrapPolygon>
                <wp:start x="-18" y="-30"/>
                <wp:lineTo x="-18" y="21553"/>
                <wp:lineTo x="21550" y="21553"/>
                <wp:lineTo x="21550" y="-30"/>
                <wp:lineTo x="-18" y="-3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年本年收入合计956.35万元，其中：一般公共预算财政拨款收入956.16万元，占</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；其他收入0.19万元，占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2520" w:firstLineChars="900"/>
        <w:rPr>
          <w:rFonts w:ascii="仿宋" w:hAnsi="仿宋" w:eastAsia="仿宋"/>
          <w:color w:val="auto"/>
          <w:sz w:val="32"/>
          <w:szCs w:val="32"/>
          <w:highlight w:val="none"/>
        </w:rPr>
      </w:pPr>
      <w:r>
        <w:rPr>
          <w:sz w:val="28"/>
          <w:szCs w:val="28"/>
        </w:rPr>
        <w:drawing>
          <wp:anchor distT="0" distB="0" distL="114300" distR="114300" simplePos="0" relativeHeight="251660288" behindDoc="0" locked="0" layoutInCell="1" allowOverlap="1">
            <wp:simplePos x="0" y="0"/>
            <wp:positionH relativeFrom="column">
              <wp:posOffset>7620</wp:posOffset>
            </wp:positionH>
            <wp:positionV relativeFrom="paragraph">
              <wp:posOffset>153670</wp:posOffset>
            </wp:positionV>
            <wp:extent cx="5139055" cy="2239645"/>
            <wp:effectExtent l="4445" t="4445" r="7620" b="1143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（图2：收入决算结构图）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年本年支出合计1037.64万元，其中：基本支出927.25万元，占</w:t>
      </w:r>
      <w:r>
        <w:rPr>
          <w:rFonts w:hint="eastAsia" w:ascii="仿宋" w:hAnsi="仿宋" w:eastAsia="仿宋"/>
          <w:color w:val="auto"/>
          <w:sz w:val="32"/>
          <w:szCs w:val="32"/>
          <w:highlight w:val="none"/>
          <w:lang w:val="en-US" w:eastAsia="zh-CN"/>
        </w:rPr>
        <w:t>89.36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；项目支出110.39万元，占</w:t>
      </w:r>
      <w:r>
        <w:rPr>
          <w:rFonts w:hint="eastAsia" w:ascii="仿宋" w:hAnsi="仿宋" w:eastAsia="仿宋"/>
          <w:color w:val="auto"/>
          <w:sz w:val="32"/>
          <w:szCs w:val="32"/>
          <w:highlight w:val="none"/>
          <w:lang w:val="en-US" w:eastAsia="zh-CN"/>
        </w:rPr>
        <w:t>10.64</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1920" w:firstLineChars="6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图3：支出决算结构图）</w:t>
      </w:r>
    </w:p>
    <w:p>
      <w:pPr>
        <w:spacing w:line="600" w:lineRule="exact"/>
        <w:ind w:firstLine="640" w:firstLineChars="200"/>
        <w:rPr>
          <w:rFonts w:hint="eastAsia"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454025</wp:posOffset>
            </wp:positionH>
            <wp:positionV relativeFrom="paragraph">
              <wp:posOffset>57150</wp:posOffset>
            </wp:positionV>
            <wp:extent cx="4351655" cy="1904365"/>
            <wp:effectExtent l="4445" t="5080" r="17780" b="107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default" w:ascii="仿宋" w:hAnsi="仿宋" w:eastAsia="仿宋"/>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总计1037.44万元。与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96.51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8.51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资金安排减少。</w:t>
      </w:r>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总计1037.44万元。与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15.23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1.45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资金支出减少。</w:t>
      </w:r>
    </w:p>
    <w:p>
      <w:pPr>
        <w:spacing w:line="600" w:lineRule="exact"/>
        <w:ind w:firstLine="1280" w:firstLineChars="400"/>
        <w:rPr>
          <w:rFonts w:ascii="仿宋" w:hAnsi="仿宋" w:eastAsia="仿宋"/>
          <w:color w:val="auto"/>
          <w:sz w:val="32"/>
          <w:szCs w:val="32"/>
          <w:highlight w:val="none"/>
        </w:rPr>
      </w:pPr>
      <w:r>
        <w:rPr>
          <w:rStyle w:val="30"/>
          <w:rFonts w:hint="eastAsia" w:ascii="黑体" w:hAnsi="黑体" w:eastAsia="黑体"/>
          <w:b w:val="0"/>
        </w:rPr>
        <w:drawing>
          <wp:anchor distT="0" distB="0" distL="114300" distR="114300" simplePos="0" relativeHeight="251662336" behindDoc="1" locked="0" layoutInCell="1" allowOverlap="1">
            <wp:simplePos x="0" y="0"/>
            <wp:positionH relativeFrom="column">
              <wp:posOffset>257175</wp:posOffset>
            </wp:positionH>
            <wp:positionV relativeFrom="paragraph">
              <wp:posOffset>82550</wp:posOffset>
            </wp:positionV>
            <wp:extent cx="4991735" cy="2852420"/>
            <wp:effectExtent l="4445" t="4445" r="48260" b="53975"/>
            <wp:wrapTight wrapText="bothSides">
              <wp:wrapPolygon>
                <wp:start x="-19" y="-34"/>
                <wp:lineTo x="-19" y="21547"/>
                <wp:lineTo x="21545" y="21547"/>
                <wp:lineTo x="21545" y="-34"/>
                <wp:lineTo x="-19" y="-34"/>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（图4：财政拨款收、支决算总计变动情况）</w:t>
      </w:r>
    </w:p>
    <w:p>
      <w:pPr>
        <w:spacing w:line="600" w:lineRule="exact"/>
        <w:ind w:firstLine="640"/>
        <w:outlineLvl w:val="2"/>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Style w:val="30"/>
          <w:rFonts w:hint="eastAsia" w:ascii="黑体" w:hAnsi="黑体" w:eastAsia="黑体"/>
          <w:b w:val="0"/>
        </w:rPr>
        <w:drawing>
          <wp:anchor distT="0" distB="0" distL="114300" distR="114300" simplePos="0" relativeHeight="251663360" behindDoc="1" locked="0" layoutInCell="1" allowOverlap="1">
            <wp:simplePos x="0" y="0"/>
            <wp:positionH relativeFrom="column">
              <wp:posOffset>161290</wp:posOffset>
            </wp:positionH>
            <wp:positionV relativeFrom="paragraph">
              <wp:posOffset>1615440</wp:posOffset>
            </wp:positionV>
            <wp:extent cx="5067935" cy="2929255"/>
            <wp:effectExtent l="4445" t="4445" r="48260" b="53340"/>
            <wp:wrapTight wrapText="bothSides">
              <wp:wrapPolygon>
                <wp:start x="-19" y="-33"/>
                <wp:lineTo x="-19" y="21544"/>
                <wp:lineTo x="21546" y="21544"/>
                <wp:lineTo x="21546" y="-33"/>
                <wp:lineTo x="-19" y="-33"/>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1037.44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99.98</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15.23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1.45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资金支出减少。</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1037.44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839.11万元，占</w:t>
      </w:r>
      <w:r>
        <w:rPr>
          <w:rFonts w:hint="eastAsia" w:ascii="仿宋" w:hAnsi="仿宋" w:eastAsia="仿宋"/>
          <w:color w:val="auto"/>
          <w:sz w:val="32"/>
          <w:szCs w:val="32"/>
          <w:highlight w:val="none"/>
          <w:lang w:val="en-US" w:eastAsia="zh-CN"/>
        </w:rPr>
        <w:t>80.88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160.91万元，占</w:t>
      </w:r>
      <w:r>
        <w:rPr>
          <w:rFonts w:hint="eastAsia" w:ascii="仿宋" w:hAnsi="仿宋" w:eastAsia="仿宋"/>
          <w:color w:val="auto"/>
          <w:sz w:val="32"/>
          <w:szCs w:val="32"/>
          <w:highlight w:val="none"/>
          <w:lang w:val="en-US" w:eastAsia="zh-CN"/>
        </w:rPr>
        <w:t>15.51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37.42万元，占</w:t>
      </w:r>
      <w:r>
        <w:rPr>
          <w:rFonts w:hint="eastAsia" w:ascii="仿宋" w:hAnsi="仿宋" w:eastAsia="仿宋"/>
          <w:color w:val="auto"/>
          <w:sz w:val="32"/>
          <w:szCs w:val="32"/>
          <w:highlight w:val="none"/>
          <w:lang w:val="en-US" w:eastAsia="zh-CN"/>
        </w:rPr>
        <w:t>3.61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70485</wp:posOffset>
            </wp:positionH>
            <wp:positionV relativeFrom="paragraph">
              <wp:posOffset>89535</wp:posOffset>
            </wp:positionV>
            <wp:extent cx="5298440" cy="2101215"/>
            <wp:effectExtent l="4445" t="4445" r="15875" b="1270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213"/>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1037.44万元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yellow"/>
        </w:rPr>
      </w:pPr>
      <w:r>
        <w:rPr>
          <w:rStyle w:val="14"/>
          <w:rFonts w:hint="eastAsia" w:ascii="仿宋" w:hAnsi="仿宋" w:eastAsia="仿宋"/>
          <w:bCs/>
          <w:color w:val="auto"/>
          <w:sz w:val="32"/>
          <w:szCs w:val="32"/>
          <w:highlight w:val="none"/>
          <w:lang w:val="en-US" w:eastAsia="zh-CN"/>
        </w:rPr>
        <w:t>1</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教育（类）普通教育（款）小学教育（项）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839.11</w:t>
      </w:r>
      <w:r>
        <w:rPr>
          <w:rStyle w:val="14"/>
          <w:rFonts w:hint="eastAsia" w:ascii="仿宋" w:hAnsi="仿宋" w:eastAsia="仿宋"/>
          <w:b w:val="0"/>
          <w:bCs/>
          <w:color w:val="auto"/>
          <w:sz w:val="32"/>
          <w:szCs w:val="32"/>
          <w:highlight w:val="none"/>
        </w:rPr>
        <w:t>万元，完成预算</w:t>
      </w:r>
      <w:r>
        <w:rPr>
          <w:rFonts w:hint="eastAsia" w:ascii="仿宋" w:hAnsi="仿宋" w:eastAsia="仿宋"/>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支出决算为63.51万元，完成预算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ascii="仿宋" w:hAnsi="仿宋" w:eastAsia="仿宋"/>
          <w:bCs/>
          <w:sz w:val="32"/>
          <w:szCs w:val="32"/>
        </w:rPr>
      </w:pPr>
      <w:r>
        <w:rPr>
          <w:rStyle w:val="14"/>
          <w:rFonts w:hint="eastAsia" w:ascii="仿宋" w:hAnsi="仿宋" w:eastAsia="仿宋"/>
          <w:bCs/>
          <w:sz w:val="32"/>
          <w:szCs w:val="32"/>
        </w:rPr>
        <w:t>社会保障和就业（类）行政事业单位养老支出（款）  事业单位离退休（项）</w:t>
      </w:r>
      <w:r>
        <w:rPr>
          <w:rStyle w:val="14"/>
          <w:rFonts w:ascii="仿宋" w:hAnsi="仿宋" w:eastAsia="仿宋"/>
          <w:bCs/>
          <w:sz w:val="32"/>
          <w:szCs w:val="32"/>
        </w:rPr>
        <w:t>:</w:t>
      </w:r>
      <w:r>
        <w:rPr>
          <w:rStyle w:val="14"/>
          <w:rFonts w:hint="eastAsia" w:ascii="仿宋" w:hAnsi="仿宋" w:eastAsia="仿宋"/>
          <w:b w:val="0"/>
          <w:bCs/>
          <w:color w:val="auto"/>
          <w:sz w:val="32"/>
          <w:szCs w:val="32"/>
          <w:highlight w:val="none"/>
        </w:rPr>
        <w:t>支出决算为88.68万元，完成预算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sz w:val="32"/>
          <w:szCs w:val="32"/>
        </w:rPr>
        <w:t>社会保障和就业（类）行政事业单位养老支出（款）         机关事业单位职业年金缴费支出（项）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5.70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sz w:val="32"/>
          <w:szCs w:val="32"/>
        </w:rPr>
        <w:t>社会保障和就业（类）其他社会保障和就业支出（款）  其他社会保障和就业支出（项）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3.02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支出决算为37.42万元，完成预算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年一般公共预算财政拨款基本支出927.06万元，其中：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849.51</w:t>
      </w:r>
      <w:r>
        <w:rPr>
          <w:rFonts w:hint="eastAsia" w:ascii="仿宋" w:hAnsi="仿宋" w:eastAsia="仿宋"/>
          <w:color w:val="auto"/>
          <w:sz w:val="32"/>
          <w:szCs w:val="32"/>
          <w:highlight w:val="none"/>
        </w:rPr>
        <w:t>万元，主要包括：基本工资、津贴补贴、绩效工资、机关事业单位基本养老保险缴费、职工基本医疗保险缴费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职业年</w:t>
      </w:r>
      <w:bookmarkStart w:id="67" w:name="_GoBack"/>
      <w:bookmarkEnd w:id="67"/>
      <w:r>
        <w:rPr>
          <w:rFonts w:hint="eastAsia" w:ascii="仿宋" w:hAnsi="仿宋" w:eastAsia="仿宋"/>
          <w:color w:val="auto"/>
          <w:sz w:val="32"/>
          <w:szCs w:val="32"/>
          <w:highlight w:val="none"/>
        </w:rPr>
        <w:t>金缴费、其他社会保障缴费、其他工资福利支出、抚恤金、生活补助、奖励金、住房公积金。</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77.55</w:t>
      </w:r>
      <w:r>
        <w:rPr>
          <w:rFonts w:hint="eastAsia" w:ascii="仿宋" w:hAnsi="仿宋" w:eastAsia="仿宋"/>
          <w:color w:val="auto"/>
          <w:sz w:val="32"/>
          <w:szCs w:val="32"/>
          <w:highlight w:val="none"/>
        </w:rPr>
        <w:t>万元，主要包括：办公费、手续费、水费、电费、邮电费、物业管理费、差旅费、专用材料费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维修（护）费、租赁费、培训费、劳务费、工会经费、福利费。</w:t>
      </w:r>
    </w:p>
    <w:p>
      <w:pPr>
        <w:spacing w:line="600" w:lineRule="exact"/>
        <w:ind w:firstLine="640"/>
        <w:outlineLvl w:val="1"/>
        <w:rPr>
          <w:rStyle w:val="25"/>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决算数与预算数持平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4"/>
          <w:rFonts w:hint="eastAsia" w:ascii="仿宋" w:hAnsi="仿宋" w:eastAsia="仿宋"/>
          <w:b w:val="0"/>
          <w:bCs/>
          <w:sz w:val="32"/>
          <w:szCs w:val="32"/>
        </w:rPr>
        <w:t>完成预算</w:t>
      </w:r>
      <w:r>
        <w:rPr>
          <w:rFonts w:hint="eastAsia" w:ascii="仿宋_GB2312" w:eastAsia="仿宋_GB2312"/>
          <w:sz w:val="32"/>
          <w:szCs w:val="32"/>
        </w:rPr>
        <w:t>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。主要原因是当年未安排因公出国（境）支出预算，无因公出国（境）支出。</w:t>
      </w:r>
    </w:p>
    <w:p>
      <w:pPr>
        <w:spacing w:line="560" w:lineRule="exact"/>
        <w:ind w:firstLine="640"/>
        <w:outlineLvl w:val="2"/>
        <w:rPr>
          <w:rFonts w:ascii="仿宋_GB2312" w:eastAsia="仿宋_GB2312"/>
          <w:b/>
          <w:bCs/>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20年增加0.00万元，增长0.00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outlineLvl w:val="1"/>
        <w:rPr>
          <w:rStyle w:val="25"/>
          <w:rFonts w:ascii="黑体" w:hAnsi="黑体" w:eastAsia="黑体"/>
          <w:color w:val="auto"/>
          <w:highlight w:val="none"/>
        </w:rPr>
      </w:pPr>
      <w:bookmarkStart w:id="40" w:name="_Toc15396610"/>
      <w:bookmarkStart w:id="41" w:name="_Toc15377218"/>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96611"/>
      <w:bookmarkStart w:id="43" w:name="_Toc15377219"/>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77221"/>
      <w:bookmarkStart w:id="45" w:name="_Toc15396612"/>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广元市利州区八一小学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八一小学</w:t>
      </w:r>
      <w:r>
        <w:rPr>
          <w:rFonts w:hint="eastAsia" w:ascii="仿宋_GB2312" w:eastAsia="仿宋_GB2312"/>
          <w:color w:val="auto"/>
          <w:sz w:val="32"/>
          <w:szCs w:val="32"/>
          <w:highlight w:val="none"/>
        </w:rPr>
        <w:t>机关运行经费支出</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广元市利州区八一小学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4.80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val="en-US" w:eastAsia="zh-CN"/>
        </w:rPr>
        <w:t>采购教学设备</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4.80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广元市利州区八一小学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年度预算编制阶段，组织对义务教育发展专项项目等</w:t>
      </w: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个项目开展了预算事前绩效评估，对义务教育发展专项项目等</w:t>
      </w: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个项目编制了绩效目标，预算执行过程中，选取义务教育发展专项项目等</w:t>
      </w: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个项目开展绩效监控，组织对义务教育发展专项项目等</w:t>
      </w: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个项目开展绩效自评</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绩效自评表详见附件</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.其他收入：指单位取得的除上述收入以外的各项收入。主要是学前教育保育教育费收入、银行存款利息收入等。 </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教育支出（类）普通教育（款）</w:t>
      </w:r>
      <w:r>
        <w:rPr>
          <w:rFonts w:hint="eastAsia" w:ascii="仿宋" w:hAnsi="仿宋" w:eastAsia="仿宋" w:cs="仿宋"/>
          <w:sz w:val="32"/>
          <w:szCs w:val="32"/>
          <w:lang w:val="en-US" w:eastAsia="zh-CN"/>
        </w:rPr>
        <w:t>小学</w:t>
      </w:r>
      <w:r>
        <w:rPr>
          <w:rFonts w:hint="eastAsia" w:ascii="仿宋" w:hAnsi="仿宋" w:eastAsia="仿宋" w:cs="仿宋"/>
          <w:sz w:val="32"/>
          <w:szCs w:val="32"/>
        </w:rPr>
        <w:t>教育（项）: 反映各部门举办的初中教育支出。政府各部门对社会中介组织等举办的初中教育的资助，如捐赠、补贴等，也在本科目中反映。</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社会保障和就业支出（类）行政事业单位离退休（款）机关事业单位基本养老保险缴费支出（项）: 指机关事业单位实施养老保险制度由单位缴纳的基本养老保险费支出。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 社会保障和就业支出（类）行政事业单位离退休（款）机关事业单位职业年金缴费支出（项）: 指机关事业单位实施养老保险制度由单位实际缴纳的职业年金支出。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 社会保障和就业支出（类）抚恤（款）死亡抚恤（项）: 指按规定用于烈士和牺牲、病故人员家属的一次性和定期抚恤金以及丧葬补助费。</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 住房保障支出（类）住房改革支出（款）住房公积金（项）: 指行政事业单位按人力资源和社会保障部、财政部规定的基本工资和津贴补贴以及规定比例为职工缴纳的住房公积金。</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.基本支出：指为保障机构正常运转、完成日常工作任务而发生的人员支出和公用支出。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.项目支出：指在基本支出之外为完成特定行政任务和事业发展目标所发生的支出。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仿宋_GB2312" w:hAnsi="Calibri" w:eastAsia="仿宋_GB2312" w:cs="仿宋"/>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0D0F79CA"/>
    <w:rsid w:val="10C055FF"/>
    <w:rsid w:val="118107EC"/>
    <w:rsid w:val="11DD6519"/>
    <w:rsid w:val="16BB723D"/>
    <w:rsid w:val="18015F3F"/>
    <w:rsid w:val="1A3B30DF"/>
    <w:rsid w:val="1BE8440E"/>
    <w:rsid w:val="1CE6474B"/>
    <w:rsid w:val="1D155CEE"/>
    <w:rsid w:val="20F57F95"/>
    <w:rsid w:val="239423B5"/>
    <w:rsid w:val="240371BF"/>
    <w:rsid w:val="25711CC6"/>
    <w:rsid w:val="25C741E6"/>
    <w:rsid w:val="27842671"/>
    <w:rsid w:val="29FD04D3"/>
    <w:rsid w:val="2ABE7A3E"/>
    <w:rsid w:val="2CA234A8"/>
    <w:rsid w:val="2E720CC6"/>
    <w:rsid w:val="2EFA178C"/>
    <w:rsid w:val="30B46D73"/>
    <w:rsid w:val="319F7F4E"/>
    <w:rsid w:val="36700B0A"/>
    <w:rsid w:val="383D272C"/>
    <w:rsid w:val="39AE70AB"/>
    <w:rsid w:val="3C0C0783"/>
    <w:rsid w:val="3D9451B4"/>
    <w:rsid w:val="3EC6755E"/>
    <w:rsid w:val="3F9F3A96"/>
    <w:rsid w:val="46272B4C"/>
    <w:rsid w:val="48BF60AB"/>
    <w:rsid w:val="493C27E9"/>
    <w:rsid w:val="496F39ED"/>
    <w:rsid w:val="49FF41D3"/>
    <w:rsid w:val="4BE068DB"/>
    <w:rsid w:val="4BF6002B"/>
    <w:rsid w:val="4ECE2238"/>
    <w:rsid w:val="51DB4B86"/>
    <w:rsid w:val="55333C3E"/>
    <w:rsid w:val="61ED0028"/>
    <w:rsid w:val="64CA39A1"/>
    <w:rsid w:val="69630ADE"/>
    <w:rsid w:val="6C4A05C8"/>
    <w:rsid w:val="6D3B1A89"/>
    <w:rsid w:val="71BF4EC2"/>
    <w:rsid w:val="72734D90"/>
    <w:rsid w:val="73456B6E"/>
    <w:rsid w:val="7412278C"/>
    <w:rsid w:val="79E7B28D"/>
    <w:rsid w:val="7BAE49D2"/>
    <w:rsid w:val="7BEB376F"/>
    <w:rsid w:val="7F2D5E08"/>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标题 2 字符"/>
    <w:basedOn w:val="13"/>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1134.13</c:v>
                </c:pt>
                <c:pt idx="1">
                  <c:v>1037.64</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1052.85</c:v>
                </c:pt>
                <c:pt idx="1">
                  <c:v>1037.64</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24189742354924"/>
          <c:y val="0.182460268317853"/>
          <c:w val="0.399104261979292"/>
          <c:h val="0.684202270381837"/>
        </c:manualLayout>
      </c:layout>
      <c:pieChart>
        <c:varyColors val="1"/>
        <c:ser>
          <c:idx val="0"/>
          <c:order val="0"/>
          <c:tx>
            <c:strRef>
              <c:f>Sheet1!$B$1</c:f>
              <c:strCache>
                <c:ptCount val="1"/>
                <c:pt idx="0">
                  <c:v>收入额（万元）</c:v>
                </c:pt>
              </c:strCache>
            </c:strRef>
          </c:tx>
          <c:explosion val="0"/>
          <c:dPt>
            <c:idx val="0"/>
            <c:bubble3D val="0"/>
          </c:dPt>
          <c:dPt>
            <c:idx val="1"/>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其它收入</c:v>
                </c:pt>
              </c:strCache>
            </c:strRef>
          </c:cat>
          <c:val>
            <c:numRef>
              <c:f>Sheet1!$B$2:$B$3</c:f>
              <c:numCache>
                <c:formatCode>#,##0.00</c:formatCode>
                <c:ptCount val="2"/>
                <c:pt idx="0">
                  <c:v>956.16</c:v>
                </c:pt>
                <c:pt idx="1" c:formatCode="General">
                  <c:v>0.19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7115338309656"/>
          <c:y val="0.097007223942208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927.25</c:v>
                </c:pt>
                <c:pt idx="1">
                  <c:v>110.39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824817518248"/>
          <c:y val="0.043401413982718"/>
          <c:w val="0.701338199513382"/>
          <c:h val="0.833660644147683"/>
        </c:manualLayout>
      </c:layout>
      <c:barChart>
        <c:barDir val="col"/>
        <c:grouping val="clustered"/>
        <c:varyColors val="0"/>
        <c:ser>
          <c:idx val="0"/>
          <c:order val="0"/>
          <c:tx>
            <c:strRef>
              <c:f>Sheet1!$B$1</c:f>
              <c:strCache>
                <c:ptCount val="1"/>
                <c:pt idx="0">
                  <c:v>财政拨款总收入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1133.95</c:v>
                </c:pt>
                <c:pt idx="1">
                  <c:v>1037.44</c:v>
                </c:pt>
              </c:numCache>
            </c:numRef>
          </c:val>
        </c:ser>
        <c:ser>
          <c:idx val="1"/>
          <c:order val="1"/>
          <c:tx>
            <c:strRef>
              <c:f>Sheet1!$C$1</c:f>
              <c:strCache>
                <c:ptCount val="1"/>
                <c:pt idx="0">
                  <c:v>财政拨款总支出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1052.67</c:v>
                </c:pt>
                <c:pt idx="1">
                  <c:v>1037.44</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824817518248"/>
          <c:y val="0.043401413982718"/>
          <c:w val="0.701338199513382"/>
          <c:h val="0.833660644147683"/>
        </c:manualLayout>
      </c:layout>
      <c:barChart>
        <c:barDir val="col"/>
        <c:grouping val="clustered"/>
        <c:varyColors val="0"/>
        <c:ser>
          <c:idx val="1"/>
          <c:order val="1"/>
          <c:tx>
            <c:strRef>
              <c:f>Sheet1!$C$1</c:f>
              <c:strCache>
                <c:ptCount val="1"/>
                <c:pt idx="0">
                  <c:v>财政拨款总支出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1052.67</c:v>
                </c:pt>
                <c:pt idx="1">
                  <c:v>1037.44</c:v>
                </c:pt>
              </c:numCache>
            </c:numRef>
          </c:val>
        </c:ser>
        <c:dLbls>
          <c:showLegendKey val="0"/>
          <c:showVal val="0"/>
          <c:showCatName val="0"/>
          <c:showSerName val="0"/>
          <c:showPercent val="0"/>
          <c:showBubbleSize val="0"/>
        </c:dLbls>
        <c:gapWidth val="150"/>
        <c:axId val="112116096"/>
        <c:axId val="112119168"/>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Sheet1!$B$2:$B$3</c15:sqref>
                        </c15:formulaRef>
                      </c:ext>
                    </c:extLst>
                    <c:numCache>
                      <c:formatCode>General</c:formatCode>
                      <c:ptCount val="2"/>
                    </c:numCache>
                  </c:numRef>
                </c:val>
              </c15:ser>
            </c15:filteredBarSeries>
          </c:ext>
        </c:extLst>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839.11</c:v>
                </c:pt>
                <c:pt idx="1">
                  <c:v>160.91</c:v>
                </c:pt>
                <c:pt idx="2">
                  <c:v>37.42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4</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whg</cp:lastModifiedBy>
  <cp:lastPrinted>2023-07-31T02:35:00Z</cp:lastPrinted>
  <dcterms:modified xsi:type="dcterms:W3CDTF">2023-10-14T05:29:30Z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2C12F8D79E6A485DB8790AEE72055C9E_12</vt:lpwstr>
  </property>
</Properties>
</file>