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425"/>
      <w:bookmarkStart w:id="4" w:name="_Toc15396597"/>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96476"/>
      <w:bookmarkStart w:id="9" w:name="_Toc15378442"/>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广元市利州区北街幼儿园决算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hint="eastAsia"/>
          <w:sz w:val="24"/>
        </w:rPr>
      </w:pPr>
      <w:r>
        <w:rPr>
          <w:rFonts w:hint="eastAsia"/>
          <w:sz w:val="24"/>
        </w:rPr>
        <w:t>第四部分附件</w:t>
      </w:r>
    </w:p>
    <w:p>
      <w:pPr>
        <w:pStyle w:val="11"/>
        <w:adjustRightInd w:val="0"/>
        <w:snapToGrid w:val="0"/>
        <w:spacing w:line="440" w:lineRule="exact"/>
        <w:jc w:val="left"/>
      </w:pPr>
      <w:r>
        <w:rPr>
          <w:rFonts w:hint="eastAsia"/>
          <w:sz w:val="24"/>
        </w:rPr>
        <w:t>部门预算项目支出绩效自评表（2022年度）</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_GB2312" w:eastAsia="仿宋_GB2312"/>
          <w:sz w:val="32"/>
          <w:szCs w:val="32"/>
        </w:rPr>
        <w:t>广元市</w:t>
      </w:r>
      <w:r>
        <w:rPr>
          <w:rFonts w:hint="eastAsia" w:ascii="仿宋_GB2312" w:eastAsia="仿宋_GB2312"/>
          <w:sz w:val="32"/>
          <w:szCs w:val="32"/>
          <w:lang w:val="en-US" w:eastAsia="zh-CN"/>
        </w:rPr>
        <w:t>利州区北街幼儿园</w:t>
      </w:r>
      <w:r>
        <w:rPr>
          <w:rFonts w:hint="eastAsia" w:ascii="仿宋_GB2312" w:eastAsia="仿宋_GB2312"/>
          <w:sz w:val="32"/>
          <w:szCs w:val="32"/>
        </w:rPr>
        <w:t>编制</w:t>
      </w:r>
      <w:r>
        <w:rPr>
          <w:rFonts w:hint="eastAsia" w:ascii="仿宋_GB2312" w:eastAsia="仿宋_GB2312"/>
          <w:sz w:val="32"/>
          <w:szCs w:val="32"/>
          <w:lang w:val="en-US" w:eastAsia="zh-CN"/>
        </w:rPr>
        <w:t>53</w:t>
      </w:r>
      <w:r>
        <w:rPr>
          <w:rFonts w:hint="eastAsia" w:ascii="仿宋_GB2312" w:eastAsia="仿宋_GB2312"/>
          <w:sz w:val="32"/>
          <w:szCs w:val="32"/>
        </w:rPr>
        <w:t>名，其中事业编制</w:t>
      </w:r>
      <w:r>
        <w:rPr>
          <w:rFonts w:hint="eastAsia" w:ascii="仿宋_GB2312" w:eastAsia="仿宋_GB2312"/>
          <w:sz w:val="32"/>
          <w:szCs w:val="32"/>
          <w:lang w:val="en-US" w:eastAsia="zh-CN"/>
        </w:rPr>
        <w:t>53</w:t>
      </w:r>
      <w:r>
        <w:rPr>
          <w:rFonts w:hint="eastAsia" w:ascii="仿宋_GB2312" w:eastAsia="仿宋_GB2312"/>
          <w:sz w:val="32"/>
          <w:szCs w:val="32"/>
        </w:rPr>
        <w:t>名，在职人员总数</w:t>
      </w:r>
      <w:r>
        <w:rPr>
          <w:rFonts w:hint="eastAsia" w:ascii="仿宋_GB2312" w:eastAsia="仿宋_GB2312"/>
          <w:sz w:val="32"/>
          <w:szCs w:val="32"/>
          <w:lang w:val="en-US" w:eastAsia="zh-CN"/>
        </w:rPr>
        <w:t>47</w:t>
      </w:r>
      <w:r>
        <w:rPr>
          <w:rFonts w:hint="eastAsia" w:ascii="仿宋_GB2312" w:eastAsia="仿宋_GB2312"/>
          <w:sz w:val="32"/>
          <w:szCs w:val="32"/>
        </w:rPr>
        <w:t>人，其中事业人员</w:t>
      </w:r>
      <w:r>
        <w:rPr>
          <w:rFonts w:hint="eastAsia" w:ascii="仿宋_GB2312" w:eastAsia="仿宋_GB2312"/>
          <w:sz w:val="32"/>
          <w:szCs w:val="32"/>
          <w:lang w:val="en-US" w:eastAsia="zh-CN"/>
        </w:rPr>
        <w:t>47</w:t>
      </w:r>
      <w:r>
        <w:rPr>
          <w:rFonts w:hint="eastAsia" w:ascii="仿宋_GB2312" w:eastAsia="仿宋_GB2312"/>
          <w:sz w:val="32"/>
          <w:szCs w:val="32"/>
        </w:rPr>
        <w:t>人；离退休人员</w:t>
      </w:r>
      <w:r>
        <w:rPr>
          <w:rFonts w:hint="eastAsia" w:ascii="仿宋_GB2312" w:eastAsia="仿宋_GB2312"/>
          <w:sz w:val="32"/>
          <w:szCs w:val="32"/>
          <w:lang w:val="en-US" w:eastAsia="zh-CN"/>
        </w:rPr>
        <w:t>32</w:t>
      </w:r>
      <w:r>
        <w:rPr>
          <w:rFonts w:hint="eastAsia" w:ascii="仿宋_GB2312" w:eastAsia="仿宋_GB2312"/>
          <w:sz w:val="32"/>
          <w:szCs w:val="32"/>
        </w:rPr>
        <w:t>人。</w:t>
      </w:r>
      <w:r>
        <w:rPr>
          <w:rFonts w:hint="eastAsia" w:ascii="仿宋_GB2312" w:eastAsia="仿宋_GB2312"/>
          <w:sz w:val="32"/>
          <w:szCs w:val="32"/>
          <w:lang w:val="en-US" w:eastAsia="zh-CN"/>
        </w:rPr>
        <w:t>我园主要</w:t>
      </w:r>
      <w:r>
        <w:rPr>
          <w:rFonts w:hint="eastAsia" w:ascii="仿宋" w:hAnsi="仿宋" w:eastAsia="仿宋" w:cs="仿宋"/>
          <w:sz w:val="32"/>
          <w:szCs w:val="32"/>
        </w:rPr>
        <w:t>实施</w:t>
      </w:r>
      <w:r>
        <w:rPr>
          <w:rFonts w:hint="eastAsia" w:ascii="仿宋" w:hAnsi="仿宋" w:eastAsia="仿宋" w:cs="仿宋"/>
          <w:sz w:val="32"/>
          <w:szCs w:val="32"/>
          <w:lang w:val="en-US" w:eastAsia="zh-CN"/>
        </w:rPr>
        <w:t>幼儿</w:t>
      </w:r>
      <w:r>
        <w:rPr>
          <w:rFonts w:hint="eastAsia" w:ascii="仿宋" w:hAnsi="仿宋" w:eastAsia="仿宋" w:cs="仿宋"/>
          <w:sz w:val="32"/>
          <w:szCs w:val="32"/>
        </w:rPr>
        <w:t>教育，促进基础教育发展。</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在上级领导的关心下，坚持以习近平新时代中国特色社会主义思想为指导，全面贯彻党的教育方针，认真落实《幼儿园工作规程》《幼儿园教育指导纲要》《3-6岁儿童学习与发展指南》的要求，紧紧围绕市、区教育局的工作部署，坚持以园为本，保基本、强特色、提品质，在内涵中寻求发展，在细节中寻求突破，在沉淀中寻求提升，在特色中寻求创新，全力打造适合教师发展和幼儿成长的北幼教育。在全体教职工的共同努力下，超额完成了2022年的工作任务，有力地推动了全区学前教育的发展，在全市学前教育中发挥了引领示范作用。</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1、党建引领,领航发展</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幼儿园始终以高质量党建推动高质量发展，坚持党建统领全局，“红烛先锋 快乐绽放”主题教育常态化，内容丰富，形式灵活，效果明显。思想作风建设不断加强，党支部战斗堡垒作用、党员先锋模范作用进一步提升。</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2、区域融合,深度研修</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充分发挥我园示范、引领、辐射作用，全力搭建公民办交流的平台。切实本着“资源共享、共同发展”的理念，努力引领区域内学前教育整体提升，以帮扶助力新建园平稳发展。</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学年我园努力做好本职工作的同时，还积极扩大对外影响，助力“国培计划”。先后接待了四川省2021年民族地区学前教育教师专项培训班、“双师型”教师专业化能力提升项目（高职学前教育）科研跟岗，来自各地幼教同仁200余人次的跟岗研修，我园的园所环境打造、游戏材料的投放及户外游戏活动的开展深受幼教同仁的赞赏。为推进信息技术应用能力2.0提升工程工作，促进学校的校本研修及应用考核工作，确保幼儿园教师信息技术应用能力提升专项培训活动的质量，在我园的带领和指导下，利州区各民办园顺利圆满地完成了信息技术应用能力2.0提升工程工作。</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3、躬耕科研，赋能聚力</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园坚守“重点培养、梯队推进、整体提高”的教师发展策略，通过搭台子、铺路子，推出教师榜样，以定标准、真考核，动态管理推进集体创优，为教师发展提供专业成长的环境和演练的舞台，为优秀教师提供绿色通道。我园一直秉承“教育科研并重”的发展理念，本学年申报并立项了省级课题《指向核心素养的幼儿运动类游戏园本课程开发与应用研究》，为做好省级课题《指向核心素养的幼儿运动类游戏园本课程开发与应用研究》《基于“互联网＋”家园共育的策略研究》的成果推广，促使幼儿园将课题成果扎实运用于教学工作，加强教师的教研能力，推进园本化运动活动的形成，确保幼儿园教育教学质量的稳步提高，我园还开展了以“园本化运动课程理念”为引领的园本运动课程研讨活动，并通过线上推广辐射到区内部分小学附属园所。</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4、潜心前行，卓越成长</w:t>
      </w:r>
    </w:p>
    <w:p>
      <w:r>
        <w:rPr>
          <w:rFonts w:hint="eastAsia" w:ascii="仿宋" w:hAnsi="仿宋" w:eastAsia="仿宋" w:cs="仿宋"/>
          <w:sz w:val="32"/>
          <w:szCs w:val="32"/>
          <w:lang w:val="en-US" w:eastAsia="zh-CN"/>
        </w:rPr>
        <w:t>我园始终坚持以促进儿童发展为中心，将各活动与幼儿园课程相融合。我们开展了各类展演活动、亲子活动、节庆主题活动，努力践行让儿童在生活中学习，在实践中成长。这一学年，在全体教职工的努力下，获得了四川省第八届幼儿绘画作品优秀组织奖、广元市第十届教育科研优秀成果一等奖、2022年“奔跑吧.少年”儿童青少年主题健身活动暨广元市校园球类比赛篮球项目幼儿篮球操一等奖、广元市幼儿园优秀自制教玩具展评活动先进集体、广元市利州区第十三届读书征文优秀组织奖等等。</w:t>
      </w:r>
    </w:p>
    <w:p>
      <w:pPr>
        <w:pStyle w:val="4"/>
        <w:rPr>
          <w:rFonts w:ascii="黑体" w:hAnsi="黑体" w:eastAsia="黑体"/>
          <w:b w:val="0"/>
        </w:rPr>
      </w:pPr>
      <w:r>
        <w:rPr>
          <w:rFonts w:hint="eastAsia" w:ascii="黑体" w:hAnsi="黑体" w:eastAsia="黑体"/>
          <w:b w:val="0"/>
        </w:rPr>
        <w:t>二、机构设置</w:t>
      </w:r>
    </w:p>
    <w:bookmarkEnd w:id="14"/>
    <w:bookmarkEnd w:id="15"/>
    <w:p>
      <w:pPr>
        <w:widowControl/>
        <w:ind w:firstLine="640" w:firstLineChars="200"/>
        <w:jc w:val="left"/>
        <w:rPr>
          <w:rFonts w:ascii="仿宋" w:hAnsi="仿宋" w:eastAsia="仿宋"/>
          <w:kern w:val="0"/>
          <w:sz w:val="32"/>
          <w:szCs w:val="32"/>
        </w:rPr>
      </w:pPr>
      <w:r>
        <w:rPr>
          <w:rFonts w:hint="eastAsia" w:ascii="仿宋" w:hAnsi="仿宋" w:eastAsia="仿宋"/>
          <w:sz w:val="32"/>
          <w:szCs w:val="32"/>
        </w:rPr>
        <w:t>北街幼儿园是利州区教育局下属二级预算单位1个，参照公务员法管理的事业单位1个，主要包括园长办公室、工会办公室、园务办公室、财务室、技装安办室、医务室6个办公室。</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1056.22</w:t>
      </w:r>
      <w:r>
        <w:rPr>
          <w:rFonts w:hint="eastAsia" w:ascii="仿宋" w:hAnsi="仿宋" w:eastAsia="仿宋"/>
          <w:sz w:val="32"/>
          <w:szCs w:val="32"/>
        </w:rPr>
        <w:t>万元。与2021年相比，收、支总计各减少110.85万元，下降9.50</w:t>
      </w:r>
      <w:r>
        <w:rPr>
          <w:rFonts w:ascii="仿宋" w:hAnsi="仿宋" w:eastAsia="仿宋"/>
          <w:sz w:val="32"/>
          <w:szCs w:val="32"/>
        </w:rPr>
        <w:t>%</w:t>
      </w:r>
      <w:r>
        <w:rPr>
          <w:rFonts w:hint="eastAsia" w:ascii="仿宋" w:hAnsi="仿宋" w:eastAsia="仿宋"/>
          <w:sz w:val="32"/>
          <w:szCs w:val="32"/>
        </w:rPr>
        <w:t>。主要变动原因是基本支出减少。</w:t>
      </w:r>
    </w:p>
    <w:p>
      <w:pPr>
        <w:pStyle w:val="2"/>
        <w:spacing w:before="93"/>
        <w:jc w:val="center"/>
      </w:pPr>
      <w: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999.79</w:t>
      </w:r>
      <w:r>
        <w:rPr>
          <w:rFonts w:hint="eastAsia" w:ascii="仿宋" w:hAnsi="仿宋" w:eastAsia="仿宋"/>
          <w:sz w:val="32"/>
          <w:szCs w:val="32"/>
        </w:rPr>
        <w:t>万元，其中：一般公共预算财政拨款收入</w:t>
      </w:r>
      <w:r>
        <w:rPr>
          <w:rFonts w:ascii="仿宋" w:hAnsi="仿宋" w:eastAsia="仿宋"/>
          <w:sz w:val="32"/>
          <w:szCs w:val="32"/>
        </w:rPr>
        <w:t>834.73</w:t>
      </w:r>
      <w:r>
        <w:rPr>
          <w:rFonts w:hint="eastAsia" w:ascii="仿宋" w:hAnsi="仿宋" w:eastAsia="仿宋"/>
          <w:sz w:val="32"/>
          <w:szCs w:val="32"/>
        </w:rPr>
        <w:t>万元，占83.49</w:t>
      </w:r>
      <w:r>
        <w:rPr>
          <w:rFonts w:ascii="仿宋" w:hAnsi="仿宋" w:eastAsia="仿宋"/>
          <w:sz w:val="32"/>
          <w:szCs w:val="32"/>
        </w:rPr>
        <w:t>%</w:t>
      </w:r>
      <w:r>
        <w:rPr>
          <w:rFonts w:hint="eastAsia" w:ascii="仿宋" w:hAnsi="仿宋" w:eastAsia="仿宋"/>
          <w:sz w:val="32"/>
          <w:szCs w:val="32"/>
        </w:rPr>
        <w:t>；事业收入</w:t>
      </w:r>
      <w:r>
        <w:rPr>
          <w:rFonts w:ascii="仿宋" w:hAnsi="仿宋" w:eastAsia="仿宋"/>
          <w:sz w:val="32"/>
          <w:szCs w:val="32"/>
        </w:rPr>
        <w:t>164.3</w:t>
      </w:r>
      <w:r>
        <w:rPr>
          <w:rFonts w:hint="eastAsia" w:ascii="仿宋" w:hAnsi="仿宋" w:eastAsia="仿宋"/>
          <w:sz w:val="32"/>
          <w:szCs w:val="32"/>
        </w:rPr>
        <w:t>0万元，占16.43</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sz w:val="32"/>
          <w:szCs w:val="32"/>
        </w:rPr>
        <w:t>0.76</w:t>
      </w:r>
      <w:r>
        <w:rPr>
          <w:rFonts w:hint="eastAsia" w:ascii="仿宋" w:hAnsi="仿宋" w:eastAsia="仿宋"/>
          <w:sz w:val="32"/>
          <w:szCs w:val="32"/>
        </w:rPr>
        <w:t>万元，占0.08</w:t>
      </w:r>
      <w:r>
        <w:rPr>
          <w:rFonts w:ascii="仿宋" w:hAnsi="仿宋" w:eastAsia="仿宋"/>
          <w:sz w:val="32"/>
          <w:szCs w:val="32"/>
        </w:rPr>
        <w:t>%</w:t>
      </w:r>
      <w:r>
        <w:rPr>
          <w:rFonts w:hint="eastAsia" w:ascii="仿宋" w:hAnsi="仿宋" w:eastAsia="仿宋"/>
          <w:sz w:val="32"/>
          <w:szCs w:val="32"/>
        </w:rPr>
        <w:t>。</w:t>
      </w:r>
    </w:p>
    <w:p>
      <w:pPr>
        <w:jc w:val="center"/>
        <w:outlineLvl w:val="1"/>
        <w:rPr>
          <w:rFonts w:ascii="仿宋" w:hAnsi="仿宋" w:eastAsia="仿宋"/>
          <w:sz w:val="32"/>
          <w:szCs w:val="32"/>
        </w:rPr>
      </w:pPr>
      <w:r>
        <w:rPr>
          <w:rFonts w:ascii="仿宋" w:hAnsi="仿宋" w:eastAsia="仿宋"/>
          <w:sz w:val="32"/>
          <w:szCs w:val="32"/>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1056.22</w:t>
      </w:r>
      <w:r>
        <w:rPr>
          <w:rFonts w:hint="eastAsia" w:ascii="仿宋" w:hAnsi="仿宋" w:eastAsia="仿宋"/>
          <w:sz w:val="32"/>
          <w:szCs w:val="32"/>
        </w:rPr>
        <w:t>万元，其中：基本支出</w:t>
      </w:r>
      <w:r>
        <w:rPr>
          <w:rFonts w:ascii="仿宋" w:hAnsi="仿宋" w:eastAsia="仿宋"/>
          <w:sz w:val="32"/>
          <w:szCs w:val="32"/>
        </w:rPr>
        <w:t>999.01</w:t>
      </w:r>
      <w:r>
        <w:rPr>
          <w:rFonts w:hint="eastAsia" w:ascii="仿宋" w:hAnsi="仿宋" w:eastAsia="仿宋"/>
          <w:sz w:val="32"/>
          <w:szCs w:val="32"/>
        </w:rPr>
        <w:t>万元，占94.58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57.21</w:t>
      </w:r>
      <w:r>
        <w:rPr>
          <w:rFonts w:hint="eastAsia" w:ascii="仿宋" w:hAnsi="仿宋" w:eastAsia="仿宋"/>
          <w:sz w:val="32"/>
          <w:szCs w:val="32"/>
        </w:rPr>
        <w:t>万元，占5.42</w:t>
      </w:r>
      <w:r>
        <w:rPr>
          <w:rFonts w:ascii="仿宋" w:hAnsi="仿宋" w:eastAsia="仿宋"/>
          <w:sz w:val="32"/>
          <w:szCs w:val="32"/>
        </w:rPr>
        <w:t>%</w:t>
      </w:r>
      <w:r>
        <w:rPr>
          <w:rFonts w:hint="eastAsia" w:ascii="仿宋" w:hAnsi="仿宋" w:eastAsia="仿宋"/>
          <w:sz w:val="32"/>
          <w:szCs w:val="32"/>
        </w:rPr>
        <w:t>。</w:t>
      </w:r>
    </w:p>
    <w:p>
      <w:pPr>
        <w:jc w:val="center"/>
        <w:rPr>
          <w:rFonts w:ascii="仿宋" w:hAnsi="仿宋" w:eastAsia="仿宋"/>
          <w:sz w:val="32"/>
          <w:szCs w:val="32"/>
          <w:shd w:val="pct10" w:color="auto" w:fill="FFFFFF"/>
        </w:rPr>
      </w:pPr>
      <w:r>
        <w:rPr>
          <w:rFonts w:ascii="仿宋" w:hAnsi="仿宋" w:eastAsia="仿宋"/>
          <w:sz w:val="32"/>
          <w:szCs w:val="32"/>
          <w:shd w:val="pct10" w:color="auto" w:fill="FFFFFF"/>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891.16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21年相比，财政拨款收、支总计各减少74.99万元，下降7.76</w:t>
      </w:r>
      <w:r>
        <w:rPr>
          <w:rFonts w:ascii="仿宋" w:hAnsi="仿宋" w:eastAsia="仿宋"/>
          <w:sz w:val="32"/>
          <w:szCs w:val="32"/>
        </w:rPr>
        <w:t>%</w:t>
      </w:r>
      <w:r>
        <w:rPr>
          <w:rFonts w:hint="eastAsia" w:ascii="仿宋" w:hAnsi="仿宋" w:eastAsia="仿宋"/>
          <w:sz w:val="32"/>
          <w:szCs w:val="32"/>
        </w:rPr>
        <w:t>。主要变动原因是基本支出减少。</w:t>
      </w:r>
    </w:p>
    <w:p>
      <w:pPr>
        <w:pStyle w:val="2"/>
        <w:spacing w:before="93"/>
        <w:jc w:val="center"/>
      </w:pPr>
      <w: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891.16</w:t>
      </w:r>
      <w:r>
        <w:rPr>
          <w:rFonts w:hint="eastAsia" w:ascii="仿宋" w:hAnsi="仿宋" w:eastAsia="仿宋"/>
          <w:sz w:val="32"/>
          <w:szCs w:val="32"/>
        </w:rPr>
        <w:t>万元，占本年支出合计的84.37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21年相比，一般公共预算财政拨款支出减少18.55万元，下降2.04</w:t>
      </w:r>
      <w:r>
        <w:rPr>
          <w:rFonts w:ascii="仿宋" w:hAnsi="仿宋" w:eastAsia="仿宋"/>
          <w:sz w:val="32"/>
          <w:szCs w:val="32"/>
        </w:rPr>
        <w:t>%</w:t>
      </w:r>
      <w:r>
        <w:rPr>
          <w:rFonts w:hint="eastAsia" w:ascii="仿宋" w:hAnsi="仿宋" w:eastAsia="仿宋"/>
          <w:sz w:val="32"/>
          <w:szCs w:val="32"/>
        </w:rPr>
        <w:t>。主要变动原因是基本支出减少。</w:t>
      </w:r>
    </w:p>
    <w:p>
      <w:pPr>
        <w:jc w:val="center"/>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891.16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759</w:t>
      </w:r>
      <w:r>
        <w:rPr>
          <w:rFonts w:hint="eastAsia" w:ascii="仿宋" w:hAnsi="仿宋" w:eastAsia="仿宋"/>
          <w:sz w:val="32"/>
          <w:szCs w:val="32"/>
        </w:rPr>
        <w:t>.00万元，占85.17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59.34</w:t>
      </w:r>
      <w:r>
        <w:rPr>
          <w:rFonts w:hint="eastAsia" w:ascii="仿宋" w:hAnsi="仿宋" w:eastAsia="仿宋"/>
          <w:sz w:val="32"/>
          <w:szCs w:val="32"/>
        </w:rPr>
        <w:t>万元，占6.66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30.34</w:t>
      </w:r>
      <w:r>
        <w:rPr>
          <w:rFonts w:hint="eastAsia" w:ascii="仿宋" w:hAnsi="仿宋" w:eastAsia="仿宋"/>
          <w:sz w:val="32"/>
          <w:szCs w:val="32"/>
        </w:rPr>
        <w:t>万元，占3.40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42.49</w:t>
      </w:r>
      <w:r>
        <w:rPr>
          <w:rFonts w:hint="eastAsia" w:ascii="仿宋" w:hAnsi="仿宋" w:eastAsia="仿宋"/>
          <w:sz w:val="32"/>
          <w:szCs w:val="32"/>
        </w:rPr>
        <w:t>万元，占4.77</w:t>
      </w:r>
      <w:r>
        <w:rPr>
          <w:rFonts w:ascii="仿宋" w:hAnsi="仿宋" w:eastAsia="仿宋"/>
          <w:sz w:val="32"/>
          <w:szCs w:val="32"/>
        </w:rPr>
        <w:t>%</w:t>
      </w:r>
      <w:r>
        <w:rPr>
          <w:rFonts w:hint="eastAsia" w:ascii="仿宋" w:hAnsi="仿宋" w:eastAsia="仿宋"/>
          <w:sz w:val="32"/>
          <w:szCs w:val="32"/>
        </w:rPr>
        <w:t>。</w:t>
      </w:r>
    </w:p>
    <w:p>
      <w:pPr>
        <w:jc w:val="center"/>
        <w:rPr>
          <w:rFonts w:ascii="仿宋" w:hAnsi="仿宋" w:eastAsia="仿宋"/>
          <w:sz w:val="32"/>
          <w:szCs w:val="32"/>
        </w:rPr>
      </w:pPr>
      <w:r>
        <w:rPr>
          <w:rFonts w:ascii="仿宋" w:hAnsi="仿宋" w:eastAsia="仿宋"/>
          <w:sz w:val="32"/>
          <w:szCs w:val="32"/>
        </w:rPr>
        <w:drawing>
          <wp:inline distT="0" distB="0" distL="0" distR="0">
            <wp:extent cx="4650105" cy="2696210"/>
            <wp:effectExtent l="4445" t="4445" r="8890" b="1206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w:t>
      </w:r>
      <w:r>
        <w:rPr>
          <w:rFonts w:ascii="仿宋" w:hAnsi="仿宋" w:eastAsia="仿宋"/>
          <w:b/>
          <w:sz w:val="32"/>
          <w:szCs w:val="32"/>
        </w:rPr>
        <w:t>891.16万元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Fonts w:hint="eastAsia"/>
        </w:rPr>
        <w:t xml:space="preserve"> </w:t>
      </w:r>
      <w:r>
        <w:rPr>
          <w:rStyle w:val="14"/>
          <w:rFonts w:hint="eastAsia" w:ascii="仿宋" w:hAnsi="仿宋" w:eastAsia="仿宋"/>
          <w:bCs/>
          <w:sz w:val="32"/>
          <w:szCs w:val="32"/>
        </w:rPr>
        <w:t>教育支出（类）普通教育（款）学前教育（项）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685.67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bCs/>
          <w:sz w:val="32"/>
          <w:szCs w:val="32"/>
        </w:rPr>
      </w:pPr>
      <w:r>
        <w:rPr>
          <w:rStyle w:val="14"/>
          <w:rFonts w:ascii="仿宋" w:hAnsi="仿宋" w:eastAsia="仿宋"/>
          <w:bCs/>
          <w:sz w:val="32"/>
          <w:szCs w:val="32"/>
        </w:rPr>
        <w:t>2.</w:t>
      </w:r>
      <w:r>
        <w:rPr>
          <w:rStyle w:val="14"/>
          <w:rFonts w:hint="eastAsia" w:ascii="仿宋" w:hAnsi="仿宋" w:eastAsia="仿宋"/>
          <w:bCs/>
          <w:sz w:val="32"/>
          <w:szCs w:val="32"/>
        </w:rPr>
        <w:t xml:space="preserve"> 教育支出（类）普通教育（款）小学教育（项）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67.33</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Cs/>
          <w:sz w:val="32"/>
          <w:szCs w:val="32"/>
        </w:rPr>
      </w:pPr>
      <w:r>
        <w:rPr>
          <w:rStyle w:val="14"/>
          <w:rFonts w:ascii="仿宋" w:hAnsi="仿宋" w:eastAsia="仿宋"/>
          <w:bCs/>
          <w:sz w:val="32"/>
          <w:szCs w:val="32"/>
        </w:rPr>
        <w:t>3.</w:t>
      </w:r>
      <w:r>
        <w:rPr>
          <w:rStyle w:val="14"/>
          <w:rFonts w:hint="eastAsia" w:ascii="仿宋" w:hAnsi="仿宋" w:eastAsia="仿宋"/>
          <w:bCs/>
          <w:sz w:val="32"/>
          <w:szCs w:val="32"/>
        </w:rPr>
        <w:t xml:space="preserve"> 教育支出（类）普通教育（款）其他普通教育支出（项）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w:t>
      </w:r>
      <w:r>
        <w:rPr>
          <w:rStyle w:val="14"/>
          <w:rFonts w:hint="eastAsia" w:ascii="仿宋" w:hAnsi="仿宋" w:eastAsia="仿宋"/>
          <w:b w:val="0"/>
          <w:bCs/>
          <w:sz w:val="32"/>
          <w:szCs w:val="32"/>
        </w:rPr>
        <w:t>.00万元，完成预算100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56.65</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Cs/>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 xml:space="preserve"> 社会保障和就业（类）其他社会保障和就业支出（款）其他社会保障和就业支出（项）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2.69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Fonts w:hint="eastAsia" w:ascii="仿宋" w:hAnsi="仿宋" w:eastAsia="仿宋"/>
          <w:b/>
          <w:bCs/>
          <w:sz w:val="32"/>
          <w:szCs w:val="32"/>
        </w:rPr>
        <w:t>6.卫生健康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30.34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7.</w:t>
      </w:r>
      <w:r>
        <w:rPr>
          <w:rFonts w:hint="eastAsia"/>
        </w:rPr>
        <w:t xml:space="preserve"> </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42.49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833.95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777.58</w:t>
      </w:r>
      <w:r>
        <w:rPr>
          <w:rFonts w:hint="eastAsia" w:ascii="仿宋" w:hAnsi="仿宋" w:eastAsia="仿宋"/>
          <w:sz w:val="32"/>
          <w:szCs w:val="32"/>
        </w:rPr>
        <w:t>万元，主要包括：基本工资、津贴补贴、绩效工资、机关事业单位基本养老保险缴费、职业年金缴费、职工基本医疗保险缴费、其他社会保障缴费、住房公积金、其他工资福利支出、抚恤金、生活补助、</w:t>
      </w:r>
      <w:r>
        <w:rPr>
          <w:rFonts w:hint="eastAsia" w:ascii="仿宋" w:hAnsi="仿宋" w:eastAsia="仿宋"/>
          <w:sz w:val="32"/>
          <w:szCs w:val="32"/>
          <w:lang w:val="en-US" w:eastAsia="zh-CN"/>
        </w:rPr>
        <w:t>助学金</w:t>
      </w:r>
      <w:r>
        <w:rPr>
          <w:rFonts w:hint="eastAsia" w:ascii="仿宋" w:hAnsi="仿宋" w:eastAsia="仿宋"/>
          <w:sz w:val="32"/>
          <w:szCs w:val="32"/>
          <w:lang w:eastAsia="zh-CN"/>
        </w:rPr>
        <w:t>、</w:t>
      </w:r>
      <w:r>
        <w:rPr>
          <w:rFonts w:hint="eastAsia" w:ascii="仿宋" w:hAnsi="仿宋" w:eastAsia="仿宋"/>
          <w:sz w:val="32"/>
          <w:szCs w:val="32"/>
        </w:rPr>
        <w:t>奖励金。</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56.37</w:t>
      </w:r>
      <w:r>
        <w:rPr>
          <w:rFonts w:hint="eastAsia" w:ascii="仿宋" w:hAnsi="仿宋" w:eastAsia="仿宋"/>
          <w:sz w:val="32"/>
          <w:szCs w:val="32"/>
        </w:rPr>
        <w:t>万元，主要包括：办公费、印刷费、水费、电费、邮电费、物业管理费、</w:t>
      </w:r>
      <w:r>
        <w:rPr>
          <w:rFonts w:hint="eastAsia" w:ascii="仿宋" w:hAnsi="仿宋" w:eastAsia="仿宋"/>
          <w:sz w:val="32"/>
          <w:szCs w:val="32"/>
          <w:lang w:val="en-US" w:eastAsia="zh-CN"/>
        </w:rPr>
        <w:t>差旅费、</w:t>
      </w:r>
      <w:r>
        <w:rPr>
          <w:rFonts w:hint="eastAsia" w:ascii="仿宋" w:hAnsi="仿宋" w:eastAsia="仿宋"/>
          <w:sz w:val="32"/>
          <w:szCs w:val="32"/>
        </w:rPr>
        <w:t>维修（护）费、租赁费、专用材料费、劳务费、工会经费、福利费、其他交通费用。</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sz w:val="32"/>
          <w:szCs w:val="32"/>
        </w:rPr>
        <w:t>，与预算数持平。较上年增加0.00万元，增长0.00%，</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与预算数持平。</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与预算数持平。</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0.00万元。</w:t>
      </w:r>
    </w:p>
    <w:p>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与预算数持平。</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w:t>
      </w:r>
      <w:bookmarkStart w:id="40" w:name="_Toc15396610"/>
      <w:bookmarkStart w:id="41" w:name="_Toc15377218"/>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3"/>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22年，机关运行经费支出0.00万元，比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22年，政府采购支出总额0.00万元。授予中小企业合同金额0.00万元，占政府采购支出总额的0.00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ascii="仿宋_GB2312" w:hAnsi="仿宋_GB2312" w:eastAsia="仿宋_GB2312" w:cs="仿宋_GB2312"/>
          <w:sz w:val="32"/>
          <w:szCs w:val="32"/>
          <w:lang w:val="en-US" w:eastAsia="zh-CN"/>
        </w:rPr>
        <w:t>学前教育免保教费</w:t>
      </w:r>
      <w:r>
        <w:rPr>
          <w:rFonts w:hint="eastAsia" w:ascii="仿宋_GB2312" w:hAnsi="仿宋_GB2312" w:eastAsia="仿宋_GB2312" w:cs="仿宋_GB2312"/>
          <w:sz w:val="32"/>
          <w:szCs w:val="32"/>
        </w:rPr>
        <w:t>资金项目等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w:t>
      </w:r>
      <w:r>
        <w:rPr>
          <w:rFonts w:hint="eastAsia" w:hAnsi="仿宋_GB2312" w:cs="仿宋_GB2312"/>
          <w:sz w:val="32"/>
          <w:szCs w:val="32"/>
        </w:rPr>
        <w:t>开展了预算事前绩效评估，对</w:t>
      </w:r>
      <w:r>
        <w:rPr>
          <w:rFonts w:hint="eastAsia" w:hAnsi="仿宋_GB2312" w:cs="仿宋_GB2312"/>
          <w:sz w:val="32"/>
          <w:szCs w:val="32"/>
          <w:lang w:val="en-US" w:eastAsia="zh-CN"/>
        </w:rPr>
        <w:t>21</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w:t>
      </w:r>
      <w:r>
        <w:rPr>
          <w:rFonts w:hint="eastAsia" w:hAnsi="仿宋_GB2312" w:cs="仿宋_GB2312"/>
          <w:sz w:val="32"/>
          <w:szCs w:val="32"/>
        </w:rPr>
        <w:t>个项目开展绩效监控，组织对</w:t>
      </w:r>
      <w:r>
        <w:rPr>
          <w:rFonts w:hint="eastAsia" w:hAnsi="仿宋_GB2312" w:cs="仿宋_GB2312"/>
          <w:sz w:val="32"/>
          <w:szCs w:val="32"/>
          <w:lang w:val="en-US" w:eastAsia="zh-CN"/>
        </w:rPr>
        <w:t>2</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napToGrid w:val="0"/>
        <w:spacing w:line="560" w:lineRule="exact"/>
        <w:ind w:firstLine="640" w:firstLineChars="200"/>
        <w:outlineLvl w:val="1"/>
        <w:rPr>
          <w:rFonts w:ascii="仿宋_GB2312" w:eastAsia="仿宋_GB2312"/>
          <w:color w:val="auto"/>
          <w:sz w:val="32"/>
          <w:szCs w:val="32"/>
        </w:rPr>
      </w:pPr>
      <w:bookmarkStart w:id="51" w:name="_Toc15680"/>
      <w:bookmarkStart w:id="52" w:name="_Toc15377226"/>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1"/>
    </w:p>
    <w:p>
      <w:pPr>
        <w:pStyle w:val="22"/>
        <w:snapToGrid w:val="0"/>
        <w:spacing w:line="560" w:lineRule="exact"/>
        <w:ind w:firstLine="640" w:firstLineChars="200"/>
        <w:outlineLvl w:val="1"/>
        <w:rPr>
          <w:rFonts w:ascii="仿宋_GB2312" w:eastAsia="仿宋_GB2312"/>
          <w:color w:val="auto"/>
          <w:sz w:val="32"/>
          <w:szCs w:val="32"/>
        </w:rPr>
      </w:pPr>
      <w:bookmarkStart w:id="53" w:name="_Toc18447"/>
      <w:r>
        <w:rPr>
          <w:rFonts w:hint="eastAsia" w:ascii="仿宋_GB2312" w:eastAsia="仿宋_GB2312"/>
          <w:color w:val="auto"/>
          <w:sz w:val="32"/>
          <w:szCs w:val="32"/>
        </w:rPr>
        <w:t>2.事业收入：指事业单位开展专业业务活动及辅助活动取得的收入。</w:t>
      </w:r>
      <w:bookmarkEnd w:id="53"/>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 xml:space="preserve">.其他收入：指单位取得的除上述收入以外的各项收入。主要是学前教育保育教育费收入、银行存款利息收入等。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.教育支出（类）教育管理事务（款）行政运行（项）:反映教育行政单位（包括实行公务员管理的事业单位）的基本支出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教育支出（类）教育管理事务（款）一般行政管理事务（项）:反映行政单位（包括实行公务员管理的事业单位）未单独设置项级科目的其它项目支出。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教育支出（类）教育管理事务（款）其它教育管理事务支出（项）:反映除上述项目以外其它用户教育管理事务方面的支出。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 教育支出（类）普通教育（款）学前教育（项）:反映各部门举办的学前教育支出。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教育支出（类）普通教育（款）小学教育（项）:反映各部门举办的小学教育支出。政府各部门对社会中介组织等举办的小学的资助，如各类捐赠、补贴等，也在本科目中反映。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教育支出（类）其它教育支出（款）其他教育支出（项）: 指上述项目以外其他用于教育方面的支出。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其他支出（类）其他支出（款）其他支出（项）: 指上述项目以外其他不能划分到具体功能科目中的支出项目。</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.基本支出：指为保障机构正常运转、完成日常工作任务而发生的人员支出和公用支出。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 xml:space="preserve">.项目支出：指在基本支出之外为完成特定行政任务和事业发展目标所发生的支出。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outlineLvl w:val="0"/>
        <w:rPr>
          <w:rFonts w:hint="eastAsia" w:ascii="仿宋_GB2312" w:eastAsia="仿宋_GB2312"/>
          <w:sz w:val="32"/>
          <w:szCs w:val="32"/>
        </w:rPr>
      </w:pPr>
    </w:p>
    <w:p>
      <w:pPr>
        <w:spacing w:line="600" w:lineRule="exact"/>
        <w:jc w:val="left"/>
        <w:outlineLvl w:val="0"/>
        <w:rPr>
          <w:rFonts w:hint="eastAsia" w:ascii="仿宋_GB2312" w:eastAsia="仿宋_GB2312"/>
          <w:sz w:val="32"/>
          <w:szCs w:val="32"/>
        </w:rPr>
      </w:pPr>
    </w:p>
    <w:p>
      <w:pPr>
        <w:spacing w:line="600" w:lineRule="exact"/>
        <w:jc w:val="left"/>
        <w:outlineLvl w:val="0"/>
        <w:rPr>
          <w:rFonts w:hint="eastAsia" w:ascii="仿宋_GB2312" w:eastAsia="仿宋_GB2312"/>
          <w:sz w:val="32"/>
          <w:szCs w:val="32"/>
        </w:rPr>
      </w:pPr>
    </w:p>
    <w:p>
      <w:pPr>
        <w:spacing w:line="600" w:lineRule="exact"/>
        <w:jc w:val="left"/>
        <w:outlineLvl w:val="0"/>
        <w:rPr>
          <w:rStyle w:val="24"/>
          <w:rFonts w:ascii="黑体" w:hAnsi="黑体" w:eastAsia="黑体"/>
          <w:b w:val="0"/>
        </w:rPr>
      </w:pPr>
      <w:r>
        <w:rPr>
          <w:rFonts w:ascii="宋体"/>
          <w:b/>
          <w:sz w:val="44"/>
          <w:szCs w:val="44"/>
        </w:rPr>
        <w:br w:type="page"/>
      </w:r>
      <w:bookmarkStart w:id="54" w:name="_Toc15396614"/>
      <w:r>
        <w:rPr>
          <w:rFonts w:hint="eastAsia" w:ascii="宋体"/>
          <w:b/>
          <w:sz w:val="44"/>
          <w:szCs w:val="44"/>
          <w:lang w:val="en-US" w:eastAsia="zh-CN"/>
        </w:rPr>
        <w:t xml:space="preserve">             </w:t>
      </w:r>
      <w:r>
        <w:rPr>
          <w:rFonts w:hint="eastAsia" w:ascii="黑体" w:hAnsi="黑体" w:eastAsia="黑体"/>
          <w:sz w:val="44"/>
          <w:szCs w:val="44"/>
        </w:rPr>
        <w:t>第</w:t>
      </w:r>
      <w:r>
        <w:rPr>
          <w:rStyle w:val="24"/>
          <w:rFonts w:hint="eastAsia" w:ascii="黑体" w:hAnsi="黑体" w:eastAsia="黑体"/>
          <w:b w:val="0"/>
        </w:rPr>
        <w:t>四部分 附件</w:t>
      </w:r>
      <w:bookmarkEnd w:id="54"/>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5" w:name="_Toc15396618"/>
      <w:bookmarkStart w:id="69" w:name="_GoBack"/>
      <w:r>
        <w:rPr>
          <w:rFonts w:hint="eastAsia" w:ascii="宋体" w:hAnsi="宋体" w:cs="宋体"/>
          <w:kern w:val="0"/>
          <w:sz w:val="32"/>
          <w:szCs w:val="32"/>
        </w:rPr>
        <w:t>部门预算项目支出绩效自评表（2022年度）</w:t>
      </w:r>
    </w:p>
    <w:bookmarkEnd w:id="69"/>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5"/>
      <w:bookmarkStart w:id="56"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25"/>
          <w:rFonts w:hint="eastAsia" w:ascii="仿宋" w:hAnsi="仿宋" w:eastAsia="仿宋"/>
          <w:b w:val="0"/>
          <w:bCs w:val="0"/>
        </w:rPr>
        <w:t>入决算表</w:t>
      </w:r>
      <w:bookmarkEnd w:id="57"/>
    </w:p>
    <w:p>
      <w:pPr>
        <w:pStyle w:val="4"/>
        <w:rPr>
          <w:rFonts w:ascii="仿宋" w:hAnsi="仿宋" w:eastAsia="仿宋"/>
        </w:rPr>
      </w:pPr>
      <w:bookmarkStart w:id="58"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9"/>
    </w:p>
    <w:p>
      <w:pPr>
        <w:pStyle w:val="4"/>
        <w:rPr>
          <w:rStyle w:val="25"/>
          <w:rFonts w:ascii="仿宋" w:hAnsi="仿宋" w:eastAsia="仿宋"/>
          <w:b w:val="0"/>
          <w:bCs w:val="0"/>
        </w:rPr>
      </w:pPr>
      <w:bookmarkStart w:id="60"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25"/>
          <w:rFonts w:hint="eastAsia" w:ascii="仿宋" w:hAnsi="仿宋" w:eastAsia="仿宋"/>
          <w:b w:val="0"/>
          <w:bCs w:val="0"/>
        </w:rPr>
        <w:t>十、</w:t>
      </w:r>
      <w:bookmarkEnd w:id="65"/>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6" w:name="_Toc15396629"/>
      <w:r>
        <w:rPr>
          <w:rStyle w:val="25"/>
          <w:rFonts w:hint="eastAsia" w:ascii="仿宋" w:hAnsi="仿宋" w:eastAsia="仿宋"/>
          <w:b w:val="0"/>
          <w:bCs w:val="0"/>
        </w:rPr>
        <w:t>十一、</w:t>
      </w:r>
      <w:bookmarkEnd w:id="66"/>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7" w:name="_Toc15396630"/>
      <w:r>
        <w:rPr>
          <w:rStyle w:val="25"/>
          <w:rFonts w:hint="eastAsia" w:ascii="仿宋" w:hAnsi="仿宋" w:eastAsia="仿宋"/>
          <w:b w:val="0"/>
          <w:bCs w:val="0"/>
        </w:rPr>
        <w:t>十二、</w:t>
      </w:r>
      <w:bookmarkEnd w:id="67"/>
      <w:r>
        <w:rPr>
          <w:rStyle w:val="25"/>
          <w:rFonts w:hint="eastAsia" w:ascii="仿宋" w:hAnsi="仿宋" w:eastAsia="仿宋"/>
          <w:b w:val="0"/>
          <w:bCs w:val="0"/>
        </w:rPr>
        <w:t>国有资本经营预算财政拨款支出决算表</w:t>
      </w:r>
    </w:p>
    <w:p>
      <w:pPr>
        <w:pStyle w:val="4"/>
        <w:rPr>
          <w:rFonts w:eastAsia="仿宋"/>
        </w:rPr>
      </w:pPr>
      <w:bookmarkStart w:id="68" w:name="_Toc15396631"/>
      <w:r>
        <w:rPr>
          <w:rStyle w:val="25"/>
          <w:rFonts w:hint="eastAsia" w:ascii="仿宋" w:hAnsi="仿宋" w:eastAsia="仿宋"/>
          <w:b w:val="0"/>
          <w:bCs w:val="0"/>
        </w:rPr>
        <w:t>十三、</w:t>
      </w:r>
      <w:bookmarkEnd w:id="68"/>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wZjE2MDM5MWVmMzBhZGFmZGYwOTEzZDZiYWIy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71E9"/>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7DC5"/>
    <w:rsid w:val="00363B6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4967"/>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47D19"/>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9C"/>
    <w:rsid w:val="00900B08"/>
    <w:rsid w:val="00902155"/>
    <w:rsid w:val="00902FA3"/>
    <w:rsid w:val="009048EA"/>
    <w:rsid w:val="009160CE"/>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77BB"/>
    <w:rsid w:val="009B2C43"/>
    <w:rsid w:val="009B34ED"/>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975"/>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E2B"/>
    <w:rsid w:val="00B77EA6"/>
    <w:rsid w:val="00B81598"/>
    <w:rsid w:val="00B841F1"/>
    <w:rsid w:val="00B944D6"/>
    <w:rsid w:val="00BB4DF0"/>
    <w:rsid w:val="00BC289F"/>
    <w:rsid w:val="00BC2D50"/>
    <w:rsid w:val="00BC5361"/>
    <w:rsid w:val="00BC5460"/>
    <w:rsid w:val="00BC6B50"/>
    <w:rsid w:val="00BD0E25"/>
    <w:rsid w:val="00BF5BD6"/>
    <w:rsid w:val="00C03E31"/>
    <w:rsid w:val="00C21A8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430F"/>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2BEF"/>
    <w:rsid w:val="00D7035F"/>
    <w:rsid w:val="00DA634F"/>
    <w:rsid w:val="00DA65AC"/>
    <w:rsid w:val="00DB1913"/>
    <w:rsid w:val="00DC410D"/>
    <w:rsid w:val="00DC5A81"/>
    <w:rsid w:val="00DC68CA"/>
    <w:rsid w:val="00DC7CBA"/>
    <w:rsid w:val="00DD73B7"/>
    <w:rsid w:val="00DF28BC"/>
    <w:rsid w:val="00DF34B9"/>
    <w:rsid w:val="00E01053"/>
    <w:rsid w:val="00E07ACF"/>
    <w:rsid w:val="00E30146"/>
    <w:rsid w:val="00E331A1"/>
    <w:rsid w:val="00E33202"/>
    <w:rsid w:val="00E336A9"/>
    <w:rsid w:val="00E472B1"/>
    <w:rsid w:val="00E50624"/>
    <w:rsid w:val="00E568DF"/>
    <w:rsid w:val="00E64269"/>
    <w:rsid w:val="00E82267"/>
    <w:rsid w:val="00E853CE"/>
    <w:rsid w:val="00E867B6"/>
    <w:rsid w:val="00EA010F"/>
    <w:rsid w:val="00EC160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02FF"/>
    <w:rsid w:val="00FF1E02"/>
    <w:rsid w:val="00FF30B4"/>
    <w:rsid w:val="053A62B5"/>
    <w:rsid w:val="09F957AA"/>
    <w:rsid w:val="0A2032A3"/>
    <w:rsid w:val="0B8A37D8"/>
    <w:rsid w:val="10C055FF"/>
    <w:rsid w:val="118107EC"/>
    <w:rsid w:val="11DD6519"/>
    <w:rsid w:val="12565900"/>
    <w:rsid w:val="16BB723D"/>
    <w:rsid w:val="18015F3F"/>
    <w:rsid w:val="1BE8440E"/>
    <w:rsid w:val="1D155CEE"/>
    <w:rsid w:val="20F57F95"/>
    <w:rsid w:val="240371BF"/>
    <w:rsid w:val="25711CC6"/>
    <w:rsid w:val="25C741E6"/>
    <w:rsid w:val="27842671"/>
    <w:rsid w:val="29FD04D3"/>
    <w:rsid w:val="2ABE7A3E"/>
    <w:rsid w:val="2BD54432"/>
    <w:rsid w:val="2CA234A8"/>
    <w:rsid w:val="2EFA178C"/>
    <w:rsid w:val="30B46D73"/>
    <w:rsid w:val="319F7F4E"/>
    <w:rsid w:val="36BB7838"/>
    <w:rsid w:val="381D34EC"/>
    <w:rsid w:val="383D272C"/>
    <w:rsid w:val="39AE70AB"/>
    <w:rsid w:val="3C0C0783"/>
    <w:rsid w:val="3F9F3A96"/>
    <w:rsid w:val="4766440C"/>
    <w:rsid w:val="48BF60AB"/>
    <w:rsid w:val="493C27E9"/>
    <w:rsid w:val="496F39ED"/>
    <w:rsid w:val="49FF41D3"/>
    <w:rsid w:val="4BE068DB"/>
    <w:rsid w:val="4BF6002B"/>
    <w:rsid w:val="4ECE2238"/>
    <w:rsid w:val="51DB4B86"/>
    <w:rsid w:val="55333C3E"/>
    <w:rsid w:val="5C1755A0"/>
    <w:rsid w:val="64CA39A1"/>
    <w:rsid w:val="69630ADE"/>
    <w:rsid w:val="6C4A05C8"/>
    <w:rsid w:val="6D3B1A89"/>
    <w:rsid w:val="71BF4EC2"/>
    <w:rsid w:val="72734D90"/>
    <w:rsid w:val="7412278C"/>
    <w:rsid w:val="79750D61"/>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2021年度收支总计</c:v>
                </c:pt>
                <c:pt idx="1">
                  <c:v>2022年度收支总计</c:v>
                </c:pt>
              </c:strCache>
            </c:strRef>
          </c:cat>
          <c:val>
            <c:numRef>
              <c:f>Sheet1!$B$2:$B$3</c:f>
              <c:numCache>
                <c:formatCode>General</c:formatCode>
                <c:ptCount val="2"/>
                <c:pt idx="0">
                  <c:v>1167.07</c:v>
                </c:pt>
                <c:pt idx="1">
                  <c:v>1056.22</c:v>
                </c:pt>
              </c:numCache>
            </c:numRef>
          </c:val>
        </c:ser>
        <c:dLbls>
          <c:showLegendKey val="0"/>
          <c:showVal val="1"/>
          <c:showCatName val="0"/>
          <c:showSerName val="0"/>
          <c:showPercent val="0"/>
          <c:showBubbleSize val="0"/>
        </c:dLbls>
        <c:gapWidth val="150"/>
        <c:axId val="135191552"/>
        <c:axId val="144521856"/>
      </c:barChart>
      <c:catAx>
        <c:axId val="135191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521856"/>
        <c:crosses val="autoZero"/>
        <c:auto val="1"/>
        <c:lblAlgn val="ctr"/>
        <c:lblOffset val="100"/>
        <c:noMultiLvlLbl val="0"/>
      </c:catAx>
      <c:valAx>
        <c:axId val="1445218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191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834.73</c:v>
                </c:pt>
                <c:pt idx="1">
                  <c:v>164.3</c:v>
                </c:pt>
                <c:pt idx="2">
                  <c:v>0.76</c:v>
                </c:pt>
              </c:numCache>
            </c:numRef>
          </c:val>
        </c:ser>
        <c:dLbls>
          <c:showLegendKey val="0"/>
          <c:showVal val="1"/>
          <c:showCatName val="0"/>
          <c:showSerName val="0"/>
          <c:showPercent val="0"/>
          <c:showBubbleSize val="0"/>
          <c:showLeaderLines val="1"/>
        </c:dLbls>
        <c:gapWidth val="150"/>
        <c:secondPieSize val="75"/>
        <c:serLines/>
      </c:of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999.01</c:v>
                </c:pt>
                <c:pt idx="1">
                  <c:v>57.21</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2021年度收支总计</c:v>
                </c:pt>
                <c:pt idx="1">
                  <c:v>2022年度收支总计</c:v>
                </c:pt>
              </c:strCache>
            </c:strRef>
          </c:cat>
          <c:val>
            <c:numRef>
              <c:f>Sheet1!$B$2:$B$3</c:f>
              <c:numCache>
                <c:formatCode>General</c:formatCode>
                <c:ptCount val="2"/>
                <c:pt idx="0">
                  <c:v>966.15</c:v>
                </c:pt>
                <c:pt idx="1">
                  <c:v>891.16</c:v>
                </c:pt>
              </c:numCache>
            </c:numRef>
          </c:val>
        </c:ser>
        <c:dLbls>
          <c:showLegendKey val="0"/>
          <c:showVal val="1"/>
          <c:showCatName val="0"/>
          <c:showSerName val="0"/>
          <c:showPercent val="0"/>
          <c:showBubbleSize val="0"/>
        </c:dLbls>
        <c:gapWidth val="150"/>
        <c:axId val="148153472"/>
        <c:axId val="151661952"/>
      </c:barChart>
      <c:catAx>
        <c:axId val="148153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661952"/>
        <c:crosses val="autoZero"/>
        <c:auto val="1"/>
        <c:lblAlgn val="ctr"/>
        <c:lblOffset val="100"/>
        <c:noMultiLvlLbl val="0"/>
      </c:catAx>
      <c:valAx>
        <c:axId val="151661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534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2021年度</c:v>
                </c:pt>
                <c:pt idx="1">
                  <c:v>2022年度</c:v>
                </c:pt>
              </c:strCache>
            </c:strRef>
          </c:cat>
          <c:val>
            <c:numRef>
              <c:f>Sheet1!$B$2:$B$3</c:f>
              <c:numCache>
                <c:formatCode>General</c:formatCode>
                <c:ptCount val="2"/>
                <c:pt idx="0">
                  <c:v>909.71</c:v>
                </c:pt>
                <c:pt idx="1">
                  <c:v>891.16</c:v>
                </c:pt>
              </c:numCache>
            </c:numRef>
          </c:val>
        </c:ser>
        <c:dLbls>
          <c:showLegendKey val="0"/>
          <c:showVal val="1"/>
          <c:showCatName val="0"/>
          <c:showSerName val="0"/>
          <c:showPercent val="0"/>
          <c:showBubbleSize val="0"/>
        </c:dLbls>
        <c:gapWidth val="150"/>
        <c:axId val="177296128"/>
        <c:axId val="177330432"/>
      </c:barChart>
      <c:catAx>
        <c:axId val="1772961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330432"/>
        <c:crosses val="autoZero"/>
        <c:auto val="1"/>
        <c:lblAlgn val="ctr"/>
        <c:lblOffset val="100"/>
        <c:noMultiLvlLbl val="0"/>
      </c:catAx>
      <c:valAx>
        <c:axId val="177330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2961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#,##0.00_ </c:formatCode>
                <c:ptCount val="4"/>
                <c:pt idx="0">
                  <c:v>759</c:v>
                </c:pt>
                <c:pt idx="1">
                  <c:v>59.34</c:v>
                </c:pt>
                <c:pt idx="2">
                  <c:v>30.34</c:v>
                </c:pt>
                <c:pt idx="3">
                  <c:v>42.49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16800</Words>
  <Characters>19680</Characters>
  <Lines>33</Lines>
  <Paragraphs>9</Paragraphs>
  <TotalTime>2</TotalTime>
  <ScaleCrop>false</ScaleCrop>
  <LinksUpToDate>false</LinksUpToDate>
  <CharactersWithSpaces>19749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2023-07-31T02:35:00Z</cp:lastPrinted>
  <dcterms:modified xsi:type="dcterms:W3CDTF">2023-10-15T06:31:18Z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C60F398DA53C4700A11DF595F2C75EAD_12</vt:lpwstr>
  </property>
</Properties>
</file>