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eastAsia="zh-CN"/>
        </w:rPr>
      </w:pPr>
      <w:bookmarkStart w:id="1" w:name="_Toc15396597"/>
      <w:bookmarkStart w:id="2" w:name="_Toc15377193"/>
      <w:bookmarkStart w:id="3" w:name="_Toc15378441"/>
      <w:bookmarkStart w:id="4" w:name="_Toc15377425"/>
      <w:bookmarkStart w:id="5" w:name="_Toc15396475"/>
      <w:r>
        <w:rPr>
          <w:rFonts w:hint="eastAsia" w:ascii="方正小标宋简体" w:hAnsi="方正小标宋简体" w:eastAsia="方正小标宋简体" w:cs="方正小标宋简体"/>
          <w:color w:val="auto"/>
          <w:sz w:val="56"/>
          <w:szCs w:val="56"/>
          <w:highlight w:val="none"/>
          <w:lang w:eastAsia="zh-CN"/>
        </w:rPr>
        <w:t>20</w:t>
      </w:r>
      <w:r>
        <w:rPr>
          <w:rFonts w:hint="eastAsia" w:ascii="方正小标宋简体" w:hAnsi="方正小标宋简体" w:eastAsia="方正小标宋简体" w:cs="方正小标宋简体"/>
          <w:color w:val="auto"/>
          <w:sz w:val="56"/>
          <w:szCs w:val="56"/>
          <w:highlight w:val="none"/>
          <w:lang w:val="en-US" w:eastAsia="zh-CN"/>
        </w:rPr>
        <w:t>22</w:t>
      </w:r>
      <w:r>
        <w:rPr>
          <w:rFonts w:hint="eastAsia" w:ascii="方正小标宋简体" w:hAnsi="方正小标宋简体" w:eastAsia="方正小标宋简体" w:cs="方正小标宋简体"/>
          <w:color w:val="auto"/>
          <w:sz w:val="56"/>
          <w:szCs w:val="56"/>
          <w:highlight w:val="none"/>
          <w:lang w:eastAsia="zh-CN"/>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eastAsia="zh-CN"/>
        </w:rPr>
      </w:pPr>
      <w:bookmarkStart w:id="6" w:name="_Toc15306268"/>
      <w:bookmarkStart w:id="7" w:name="_Toc15377426"/>
      <w:bookmarkStart w:id="8" w:name="_Toc15396598"/>
      <w:bookmarkStart w:id="9" w:name="_Toc15377194"/>
      <w:bookmarkStart w:id="10" w:name="_Toc15396476"/>
      <w:bookmarkStart w:id="11" w:name="_Toc15378442"/>
      <w:r>
        <w:rPr>
          <w:rFonts w:hint="eastAsia" w:ascii="方正小标宋简体" w:hAnsi="方正小标宋简体" w:eastAsia="方正小标宋简体" w:cs="方正小标宋简体"/>
          <w:color w:val="auto"/>
          <w:sz w:val="56"/>
          <w:szCs w:val="56"/>
          <w:highlight w:val="none"/>
          <w:lang w:eastAsia="zh-CN"/>
        </w:rPr>
        <w:t>广元市利州区建平初级中学</w:t>
      </w:r>
    </w:p>
    <w:p>
      <w:pPr>
        <w:adjustRightInd w:val="0"/>
        <w:snapToGrid w:val="0"/>
        <w:spacing w:line="360" w:lineRule="auto"/>
        <w:jc w:val="center"/>
        <w:outlineLvl w:val="0"/>
        <w:rPr>
          <w:rFonts w:ascii="黑体" w:hAnsi="黑体" w:eastAsia="黑体"/>
          <w:color w:val="auto"/>
          <w:sz w:val="48"/>
          <w:szCs w:val="48"/>
          <w:highlight w:val="none"/>
        </w:rPr>
      </w:pPr>
      <w:r>
        <w:rPr>
          <w:rFonts w:hint="eastAsia" w:ascii="方正小标宋简体" w:hAnsi="方正小标宋简体" w:eastAsia="方正小标宋简体" w:cs="方正小标宋简体"/>
          <w:color w:val="auto"/>
          <w:sz w:val="56"/>
          <w:szCs w:val="56"/>
          <w:highlight w:val="none"/>
          <w:lang w:eastAsia="zh-CN"/>
        </w:rPr>
        <w:t>单位</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r>
        <w:rPr>
          <w:rFonts w:ascii="方正小标宋简体" w:hAnsi="宋体" w:eastAsia="方正小标宋简体"/>
          <w:b/>
          <w:bCs/>
          <w:color w:val="auto"/>
          <w:sz w:val="36"/>
          <w:szCs w:val="36"/>
          <w:highlight w:val="none"/>
        </w:rPr>
        <w:br w:type="page"/>
      </w:r>
      <w:r>
        <w:rPr>
          <w:rFonts w:hint="eastAsia" w:ascii="方正小标宋简体" w:hAnsi="宋体" w:eastAsia="方正小标宋简体"/>
          <w:b/>
          <w:bCs/>
          <w:color w:val="auto"/>
          <w:sz w:val="36"/>
          <w:szCs w:val="36"/>
          <w:highlight w:val="none"/>
          <w:lang w:val="en-US" w:eastAsia="zh-CN"/>
        </w:rPr>
        <w:t xml:space="preserve"> </w:t>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pPr>
      <w:r>
        <w:rPr>
          <w:rFonts w:hint="eastAsia"/>
        </w:rPr>
        <w:t>公开时间：2023年 10月15日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w:t>
      </w:r>
      <w:r>
        <w:rPr>
          <w:rFonts w:hint="eastAsia"/>
          <w:color w:val="auto"/>
          <w:sz w:val="24"/>
          <w:highlight w:val="none"/>
          <w:lang w:eastAsia="zh-CN"/>
        </w:rPr>
        <w:t>件</w:t>
      </w:r>
      <w:r>
        <w:rPr>
          <w:rFonts w:hint="eastAsia"/>
          <w:color w:val="auto"/>
          <w:sz w:val="24"/>
          <w:highlight w:val="none"/>
          <w:lang w:val="en-US" w:eastAsia="zh-CN"/>
        </w:rPr>
        <w:t xml:space="preserve"> </w:t>
      </w:r>
    </w:p>
    <w:p>
      <w:pPr>
        <w:pStyle w:val="10"/>
        <w:adjustRightInd w:val="0"/>
        <w:snapToGrid w:val="0"/>
        <w:spacing w:before="0" w:line="440" w:lineRule="exact"/>
        <w:jc w:val="left"/>
      </w:pPr>
      <w:bookmarkStart w:id="97" w:name="_GoBack"/>
      <w:bookmarkEnd w:id="97"/>
      <w:r>
        <w:rPr>
          <w:rFonts w:hint="eastAsia" w:asciiTheme="majorEastAsia" w:hAnsiTheme="majorEastAsia" w:eastAsiaTheme="majorEastAsia" w:cstheme="majorEastAsia"/>
          <w:color w:val="auto"/>
          <w:sz w:val="24"/>
          <w:szCs w:val="24"/>
          <w:highlight w:val="none"/>
        </w:rPr>
        <w:t>部门预算项目支出绩效自评表</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1.贯彻执行党和国家关于义教育改革和发展的各项方针、政策，拟订全校教育事业发展规划、有关教育的规范性文件，实施教育教学体制改革。</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2.负责推进义务教育均衡发展和促进教育公平，负责义务教育的宏观指导与协调；学校全面实施素质教育；全面实施学校办学标准、教学基本要求、教学基本条件。</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3.促进基础教育发展，教育学生成长为德学兼备、思想端正的学生，多元启智，让学生获得扎实的基础知识，培养学习能力，为孩子的终身幸福奠基。</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4.建立校本活动课程、校本综合实践课程，以生为本，尊重个性，减负增效，构建阳光快乐的校园生态，丰富育人内涵，全面践行为学生和谐发展，终身幸福奠基。</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5.根据学校规模设置学校管理机构，建立健全各项规章制度和岗位责任制。抓好教师队伍建设，使每位教师热心于教育事业。</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6.落实学校依法治校、安全、综合治理、档案、保密工作。 </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7.落实学校后勤保障、信息化建设以及教学仪器设备和图书资料装备工作；管理教育信息统计、分析和发布；参与有关的教育学会、协会工作。</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8.落实学校体育、卫生与艺术教育工作。</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9.负责学校教育经费的统筹管理，筹措学校经费、学校拨款、学校基建投资办法和方案；宣传贯彻执行国家和省市有关学生资助工作方针和政策，统筹管理学校贫困家庭学生资助工作。</w:t>
      </w:r>
    </w:p>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10.贯彻执行国家语言文字工作的方针、政策，编制语言文字工作中长期规划；组织执行语言文字的规范和标准的监督检查；指导和组织推广普通话、推行规范汉字；开展普通话培训和测试工作。</w:t>
      </w:r>
    </w:p>
    <w:p>
      <w:pPr>
        <w:rPr>
          <w:rFonts w:hint="eastAsia"/>
          <w:lang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广元市利州区建平初级中学教育局下属单位，内设职能部门9个：校长室、行政办公室、教务处、德育处、技装处、教科室、学生发展中心、财务室、团委</w:t>
      </w:r>
      <w:r>
        <w:rPr>
          <w:rFonts w:hint="eastAsia" w:cs="Times New Roman"/>
          <w:kern w:val="2"/>
          <w:sz w:val="32"/>
          <w:szCs w:val="32"/>
          <w:lang w:val="en-US" w:eastAsia="zh-CN" w:bidi="ar-SA"/>
        </w:rPr>
        <w:t>少先队</w:t>
      </w:r>
      <w:r>
        <w:rPr>
          <w:rFonts w:hint="eastAsia" w:ascii="仿宋_GB2312" w:hAnsi="Times New Roman" w:eastAsia="仿宋_GB2312" w:cs="Times New Roman"/>
          <w:kern w:val="2"/>
          <w:sz w:val="32"/>
          <w:szCs w:val="32"/>
          <w:lang w:val="en-US" w:eastAsia="zh-CN" w:bidi="ar-SA"/>
        </w:rPr>
        <w:t>。</w:t>
      </w:r>
    </w:p>
    <w:p>
      <w:pPr>
        <w:snapToGrid w:val="0"/>
        <w:spacing w:line="52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2、广元市</w:t>
      </w:r>
      <w:r>
        <w:rPr>
          <w:rFonts w:hint="eastAsia" w:ascii="仿宋_GB2312" w:hAnsi="Calibri" w:eastAsia="仿宋_GB2312" w:cs="仿宋"/>
          <w:kern w:val="0"/>
          <w:sz w:val="32"/>
          <w:szCs w:val="32"/>
          <w:lang w:eastAsia="zh-CN"/>
        </w:rPr>
        <w:t>利州区建平</w:t>
      </w:r>
      <w:r>
        <w:rPr>
          <w:rFonts w:hint="eastAsia" w:ascii="仿宋_GB2312" w:hAnsi="Calibri" w:eastAsia="仿宋_GB2312" w:cs="仿宋"/>
          <w:kern w:val="0"/>
          <w:sz w:val="32"/>
          <w:szCs w:val="32"/>
        </w:rPr>
        <w:t>初级中学是区编制委员会命名的独立法人机构，为经费独立核算单位。</w:t>
      </w:r>
    </w:p>
    <w:p>
      <w:pPr>
        <w:widowControl/>
        <w:jc w:val="left"/>
        <w:rPr>
          <w:rStyle w:val="25"/>
          <w:rFonts w:ascii="黑体" w:hAnsi="黑体"/>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rFonts w:hint="eastAsia" w:eastAsia="宋体"/>
          <w:color w:val="auto"/>
          <w:highlight w:val="none"/>
          <w:lang w:eastAsia="zh-CN"/>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425" w:firstLineChars="133"/>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1324.53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36.36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主要变动原因是项目增加、人员变动。</w:t>
      </w:r>
    </w:p>
    <w:p>
      <w:pPr>
        <w:pStyle w:val="2"/>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135255</wp:posOffset>
            </wp:positionV>
            <wp:extent cx="4643120" cy="2279650"/>
            <wp:effectExtent l="4445" t="4445" r="19685" b="20955"/>
            <wp:wrapSquare wrapText="bothSides"/>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pPr>
    </w:p>
    <w:p>
      <w:pPr>
        <w:pStyle w:val="2"/>
      </w:pPr>
    </w:p>
    <w:p>
      <w:pPr>
        <w:pStyle w:val="2"/>
      </w:pPr>
    </w:p>
    <w:p>
      <w:pPr>
        <w:pStyle w:val="2"/>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1226.80</w:t>
      </w:r>
      <w:r>
        <w:rPr>
          <w:rFonts w:hint="eastAsia" w:ascii="仿宋" w:hAnsi="仿宋" w:eastAsia="仿宋"/>
          <w:color w:val="auto"/>
          <w:sz w:val="32"/>
          <w:szCs w:val="32"/>
          <w:highlight w:val="none"/>
        </w:rPr>
        <w:t>万元，其中：一般公共预算财政拨款收入</w:t>
      </w:r>
      <w:bookmarkStart w:id="22" w:name="OLE_LINK1"/>
      <w:r>
        <w:rPr>
          <w:rFonts w:hint="eastAsia" w:ascii="仿宋" w:hAnsi="仿宋" w:eastAsia="仿宋"/>
          <w:color w:val="auto"/>
          <w:sz w:val="32"/>
          <w:szCs w:val="32"/>
          <w:highlight w:val="none"/>
          <w:lang w:val="en-US" w:eastAsia="zh-CN"/>
        </w:rPr>
        <w:t>1226.73</w:t>
      </w:r>
      <w:bookmarkEnd w:id="22"/>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-24765</wp:posOffset>
            </wp:positionH>
            <wp:positionV relativeFrom="paragraph">
              <wp:posOffset>-8001635</wp:posOffset>
            </wp:positionV>
            <wp:extent cx="5256530" cy="3249930"/>
            <wp:effectExtent l="4445" t="4445" r="15875" b="222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ascii="仿宋" w:hAnsi="仿宋" w:eastAsia="仿宋"/>
          <w:color w:val="auto"/>
          <w:sz w:val="32"/>
          <w:szCs w:val="32"/>
          <w:highlight w:val="none"/>
        </w:rPr>
      </w:pP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3" w:name="_Toc15396605"/>
      <w:bookmarkStart w:id="24"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3"/>
      <w:bookmarkEnd w:id="24"/>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1324.53</w:t>
      </w:r>
      <w:r>
        <w:rPr>
          <w:rFonts w:hint="eastAsia" w:ascii="仿宋" w:hAnsi="仿宋" w:eastAsia="仿宋"/>
          <w:color w:val="auto"/>
          <w:sz w:val="32"/>
          <w:szCs w:val="32"/>
          <w:highlight w:val="none"/>
        </w:rPr>
        <w:t>万元，其中：基本支出1159.56万元，占</w:t>
      </w:r>
      <w:r>
        <w:rPr>
          <w:rFonts w:hint="eastAsia" w:ascii="仿宋" w:hAnsi="仿宋" w:eastAsia="仿宋"/>
          <w:color w:val="auto"/>
          <w:sz w:val="32"/>
          <w:szCs w:val="32"/>
          <w:highlight w:val="none"/>
          <w:lang w:val="en-US" w:eastAsia="zh-CN"/>
        </w:rPr>
        <w:t>87.55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；项目支出164.96万元，占</w:t>
      </w:r>
      <w:r>
        <w:rPr>
          <w:rFonts w:hint="eastAsia" w:ascii="仿宋" w:hAnsi="仿宋" w:eastAsia="仿宋"/>
          <w:color w:val="auto"/>
          <w:sz w:val="32"/>
          <w:szCs w:val="32"/>
          <w:highlight w:val="none"/>
          <w:lang w:val="en-US" w:eastAsia="zh-CN"/>
        </w:rPr>
        <w:t>12.45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ascii="仿宋_GB2312" w:eastAsia="仿宋_GB2312"/>
          <w:color w:val="auto"/>
          <w:sz w:val="32"/>
          <w:szCs w:val="32"/>
          <w:highlight w:val="none"/>
        </w:rPr>
      </w:pPr>
      <w:r>
        <w:rPr>
          <w:rFonts w:hint="eastAsia" w:ascii="仿宋" w:hAnsi="仿宋" w:eastAsia="仿宋"/>
          <w:sz w:val="32"/>
          <w:szCs w:val="32"/>
          <w:shd w:val="pct10" w:color="auto" w:fill="FFFFFF"/>
        </w:rPr>
        <w:drawing>
          <wp:anchor distT="0" distB="0" distL="114300" distR="114300" simplePos="0" relativeHeight="251660288" behindDoc="1" locked="0" layoutInCell="1" allowOverlap="1">
            <wp:simplePos x="0" y="0"/>
            <wp:positionH relativeFrom="column">
              <wp:posOffset>-39370</wp:posOffset>
            </wp:positionH>
            <wp:positionV relativeFrom="paragraph">
              <wp:posOffset>175260</wp:posOffset>
            </wp:positionV>
            <wp:extent cx="5183505" cy="2622550"/>
            <wp:effectExtent l="4445" t="4445" r="50800" b="59055"/>
            <wp:wrapTight wrapText="bothSides">
              <wp:wrapPolygon>
                <wp:start x="-19" y="-37"/>
                <wp:lineTo x="-19" y="21459"/>
                <wp:lineTo x="21574" y="21459"/>
                <wp:lineTo x="21574" y="-37"/>
                <wp:lineTo x="-19" y="-3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25" w:name="_Toc15377208"/>
      <w:bookmarkStart w:id="26"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5"/>
      <w:bookmarkEnd w:id="26"/>
    </w:p>
    <w:p>
      <w:pPr>
        <w:spacing w:line="600" w:lineRule="exact"/>
        <w:ind w:firstLine="425" w:firstLineChars="133"/>
        <w:rPr>
          <w:rFonts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1324.45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37.16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2.89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人员变动。</w:t>
      </w:r>
    </w:p>
    <w:p>
      <w:pPr>
        <w:spacing w:line="600" w:lineRule="exact"/>
        <w:ind w:firstLine="64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109220</wp:posOffset>
            </wp:positionH>
            <wp:positionV relativeFrom="paragraph">
              <wp:posOffset>153670</wp:posOffset>
            </wp:positionV>
            <wp:extent cx="4643120" cy="2279650"/>
            <wp:effectExtent l="4445" t="4445" r="19685" b="20955"/>
            <wp:wrapSquare wrapText="bothSides"/>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7" w:name="_Toc15396607"/>
      <w:bookmarkStart w:id="28"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7"/>
      <w:bookmarkEnd w:id="28"/>
    </w:p>
    <w:p>
      <w:pPr>
        <w:spacing w:line="600" w:lineRule="exact"/>
        <w:ind w:firstLine="642" w:firstLineChars="200"/>
        <w:outlineLvl w:val="2"/>
        <w:rPr>
          <w:rFonts w:ascii="仿宋" w:hAnsi="仿宋" w:eastAsia="仿宋"/>
          <w:b/>
          <w:color w:val="auto"/>
          <w:sz w:val="32"/>
          <w:szCs w:val="32"/>
          <w:highlight w:val="none"/>
        </w:rPr>
      </w:pPr>
      <w:bookmarkStart w:id="29" w:name="_Toc15377210"/>
      <w:r>
        <w:rPr>
          <w:rFonts w:hint="eastAsia" w:ascii="仿宋" w:hAnsi="仿宋" w:eastAsia="仿宋"/>
          <w:b/>
          <w:color w:val="auto"/>
          <w:sz w:val="32"/>
          <w:szCs w:val="32"/>
          <w:highlight w:val="none"/>
        </w:rPr>
        <w:t>（一）一般公共预算财政拨款支出决算总体情况</w:t>
      </w:r>
      <w:bookmarkEnd w:id="29"/>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1324.45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134.88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11.34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人员变动</w:t>
      </w:r>
      <w:r>
        <w:rPr>
          <w:rFonts w:hint="eastAsia" w:ascii="仿宋" w:hAnsi="仿宋" w:eastAsia="仿宋"/>
          <w:sz w:val="32"/>
          <w:szCs w:val="32"/>
          <w:lang w:eastAsia="zh-CN"/>
        </w:rPr>
        <w:t>。</w:t>
      </w:r>
    </w:p>
    <w:p>
      <w:pPr>
        <w:spacing w:line="60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394335</wp:posOffset>
            </wp:positionH>
            <wp:positionV relativeFrom="paragraph">
              <wp:posOffset>246380</wp:posOffset>
            </wp:positionV>
            <wp:extent cx="4643120" cy="2279650"/>
            <wp:effectExtent l="4445" t="4445" r="19685" b="20955"/>
            <wp:wrapSquare wrapText="bothSides"/>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30" w:name="_Toc15377211"/>
      <w:r>
        <w:rPr>
          <w:rFonts w:hint="eastAsia" w:ascii="仿宋" w:hAnsi="仿宋" w:eastAsia="仿宋"/>
          <w:b/>
          <w:color w:val="auto"/>
          <w:sz w:val="32"/>
          <w:szCs w:val="32"/>
          <w:highlight w:val="none"/>
        </w:rPr>
        <w:t>（二）一般公共预算财政拨款支出决算结构情况</w:t>
      </w:r>
      <w:bookmarkEnd w:id="3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1324.45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1140.30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80.79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42.77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60.59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1" w:name="_Toc15377212"/>
      <w:r>
        <w:rPr>
          <w:rFonts w:hint="eastAsia" w:ascii="仿宋" w:hAnsi="仿宋" w:eastAsia="仿宋"/>
          <w:b/>
          <w:color w:val="auto"/>
          <w:sz w:val="32"/>
          <w:szCs w:val="32"/>
          <w:highlight w:val="none"/>
        </w:rPr>
        <w:t>（三）一般公共预算财政拨款支出决算具体情况</w:t>
      </w:r>
      <w:bookmarkEnd w:id="31"/>
    </w:p>
    <w:p>
      <w:pPr>
        <w:spacing w:line="600" w:lineRule="exact"/>
        <w:ind w:firstLine="642" w:firstLineChars="200"/>
        <w:outlineLvl w:val="2"/>
        <w:rPr>
          <w:rFonts w:ascii="仿宋" w:hAnsi="仿宋" w:eastAsia="仿宋"/>
          <w:color w:val="auto"/>
          <w:sz w:val="32"/>
          <w:szCs w:val="32"/>
          <w:highlight w:val="none"/>
        </w:rPr>
      </w:pPr>
      <w:bookmarkStart w:id="32" w:name="_Toc15377444"/>
      <w:bookmarkStart w:id="33" w:name="_Toc15378460"/>
      <w:bookmarkStart w:id="34"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1324.45</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2"/>
      <w:bookmarkEnd w:id="33"/>
      <w:bookmarkEnd w:id="34"/>
    </w:p>
    <w:p>
      <w:pPr>
        <w:pStyle w:val="2"/>
        <w:spacing w:before="93"/>
        <w:ind w:firstLine="426" w:firstLineChars="142"/>
      </w:pPr>
      <w:r>
        <w:rPr>
          <w:rFonts w:hint="eastAsia"/>
        </w:rPr>
        <w:t>1.教育（类）普通教育（款）小学教育（项）:支出决算为</w:t>
      </w:r>
      <w:r>
        <w:rPr>
          <w:rFonts w:hint="eastAsia"/>
          <w:lang w:val="en-US" w:eastAsia="zh-CN"/>
        </w:rPr>
        <w:t>250.88</w:t>
      </w:r>
      <w:r>
        <w:rPr>
          <w:rFonts w:hint="eastAsia"/>
        </w:rPr>
        <w:t>万元，完成预算100%。</w:t>
      </w:r>
    </w:p>
    <w:p>
      <w:pPr>
        <w:pStyle w:val="2"/>
        <w:spacing w:before="93"/>
        <w:ind w:firstLine="426" w:firstLineChars="142"/>
      </w:pPr>
      <w:r>
        <w:rPr>
          <w:rFonts w:hint="eastAsia"/>
        </w:rPr>
        <w:t>2.教育（类）普通教育（款）初中教育（项）:支出决算为</w:t>
      </w:r>
      <w:r>
        <w:rPr>
          <w:rFonts w:hint="eastAsia"/>
          <w:lang w:val="en-US" w:eastAsia="zh-CN"/>
        </w:rPr>
        <w:t>887.42</w:t>
      </w:r>
      <w:r>
        <w:rPr>
          <w:rFonts w:hint="eastAsia"/>
        </w:rPr>
        <w:t>万元，完成预算</w:t>
      </w:r>
      <w:r>
        <w:rPr>
          <w:rFonts w:hint="eastAsia"/>
          <w:lang w:val="en-US" w:eastAsia="zh-CN"/>
        </w:rPr>
        <w:t>100</w:t>
      </w:r>
      <w:r>
        <w:rPr>
          <w:rFonts w:hint="eastAsia"/>
        </w:rPr>
        <w:t>%。</w:t>
      </w:r>
    </w:p>
    <w:p>
      <w:pPr>
        <w:pStyle w:val="2"/>
        <w:spacing w:before="93"/>
        <w:ind w:firstLine="426" w:firstLineChars="142"/>
      </w:pPr>
      <w:r>
        <w:rPr>
          <w:rFonts w:hint="eastAsia"/>
        </w:rPr>
        <w:t>3.教育（类）普通教育（款）其他普通教育支出（项）:支出决算为</w:t>
      </w:r>
      <w:r>
        <w:rPr>
          <w:rFonts w:hint="eastAsia"/>
          <w:lang w:val="en-US" w:eastAsia="zh-CN"/>
        </w:rPr>
        <w:t>2.00</w:t>
      </w:r>
      <w:r>
        <w:rPr>
          <w:rFonts w:hint="eastAsia"/>
        </w:rPr>
        <w:t>万元，完成预算100%。</w:t>
      </w:r>
    </w:p>
    <w:p>
      <w:pPr>
        <w:pStyle w:val="2"/>
        <w:spacing w:before="93"/>
        <w:ind w:firstLine="426" w:firstLineChars="142"/>
      </w:pPr>
      <w:r>
        <w:rPr>
          <w:rFonts w:hint="eastAsia"/>
        </w:rPr>
        <w:t>4.社会保障和就业（类）行政事业单位养老支出（款）机关事业单位基本养老保险缴费支出（项）:支出决算为</w:t>
      </w:r>
      <w:r>
        <w:rPr>
          <w:rFonts w:hint="eastAsia"/>
          <w:lang w:val="en-US" w:eastAsia="zh-CN"/>
        </w:rPr>
        <w:t>80.80</w:t>
      </w:r>
      <w:r>
        <w:rPr>
          <w:rFonts w:hint="eastAsia"/>
        </w:rPr>
        <w:t>万元，完成预算100%。</w:t>
      </w:r>
    </w:p>
    <w:p>
      <w:pPr>
        <w:pStyle w:val="2"/>
        <w:spacing w:before="93"/>
        <w:ind w:firstLine="426" w:firstLineChars="142"/>
        <w:rPr>
          <w:rFonts w:hint="eastAsia"/>
        </w:rPr>
      </w:pPr>
      <w:r>
        <w:rPr>
          <w:rFonts w:hint="eastAsia"/>
        </w:rPr>
        <w:t>5.社会保障和就业（类）行政事业单位医疗（款）事业单位医疗（项）:支出决算为</w:t>
      </w:r>
      <w:r>
        <w:rPr>
          <w:rFonts w:hint="eastAsia"/>
          <w:lang w:val="en-US" w:eastAsia="zh-CN"/>
        </w:rPr>
        <w:t>42.77</w:t>
      </w:r>
      <w:r>
        <w:rPr>
          <w:rFonts w:hint="eastAsia"/>
        </w:rPr>
        <w:t>万元，完成预算</w:t>
      </w:r>
      <w:r>
        <w:rPr>
          <w:rFonts w:hint="eastAsia"/>
          <w:lang w:val="en-US" w:eastAsia="zh-CN"/>
        </w:rPr>
        <w:t>100</w:t>
      </w:r>
      <w:r>
        <w:rPr>
          <w:rFonts w:hint="eastAsia"/>
        </w:rPr>
        <w:t>%。</w:t>
      </w:r>
    </w:p>
    <w:p>
      <w:pPr>
        <w:pStyle w:val="2"/>
        <w:spacing w:before="93"/>
        <w:ind w:firstLine="426" w:firstLineChars="142"/>
        <w:rPr>
          <w:rFonts w:ascii="仿宋" w:hAnsi="仿宋" w:eastAsia="仿宋"/>
          <w:b/>
          <w:color w:val="auto"/>
          <w:sz w:val="32"/>
          <w:szCs w:val="32"/>
          <w:highlight w:val="none"/>
        </w:rPr>
      </w:pPr>
      <w:r>
        <w:rPr>
          <w:rFonts w:hint="eastAsia"/>
          <w:lang w:val="en-US" w:eastAsia="zh-CN"/>
        </w:rPr>
        <w:t>6.住房保障支出</w:t>
      </w:r>
      <w:r>
        <w:rPr>
          <w:rFonts w:hint="eastAsia"/>
        </w:rPr>
        <w:t>（类）住房改革支出（款） 住房公积金（项）:支出决算为</w:t>
      </w:r>
      <w:r>
        <w:rPr>
          <w:rFonts w:hint="eastAsia"/>
          <w:lang w:val="en-US" w:eastAsia="zh-CN"/>
        </w:rPr>
        <w:t>60.59</w:t>
      </w:r>
      <w:r>
        <w:rPr>
          <w:rFonts w:hint="eastAsia"/>
        </w:rPr>
        <w:t>万元，完成预算</w:t>
      </w:r>
      <w:r>
        <w:rPr>
          <w:rFonts w:hint="eastAsia"/>
          <w:lang w:val="en-US" w:eastAsia="zh-CN"/>
        </w:rPr>
        <w:t>100</w:t>
      </w:r>
      <w:r>
        <w:rPr>
          <w:rFonts w:hint="eastAsia"/>
        </w:rPr>
        <w:t>%。</w:t>
      </w:r>
    </w:p>
    <w:p>
      <w:pPr>
        <w:tabs>
          <w:tab w:val="right" w:pos="8306"/>
        </w:tabs>
        <w:spacing w:line="600" w:lineRule="exact"/>
        <w:ind w:firstLine="640"/>
        <w:outlineLvl w:val="1"/>
        <w:rPr>
          <w:rStyle w:val="26"/>
          <w:color w:val="auto"/>
          <w:highlight w:val="none"/>
        </w:rPr>
      </w:pPr>
      <w:bookmarkStart w:id="35" w:name="_Toc15377214"/>
      <w:bookmarkStart w:id="36"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5"/>
      <w:bookmarkEnd w:id="36"/>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1159.49</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1050.62</w:t>
      </w:r>
      <w:r>
        <w:rPr>
          <w:rFonts w:hint="eastAsia" w:ascii="仿宋" w:hAnsi="仿宋" w:eastAsia="仿宋"/>
          <w:color w:val="auto"/>
          <w:sz w:val="32"/>
          <w:szCs w:val="32"/>
          <w:highlight w:val="none"/>
        </w:rPr>
        <w:t>万元，主要包括：基本工资、津贴补贴、伙食补助费、绩效工资、机关事业单位基本养老保险缴费、职业年金缴费、其他社会保障缴费、其他工资福利支出、退休费、抚恤金、生活补助、医疗费补助、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108.87</w:t>
      </w:r>
      <w:r>
        <w:rPr>
          <w:rFonts w:hint="eastAsia" w:ascii="仿宋" w:hAnsi="仿宋" w:eastAsia="仿宋"/>
          <w:color w:val="auto"/>
          <w:sz w:val="32"/>
          <w:szCs w:val="32"/>
          <w:highlight w:val="none"/>
        </w:rPr>
        <w:t>万元，主要包括：办公费、印刷费、手续费、水费、电费、邮电费、差旅费、维修（护）费、租赁费、会议费、培训费、劳务费、工会经费、福利费、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auto"/>
          <w:highlight w:val="none"/>
        </w:rPr>
      </w:pPr>
      <w:bookmarkStart w:id="37" w:name="_Toc15377215"/>
      <w:bookmarkStart w:id="38"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7"/>
      <w:bookmarkEnd w:id="38"/>
    </w:p>
    <w:p>
      <w:pPr>
        <w:spacing w:line="600" w:lineRule="exact"/>
        <w:ind w:firstLine="640"/>
        <w:outlineLvl w:val="2"/>
        <w:rPr>
          <w:rFonts w:ascii="仿宋" w:hAnsi="仿宋" w:eastAsia="仿宋"/>
          <w:b/>
          <w:color w:val="auto"/>
          <w:sz w:val="32"/>
          <w:szCs w:val="32"/>
          <w:highlight w:val="none"/>
        </w:rPr>
      </w:pPr>
      <w:bookmarkStart w:id="39" w:name="_Toc15377216"/>
      <w:r>
        <w:rPr>
          <w:rFonts w:hint="eastAsia" w:ascii="仿宋" w:hAnsi="仿宋" w:eastAsia="仿宋"/>
          <w:b/>
          <w:color w:val="auto"/>
          <w:sz w:val="32"/>
          <w:szCs w:val="32"/>
          <w:highlight w:val="none"/>
        </w:rPr>
        <w:t>（一）“三公”经费财政拨款支出决算总体情况说明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0.00万元，增长0.00%。</w:t>
      </w:r>
    </w:p>
    <w:p>
      <w:pPr>
        <w:spacing w:line="600" w:lineRule="exact"/>
        <w:ind w:firstLine="640"/>
        <w:outlineLvl w:val="2"/>
        <w:rPr>
          <w:rFonts w:ascii="仿宋" w:hAnsi="仿宋" w:eastAsia="仿宋"/>
          <w:b/>
          <w:color w:val="auto"/>
          <w:sz w:val="32"/>
          <w:szCs w:val="32"/>
          <w:highlight w:val="none"/>
        </w:rPr>
      </w:pPr>
      <w:bookmarkStart w:id="40" w:name="_Toc15377217"/>
      <w:r>
        <w:rPr>
          <w:rFonts w:hint="eastAsia" w:ascii="仿宋" w:hAnsi="仿宋" w:eastAsia="仿宋"/>
          <w:b/>
          <w:color w:val="auto"/>
          <w:sz w:val="32"/>
          <w:szCs w:val="32"/>
          <w:highlight w:val="none"/>
        </w:rPr>
        <w:t>（二）“三公”经费财政拨款支出决算具体情况说明</w:t>
      </w:r>
      <w:bookmarkEnd w:id="4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426"/>
        <w:rPr>
          <w:rFonts w:hint="eastAsia" w:ascii="仿宋_GB2312" w:eastAsia="仿宋"/>
          <w:b/>
          <w:sz w:val="32"/>
          <w:szCs w:val="32"/>
          <w:lang w:eastAsia="zh-CN"/>
        </w:rPr>
      </w:pPr>
      <w:bookmarkStart w:id="41" w:name="_Toc15377218"/>
      <w:bookmarkStart w:id="42" w:name="_Toc15396610"/>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年相比，增加</w:t>
      </w:r>
      <w:r>
        <w:rPr>
          <w:rFonts w:hint="eastAsia" w:ascii="仿宋" w:hAnsi="仿宋" w:eastAsia="仿宋"/>
          <w:sz w:val="32"/>
          <w:szCs w:val="32"/>
          <w:lang w:val="en-US" w:eastAsia="zh-CN"/>
        </w:rPr>
        <w:t>0.00</w:t>
      </w:r>
      <w:r>
        <w:rPr>
          <w:rFonts w:hint="eastAsia" w:ascii="仿宋" w:hAnsi="仿宋" w:eastAsia="仿宋"/>
          <w:sz w:val="32"/>
          <w:szCs w:val="32"/>
        </w:rPr>
        <w:t>万元，增长</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424" w:firstLineChars="132"/>
        <w:rPr>
          <w:rFonts w:hint="eastAsia" w:ascii="仿宋_GB2312" w:eastAsia="仿宋_GB2312"/>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Fonts w:hint="eastAsia" w:ascii="仿宋_GB2312" w:eastAsia="仿宋_GB2312"/>
          <w:sz w:val="32"/>
          <w:szCs w:val="32"/>
        </w:rPr>
        <w:t>。全年按规定更新购置公务用车0辆</w:t>
      </w:r>
      <w:r>
        <w:rPr>
          <w:rFonts w:hint="eastAsia" w:ascii="仿宋_GB2312" w:eastAsia="仿宋_GB2312"/>
          <w:sz w:val="32"/>
          <w:szCs w:val="32"/>
          <w:lang w:eastAsia="zh-CN"/>
        </w:rPr>
        <w:t>。</w:t>
      </w:r>
    </w:p>
    <w:p>
      <w:pPr>
        <w:spacing w:line="600" w:lineRule="exact"/>
        <w:ind w:firstLine="426"/>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w:t>
      </w:r>
    </w:p>
    <w:p>
      <w:pPr>
        <w:spacing w:line="600" w:lineRule="exact"/>
        <w:ind w:firstLine="424" w:firstLineChars="132"/>
        <w:rPr>
          <w:rFonts w:ascii="黑体" w:eastAsia="黑体"/>
          <w:color w:val="auto"/>
          <w:sz w:val="32"/>
          <w:szCs w:val="32"/>
          <w:highlight w:val="none"/>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1"/>
      <w:bookmarkEnd w:id="4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3" w:name="_Toc15396611"/>
      <w:bookmarkStart w:id="44" w:name="_Toc15377219"/>
      <w:r>
        <w:rPr>
          <w:rStyle w:val="26"/>
          <w:rFonts w:hint="eastAsia" w:ascii="黑体" w:hAnsi="黑体" w:eastAsia="黑体"/>
          <w:b w:val="0"/>
          <w:color w:val="auto"/>
          <w:highlight w:val="none"/>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5" w:name="_Toc15377221"/>
      <w:bookmarkStart w:id="46" w:name="_Toc15396612"/>
      <w:r>
        <w:rPr>
          <w:rStyle w:val="26"/>
          <w:rFonts w:hint="eastAsia" w:ascii="黑体" w:hAnsi="黑体" w:eastAsia="黑体"/>
          <w:b w:val="0"/>
          <w:color w:val="auto"/>
          <w:highlight w:val="none"/>
        </w:rPr>
        <w:t>其他重要事项的情况说明</w:t>
      </w:r>
      <w:bookmarkEnd w:id="45"/>
      <w:bookmarkEnd w:id="46"/>
    </w:p>
    <w:p>
      <w:pPr>
        <w:spacing w:line="600" w:lineRule="exact"/>
        <w:ind w:firstLine="642" w:firstLineChars="200"/>
        <w:outlineLvl w:val="2"/>
        <w:rPr>
          <w:rFonts w:ascii="仿宋" w:hAnsi="仿宋" w:eastAsia="仿宋"/>
          <w:color w:val="auto"/>
          <w:sz w:val="32"/>
          <w:szCs w:val="32"/>
          <w:highlight w:val="none"/>
        </w:rPr>
      </w:pPr>
      <w:bookmarkStart w:id="47" w:name="_Toc15377222"/>
      <w:r>
        <w:rPr>
          <w:rFonts w:hint="eastAsia" w:ascii="仿宋" w:hAnsi="仿宋" w:eastAsia="仿宋"/>
          <w:b/>
          <w:color w:val="auto"/>
          <w:sz w:val="32"/>
          <w:szCs w:val="32"/>
          <w:highlight w:val="none"/>
        </w:rPr>
        <w:t>（一）机关运行经费支出情况</w:t>
      </w:r>
      <w:bookmarkEnd w:id="47"/>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sz w:val="32"/>
          <w:szCs w:val="32"/>
        </w:rPr>
        <w:t>建平初级中学运行经费支出0</w:t>
      </w:r>
      <w:r>
        <w:rPr>
          <w:rFonts w:hint="eastAsia" w:ascii="仿宋_GB2312" w:eastAsia="仿宋_GB2312"/>
          <w:sz w:val="32"/>
          <w:szCs w:val="32"/>
          <w:lang w:val="en-US" w:eastAsia="zh-CN"/>
        </w:rPr>
        <w:t>.00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20年增加0</w:t>
      </w:r>
      <w:r>
        <w:rPr>
          <w:rFonts w:hint="eastAsia" w:ascii="仿宋_GB2312" w:eastAsia="仿宋_GB2312"/>
          <w:sz w:val="32"/>
          <w:szCs w:val="32"/>
          <w:lang w:val="en-US" w:eastAsia="zh-CN"/>
        </w:rPr>
        <w:t>.00</w:t>
      </w:r>
      <w:r>
        <w:rPr>
          <w:rFonts w:hint="eastAsia" w:ascii="仿宋_GB2312" w:eastAsia="仿宋_GB2312"/>
          <w:sz w:val="32"/>
          <w:szCs w:val="32"/>
        </w:rPr>
        <w:t>万元，增长0</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3"/>
      <w:r>
        <w:rPr>
          <w:rFonts w:hint="eastAsia" w:ascii="仿宋" w:hAnsi="仿宋" w:eastAsia="仿宋"/>
          <w:b/>
          <w:color w:val="auto"/>
          <w:sz w:val="32"/>
          <w:szCs w:val="32"/>
          <w:highlight w:val="none"/>
        </w:rPr>
        <w:t>（二）政府采购支出情况</w:t>
      </w:r>
      <w:bookmarkEnd w:id="48"/>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themeColor="text1"/>
          <w:sz w:val="32"/>
          <w:szCs w:val="32"/>
          <w14:textFill>
            <w14:solidFill>
              <w14:schemeClr w14:val="tx1"/>
            </w14:solidFill>
          </w14:textFill>
        </w:rPr>
        <w:t>建平初级中学政府采购支出总额0.00万元</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9" w:name="_Toc15377224"/>
      <w:r>
        <w:rPr>
          <w:rFonts w:hint="eastAsia" w:ascii="仿宋" w:hAnsi="仿宋" w:eastAsia="仿宋"/>
          <w:b/>
          <w:color w:val="auto"/>
          <w:sz w:val="32"/>
          <w:szCs w:val="32"/>
          <w:highlight w:val="none"/>
        </w:rPr>
        <w:t>（三）国有资产占有使用情况</w:t>
      </w:r>
      <w:bookmarkEnd w:id="4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sz w:val="32"/>
          <w:szCs w:val="32"/>
        </w:rPr>
        <w:t>建平初级中学共有车辆0辆</w:t>
      </w:r>
      <w:r>
        <w:rPr>
          <w:rFonts w:hint="eastAsia" w:ascii="仿宋_GB2312" w:eastAsia="仿宋_GB2312"/>
          <w:sz w:val="32"/>
          <w:szCs w:val="32"/>
          <w:lang w:eastAsia="zh-CN"/>
        </w:rPr>
        <w:t>。</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营养餐改善计划、热水澡工程运行维护</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50" w:name="_Toc15377225"/>
      <w:bookmarkStart w:id="51"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0"/>
      <w:bookmarkEnd w:id="51"/>
    </w:p>
    <w:p>
      <w:pPr>
        <w:spacing w:line="600" w:lineRule="exact"/>
        <w:jc w:val="left"/>
        <w:rPr>
          <w:rFonts w:ascii="宋体"/>
          <w:b/>
          <w:color w:val="auto"/>
          <w:sz w:val="44"/>
          <w:szCs w:val="44"/>
          <w:highlight w:val="none"/>
        </w:rPr>
      </w:pPr>
    </w:p>
    <w:p>
      <w:pPr>
        <w:pStyle w:val="23"/>
        <w:snapToGrid w:val="0"/>
        <w:spacing w:line="560" w:lineRule="exact"/>
        <w:ind w:firstLine="640" w:firstLineChars="200"/>
        <w:outlineLvl w:val="1"/>
        <w:rPr>
          <w:rFonts w:ascii="仿宋_GB2312" w:eastAsia="仿宋_GB2312"/>
          <w:color w:val="auto"/>
          <w:sz w:val="32"/>
          <w:szCs w:val="32"/>
        </w:rPr>
      </w:pPr>
      <w:bookmarkStart w:id="52" w:name="_Toc5536"/>
      <w:bookmarkStart w:id="53" w:name="_Toc3288"/>
      <w:bookmarkStart w:id="54" w:name="_Toc15680"/>
      <w:bookmarkStart w:id="55" w:name="_Toc15377226"/>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2"/>
      <w:bookmarkEnd w:id="53"/>
      <w:bookmarkEnd w:id="54"/>
    </w:p>
    <w:p>
      <w:pPr>
        <w:pStyle w:val="23"/>
        <w:snapToGrid w:val="0"/>
        <w:spacing w:line="560" w:lineRule="exact"/>
        <w:ind w:firstLine="640" w:firstLineChars="200"/>
        <w:outlineLvl w:val="1"/>
        <w:rPr>
          <w:rFonts w:ascii="仿宋_GB2312" w:eastAsia="仿宋_GB2312"/>
          <w:color w:val="auto"/>
          <w:sz w:val="32"/>
          <w:szCs w:val="32"/>
        </w:rPr>
      </w:pPr>
      <w:bookmarkStart w:id="56" w:name="_Toc6452"/>
      <w:bookmarkStart w:id="57" w:name="_Toc8473"/>
      <w:bookmarkStart w:id="58" w:name="_Toc18447"/>
      <w:r>
        <w:rPr>
          <w:rFonts w:hint="eastAsia" w:ascii="仿宋_GB2312" w:eastAsia="仿宋_GB2312"/>
          <w:color w:val="auto"/>
          <w:sz w:val="32"/>
          <w:szCs w:val="32"/>
        </w:rPr>
        <w:t>2.事业收入：指事业单位开展专业业务活动及辅助活动取得的收入。</w:t>
      </w:r>
      <w:bookmarkEnd w:id="56"/>
      <w:bookmarkEnd w:id="57"/>
      <w:bookmarkEnd w:id="58"/>
    </w:p>
    <w:p>
      <w:pPr>
        <w:pStyle w:val="23"/>
        <w:snapToGrid w:val="0"/>
        <w:spacing w:line="560" w:lineRule="exact"/>
        <w:ind w:firstLine="640" w:firstLineChars="200"/>
        <w:outlineLvl w:val="2"/>
        <w:rPr>
          <w:rFonts w:ascii="仿宋_GB2312" w:eastAsia="仿宋_GB2312"/>
          <w:color w:val="auto"/>
          <w:sz w:val="32"/>
          <w:szCs w:val="32"/>
        </w:rPr>
      </w:pPr>
      <w:bookmarkStart w:id="59" w:name="_Toc14375"/>
      <w:r>
        <w:rPr>
          <w:rFonts w:hint="eastAsia" w:ascii="仿宋_GB2312" w:eastAsia="仿宋_GB2312"/>
          <w:color w:val="auto"/>
          <w:sz w:val="32"/>
          <w:szCs w:val="32"/>
        </w:rPr>
        <w:t>3.经营收入：指事业单位在专业业务活动及其辅助活动之外开展非独立核算经营活动取得的收入。。</w:t>
      </w:r>
      <w:bookmarkEnd w:id="59"/>
    </w:p>
    <w:p>
      <w:pPr>
        <w:pStyle w:val="23"/>
        <w:snapToGrid w:val="0"/>
        <w:spacing w:line="560" w:lineRule="exact"/>
        <w:ind w:firstLine="640" w:firstLineChars="200"/>
        <w:outlineLvl w:val="2"/>
        <w:rPr>
          <w:rFonts w:ascii="仿宋_GB2312" w:eastAsia="仿宋_GB2312"/>
          <w:color w:val="auto"/>
          <w:sz w:val="32"/>
          <w:szCs w:val="32"/>
        </w:rPr>
      </w:pPr>
      <w:bookmarkStart w:id="60" w:name="_Toc21622"/>
      <w:r>
        <w:rPr>
          <w:rFonts w:hint="eastAsia" w:ascii="仿宋_GB2312" w:eastAsia="仿宋_GB2312"/>
          <w:color w:val="auto"/>
          <w:sz w:val="32"/>
          <w:szCs w:val="32"/>
        </w:rPr>
        <w:t>4.其他收入：指单位取得的除上述收入以外的各项收入。主要是学前教育保育教育费收入、银行存款利息收入等。</w:t>
      </w:r>
      <w:bookmarkEnd w:id="60"/>
      <w:r>
        <w:rPr>
          <w:rFonts w:hint="eastAsia" w:ascii="仿宋_GB2312" w:eastAsia="仿宋_GB2312"/>
          <w:color w:val="auto"/>
          <w:sz w:val="32"/>
          <w:szCs w:val="32"/>
        </w:rPr>
        <w:t xml:space="preserve"> </w:t>
      </w:r>
    </w:p>
    <w:p>
      <w:pPr>
        <w:pStyle w:val="23"/>
        <w:snapToGrid w:val="0"/>
        <w:spacing w:line="560" w:lineRule="exact"/>
        <w:ind w:firstLine="640" w:firstLineChars="200"/>
        <w:outlineLvl w:val="2"/>
        <w:rPr>
          <w:rFonts w:ascii="仿宋_GB2312" w:eastAsia="仿宋_GB2312"/>
          <w:color w:val="auto"/>
          <w:sz w:val="32"/>
          <w:szCs w:val="32"/>
        </w:rPr>
      </w:pPr>
      <w:bookmarkStart w:id="61" w:name="_Toc1105"/>
      <w:r>
        <w:rPr>
          <w:rFonts w:hint="eastAsia" w:ascii="仿宋_GB2312" w:eastAsia="仿宋_GB2312"/>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61"/>
      <w:r>
        <w:rPr>
          <w:rFonts w:hint="eastAsia" w:ascii="仿宋_GB2312" w:eastAsia="仿宋_GB2312"/>
          <w:color w:val="auto"/>
          <w:sz w:val="32"/>
          <w:szCs w:val="32"/>
        </w:rPr>
        <w:t xml:space="preserve"> </w:t>
      </w:r>
    </w:p>
    <w:p>
      <w:pPr>
        <w:pStyle w:val="23"/>
        <w:snapToGrid w:val="0"/>
        <w:spacing w:line="560" w:lineRule="exact"/>
        <w:ind w:firstLine="640" w:firstLineChars="200"/>
        <w:outlineLvl w:val="1"/>
        <w:rPr>
          <w:rFonts w:ascii="仿宋_GB2312" w:eastAsia="仿宋_GB2312"/>
          <w:color w:val="auto"/>
          <w:sz w:val="32"/>
          <w:szCs w:val="32"/>
        </w:rPr>
      </w:pPr>
      <w:bookmarkStart w:id="62" w:name="_Toc10972"/>
      <w:bookmarkStart w:id="63" w:name="_Toc8656"/>
      <w:bookmarkStart w:id="64" w:name="_Toc20496"/>
      <w:r>
        <w:rPr>
          <w:rFonts w:hint="eastAsia" w:ascii="仿宋_GB2312" w:eastAsia="仿宋_GB2312"/>
          <w:color w:val="auto"/>
          <w:sz w:val="32"/>
          <w:szCs w:val="32"/>
        </w:rPr>
        <w:t>6.年初结转和结余：指以前年度尚未完成、结转到本年按有关规定继续使用的资金。</w:t>
      </w:r>
      <w:bookmarkEnd w:id="62"/>
      <w:bookmarkEnd w:id="63"/>
      <w:bookmarkEnd w:id="64"/>
    </w:p>
    <w:p>
      <w:pPr>
        <w:pStyle w:val="23"/>
        <w:snapToGrid w:val="0"/>
        <w:spacing w:line="560" w:lineRule="exact"/>
        <w:ind w:firstLine="640" w:firstLineChars="200"/>
        <w:outlineLvl w:val="2"/>
        <w:rPr>
          <w:rFonts w:ascii="仿宋_GB2312" w:eastAsia="仿宋_GB2312"/>
          <w:color w:val="auto"/>
          <w:sz w:val="32"/>
          <w:szCs w:val="32"/>
        </w:rPr>
      </w:pPr>
      <w:bookmarkStart w:id="65" w:name="_Toc1939"/>
      <w:r>
        <w:rPr>
          <w:rFonts w:hint="eastAsia" w:ascii="仿宋_GB2312" w:eastAsia="仿宋_GB2312"/>
          <w:color w:val="auto"/>
          <w:sz w:val="32"/>
          <w:szCs w:val="32"/>
        </w:rPr>
        <w:t>7.结余分配：指事业单位按照事业单位会计制度的规定从非财政补助结余中分配的事业基金和职工福利基金等。</w:t>
      </w:r>
      <w:bookmarkEnd w:id="65"/>
    </w:p>
    <w:p>
      <w:pPr>
        <w:pStyle w:val="23"/>
        <w:snapToGrid w:val="0"/>
        <w:spacing w:line="560" w:lineRule="exact"/>
        <w:ind w:firstLine="640" w:firstLineChars="200"/>
        <w:outlineLvl w:val="1"/>
        <w:rPr>
          <w:rFonts w:ascii="仿宋_GB2312" w:eastAsia="仿宋_GB2312"/>
          <w:color w:val="auto"/>
          <w:sz w:val="32"/>
          <w:szCs w:val="32"/>
        </w:rPr>
      </w:pPr>
      <w:bookmarkStart w:id="66" w:name="_Toc17823"/>
      <w:bookmarkStart w:id="67" w:name="_Toc1650"/>
      <w:bookmarkStart w:id="68" w:name="_Toc26707"/>
      <w:r>
        <w:rPr>
          <w:rFonts w:hint="eastAsia" w:ascii="仿宋_GB2312" w:eastAsia="仿宋_GB2312"/>
          <w:color w:val="auto"/>
          <w:sz w:val="32"/>
          <w:szCs w:val="32"/>
        </w:rPr>
        <w:t>8、年末结转和结余：指单位按有关规定结转到下年或以后年度继续使用的资金。</w:t>
      </w:r>
      <w:bookmarkEnd w:id="66"/>
      <w:bookmarkEnd w:id="67"/>
      <w:bookmarkEnd w:id="68"/>
    </w:p>
    <w:p>
      <w:pPr>
        <w:pStyle w:val="23"/>
        <w:snapToGrid w:val="0"/>
        <w:spacing w:line="560" w:lineRule="exact"/>
        <w:ind w:firstLine="640" w:firstLineChars="200"/>
        <w:outlineLvl w:val="2"/>
        <w:rPr>
          <w:rFonts w:ascii="仿宋_GB2312" w:eastAsia="仿宋_GB2312"/>
          <w:color w:val="auto"/>
          <w:sz w:val="32"/>
          <w:szCs w:val="32"/>
        </w:rPr>
      </w:pPr>
      <w:bookmarkStart w:id="69" w:name="_Toc15835"/>
      <w:r>
        <w:rPr>
          <w:rFonts w:hint="eastAsia" w:ascii="仿宋_GB2312" w:eastAsia="仿宋_GB2312"/>
          <w:color w:val="auto"/>
          <w:sz w:val="32"/>
          <w:szCs w:val="32"/>
          <w:lang w:val="en-US" w:eastAsia="zh-CN"/>
        </w:rPr>
        <w:t>9</w:t>
      </w:r>
      <w:r>
        <w:rPr>
          <w:rFonts w:hint="eastAsia" w:ascii="仿宋_GB2312" w:eastAsia="仿宋_GB2312"/>
          <w:color w:val="auto"/>
          <w:sz w:val="32"/>
          <w:szCs w:val="32"/>
        </w:rPr>
        <w:t>. 教育支出（类）普通教育（款）小学教育（项）:反映各部门举办的小学教育支出。政府各部门对社会中介组织等举办的小学的资助，如各类捐赠、补贴等，也在本科目中反映。</w:t>
      </w:r>
      <w:bookmarkEnd w:id="69"/>
    </w:p>
    <w:p>
      <w:pPr>
        <w:pStyle w:val="23"/>
        <w:snapToGrid w:val="0"/>
        <w:spacing w:line="560" w:lineRule="exact"/>
        <w:ind w:firstLine="640" w:firstLineChars="200"/>
        <w:outlineLvl w:val="2"/>
        <w:rPr>
          <w:rFonts w:ascii="仿宋_GB2312" w:eastAsia="仿宋_GB2312"/>
          <w:color w:val="auto"/>
          <w:sz w:val="32"/>
          <w:szCs w:val="32"/>
        </w:rPr>
      </w:pPr>
      <w:bookmarkStart w:id="70" w:name="_Toc10966"/>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 教育支出（类）普通教育（款）初中教育（项）: 反映各部门举办的初中教育支出。政府各部门对社会中介组织等举办的初中教育的资助，如捐赠、补贴等，也在本科目中反映。</w:t>
      </w:r>
      <w:bookmarkEnd w:id="70"/>
    </w:p>
    <w:p>
      <w:pPr>
        <w:pStyle w:val="23"/>
        <w:snapToGrid w:val="0"/>
        <w:spacing w:line="560" w:lineRule="exact"/>
        <w:ind w:firstLine="640" w:firstLineChars="200"/>
        <w:outlineLvl w:val="2"/>
        <w:rPr>
          <w:rFonts w:ascii="仿宋_GB2312" w:eastAsia="仿宋_GB2312"/>
          <w:color w:val="auto"/>
          <w:sz w:val="32"/>
          <w:szCs w:val="32"/>
        </w:rPr>
      </w:pPr>
      <w:bookmarkStart w:id="71" w:name="_Toc12355"/>
      <w:r>
        <w:rPr>
          <w:rFonts w:hint="eastAsia" w:ascii="仿宋_GB2312" w:eastAsia="仿宋_GB2312"/>
          <w:color w:val="auto"/>
          <w:sz w:val="32"/>
          <w:szCs w:val="32"/>
          <w:lang w:val="en-US" w:eastAsia="zh-CN"/>
        </w:rPr>
        <w:t>11</w:t>
      </w:r>
      <w:r>
        <w:rPr>
          <w:rFonts w:hint="eastAsia" w:ascii="仿宋_GB2312" w:eastAsia="仿宋_GB2312"/>
          <w:color w:val="auto"/>
          <w:sz w:val="32"/>
          <w:szCs w:val="32"/>
        </w:rPr>
        <w:t>. 教育支出（类）普通教育（款）其它普通教育（项）: 反映除上述项目以外其他用于普通教育方面的支出。</w:t>
      </w:r>
      <w:bookmarkEnd w:id="71"/>
    </w:p>
    <w:p>
      <w:pPr>
        <w:pStyle w:val="23"/>
        <w:snapToGrid w:val="0"/>
        <w:spacing w:line="560" w:lineRule="exact"/>
        <w:ind w:firstLine="640" w:firstLineChars="200"/>
        <w:outlineLvl w:val="2"/>
        <w:rPr>
          <w:rFonts w:ascii="仿宋_GB2312" w:eastAsia="仿宋_GB2312"/>
          <w:color w:val="auto"/>
          <w:sz w:val="32"/>
          <w:szCs w:val="32"/>
        </w:rPr>
      </w:pPr>
      <w:bookmarkStart w:id="72" w:name="_Toc17445"/>
      <w:r>
        <w:rPr>
          <w:rFonts w:hint="eastAsia" w:ascii="仿宋_GB2312" w:eastAsia="仿宋_GB2312"/>
          <w:color w:val="auto"/>
          <w:sz w:val="32"/>
          <w:szCs w:val="32"/>
          <w:lang w:val="en-US" w:eastAsia="zh-CN"/>
        </w:rPr>
        <w:t>12</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bookmarkEnd w:id="72"/>
    </w:p>
    <w:p>
      <w:pPr>
        <w:pStyle w:val="23"/>
        <w:snapToGrid w:val="0"/>
        <w:spacing w:line="560" w:lineRule="exact"/>
        <w:ind w:firstLine="640" w:firstLineChars="200"/>
        <w:outlineLvl w:val="2"/>
        <w:rPr>
          <w:rFonts w:ascii="仿宋_GB2312" w:eastAsia="仿宋_GB2312"/>
          <w:color w:val="auto"/>
          <w:sz w:val="32"/>
          <w:szCs w:val="32"/>
        </w:rPr>
      </w:pPr>
      <w:bookmarkStart w:id="73" w:name="_Toc21221"/>
      <w:r>
        <w:rPr>
          <w:rFonts w:hint="eastAsia" w:ascii="仿宋_GB2312" w:eastAsia="仿宋_GB2312"/>
          <w:color w:val="auto"/>
          <w:sz w:val="32"/>
          <w:szCs w:val="32"/>
          <w:lang w:val="en-US" w:eastAsia="zh-CN"/>
        </w:rPr>
        <w:t>13.</w:t>
      </w:r>
      <w:r>
        <w:rPr>
          <w:rFonts w:hint="eastAsia" w:ascii="仿宋_GB2312" w:eastAsia="仿宋_GB2312"/>
          <w:color w:val="auto"/>
          <w:sz w:val="32"/>
          <w:szCs w:val="32"/>
        </w:rPr>
        <w:t>医疗卫生与计划生育（类）行政事业单位医疗（款）事业单位医疗（项）: 指财政部门安排的事业单位基本医疗保险缴费经费，未参加医疗保险的事业单位的公费医疗经费，按国家规定享受离休人员待遇的医疗经费。</w:t>
      </w:r>
      <w:bookmarkEnd w:id="73"/>
    </w:p>
    <w:p>
      <w:pPr>
        <w:pStyle w:val="23"/>
        <w:snapToGrid w:val="0"/>
        <w:spacing w:line="560" w:lineRule="exact"/>
        <w:ind w:firstLine="640" w:firstLineChars="200"/>
        <w:outlineLvl w:val="2"/>
        <w:rPr>
          <w:rFonts w:ascii="仿宋_GB2312" w:eastAsia="仿宋_GB2312"/>
          <w:color w:val="auto"/>
          <w:sz w:val="32"/>
          <w:szCs w:val="32"/>
        </w:rPr>
      </w:pPr>
      <w:bookmarkStart w:id="74" w:name="_Toc15252"/>
      <w:r>
        <w:rPr>
          <w:rFonts w:hint="eastAsia" w:ascii="仿宋_GB2312" w:eastAsia="仿宋_GB2312"/>
          <w:color w:val="auto"/>
          <w:sz w:val="32"/>
          <w:szCs w:val="32"/>
          <w:lang w:val="en-US" w:eastAsia="zh-CN"/>
        </w:rPr>
        <w:t>14</w:t>
      </w:r>
      <w:r>
        <w:rPr>
          <w:rFonts w:hint="eastAsia" w:ascii="仿宋_GB2312" w:eastAsia="仿宋_GB2312"/>
          <w:color w:val="auto"/>
          <w:sz w:val="32"/>
          <w:szCs w:val="32"/>
        </w:rPr>
        <w:t>.</w:t>
      </w:r>
      <w:bookmarkEnd w:id="74"/>
      <w:bookmarkStart w:id="75" w:name="_Toc916"/>
      <w:r>
        <w:rPr>
          <w:rFonts w:hint="eastAsia" w:ascii="仿宋_GB2312" w:eastAsia="仿宋_GB2312"/>
          <w:color w:val="auto"/>
          <w:sz w:val="32"/>
          <w:szCs w:val="32"/>
        </w:rPr>
        <w:t>住房保障支出（类）住房改革支出（款）住房公积金（项）: 指行政事业单位按人力资源和社会保障部、财政部规定的基本工资和津贴补贴以及规定比例为职工缴纳的住房公积金。</w:t>
      </w:r>
      <w:bookmarkEnd w:id="75"/>
    </w:p>
    <w:p>
      <w:pPr>
        <w:pStyle w:val="23"/>
        <w:snapToGrid w:val="0"/>
        <w:spacing w:line="560" w:lineRule="exact"/>
        <w:ind w:firstLine="640" w:firstLineChars="200"/>
        <w:outlineLvl w:val="2"/>
        <w:rPr>
          <w:rFonts w:ascii="仿宋_GB2312" w:eastAsia="仿宋_GB2312"/>
          <w:color w:val="auto"/>
          <w:sz w:val="32"/>
          <w:szCs w:val="32"/>
        </w:rPr>
      </w:pPr>
      <w:bookmarkStart w:id="76" w:name="_Toc17121"/>
      <w:r>
        <w:rPr>
          <w:rFonts w:hint="eastAsia" w:ascii="仿宋_GB2312" w:eastAsia="仿宋_GB2312"/>
          <w:color w:val="auto"/>
          <w:sz w:val="32"/>
          <w:szCs w:val="32"/>
          <w:lang w:val="en-US" w:eastAsia="zh-CN"/>
        </w:rPr>
        <w:t>15</w:t>
      </w:r>
      <w:r>
        <w:rPr>
          <w:rFonts w:hint="eastAsia" w:ascii="仿宋_GB2312" w:eastAsia="仿宋_GB2312"/>
          <w:color w:val="auto"/>
          <w:sz w:val="32"/>
          <w:szCs w:val="32"/>
        </w:rPr>
        <w:t>.基本支出：指为保障机构正常运转、完成日常工作任务而发生的人员支出和公用支出。</w:t>
      </w:r>
      <w:bookmarkEnd w:id="76"/>
    </w:p>
    <w:p>
      <w:pPr>
        <w:pStyle w:val="23"/>
        <w:snapToGrid w:val="0"/>
        <w:spacing w:line="560" w:lineRule="exact"/>
        <w:ind w:firstLine="640" w:firstLineChars="200"/>
        <w:outlineLvl w:val="1"/>
        <w:rPr>
          <w:rFonts w:ascii="仿宋_GB2312" w:eastAsia="仿宋_GB2312"/>
          <w:color w:val="auto"/>
          <w:sz w:val="32"/>
          <w:szCs w:val="32"/>
        </w:rPr>
      </w:pPr>
      <w:bookmarkStart w:id="77" w:name="_Toc32046"/>
      <w:bookmarkStart w:id="78" w:name="_Toc31294"/>
      <w:r>
        <w:rPr>
          <w:rFonts w:hint="eastAsia" w:ascii="仿宋_GB2312" w:eastAsia="仿宋_GB2312"/>
          <w:color w:val="auto"/>
          <w:sz w:val="32"/>
          <w:szCs w:val="32"/>
          <w:lang w:val="en-US" w:eastAsia="zh-CN"/>
        </w:rPr>
        <w:t>16</w:t>
      </w:r>
      <w:r>
        <w:rPr>
          <w:rFonts w:hint="eastAsia" w:ascii="仿宋_GB2312" w:eastAsia="仿宋_GB2312"/>
          <w:color w:val="auto"/>
          <w:sz w:val="32"/>
          <w:szCs w:val="32"/>
        </w:rPr>
        <w:t>.项目支出：指在基本支出之外为完成特定行政任务和事业发展目标所发生的支出。</w:t>
      </w:r>
      <w:bookmarkEnd w:id="77"/>
      <w:bookmarkEnd w:id="78"/>
      <w:r>
        <w:rPr>
          <w:rFonts w:hint="eastAsia" w:ascii="仿宋_GB2312" w:eastAsia="仿宋_GB2312"/>
          <w:color w:val="auto"/>
          <w:sz w:val="32"/>
          <w:szCs w:val="32"/>
        </w:rPr>
        <w:t xml:space="preserve"> </w:t>
      </w:r>
    </w:p>
    <w:p>
      <w:pPr>
        <w:pStyle w:val="23"/>
        <w:snapToGrid w:val="0"/>
        <w:spacing w:line="560" w:lineRule="exact"/>
        <w:ind w:firstLine="640" w:firstLineChars="200"/>
        <w:outlineLvl w:val="2"/>
        <w:rPr>
          <w:rFonts w:ascii="仿宋_GB2312" w:eastAsia="仿宋_GB2312"/>
          <w:color w:val="auto"/>
          <w:sz w:val="32"/>
          <w:szCs w:val="32"/>
        </w:rPr>
      </w:pPr>
      <w:bookmarkStart w:id="79" w:name="_Toc863"/>
      <w:r>
        <w:rPr>
          <w:rFonts w:hint="eastAsia" w:ascii="仿宋_GB2312" w:eastAsia="仿宋_GB2312"/>
          <w:color w:val="auto"/>
          <w:sz w:val="32"/>
          <w:szCs w:val="32"/>
          <w:lang w:val="en-US" w:eastAsia="zh-CN"/>
        </w:rPr>
        <w:t>17</w:t>
      </w:r>
      <w:r>
        <w:rPr>
          <w:rFonts w:hint="eastAsia" w:ascii="仿宋_GB2312" w:eastAsia="仿宋_GB2312"/>
          <w:color w:val="auto"/>
          <w:sz w:val="32"/>
          <w:szCs w:val="32"/>
        </w:rPr>
        <w:t>.经营支出：指事业单位在专业业务活动及其辅助活动之外开展非独立核算经营活动发生的支出。</w:t>
      </w:r>
      <w:bookmarkEnd w:id="79"/>
    </w:p>
    <w:p>
      <w:pPr>
        <w:pStyle w:val="23"/>
        <w:snapToGrid w:val="0"/>
        <w:spacing w:line="560" w:lineRule="exact"/>
        <w:ind w:firstLine="640" w:firstLineChars="200"/>
        <w:outlineLvl w:val="2"/>
        <w:rPr>
          <w:rFonts w:ascii="仿宋_GB2312" w:eastAsia="仿宋_GB2312"/>
          <w:color w:val="auto"/>
          <w:sz w:val="32"/>
          <w:szCs w:val="32"/>
        </w:rPr>
      </w:pPr>
      <w:bookmarkStart w:id="80" w:name="_Toc18034"/>
      <w:r>
        <w:rPr>
          <w:rFonts w:hint="eastAsia" w:ascii="仿宋_GB2312" w:eastAsia="仿宋_GB2312"/>
          <w:color w:val="auto"/>
          <w:sz w:val="32"/>
          <w:szCs w:val="32"/>
          <w:lang w:val="en-US" w:eastAsia="zh-CN"/>
        </w:rPr>
        <w:t>18</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80"/>
    </w:p>
    <w:p>
      <w:pPr>
        <w:snapToGrid w:val="0"/>
        <w:spacing w:line="560" w:lineRule="exact"/>
        <w:ind w:firstLine="640" w:firstLineChars="200"/>
        <w:outlineLvl w:val="2"/>
        <w:rPr>
          <w:rFonts w:ascii="仿宋_GB2312" w:eastAsia="仿宋_GB2312"/>
          <w:sz w:val="32"/>
          <w:szCs w:val="32"/>
        </w:rPr>
      </w:pPr>
      <w:bookmarkStart w:id="81" w:name="_Toc23926"/>
      <w:r>
        <w:rPr>
          <w:rFonts w:hint="eastAsia" w:ascii="仿宋_GB2312" w:eastAsia="仿宋_GB2312"/>
          <w:sz w:val="32"/>
          <w:szCs w:val="32"/>
          <w:lang w:val="en-US" w:eastAsia="zh-CN"/>
        </w:rPr>
        <w:t>19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81"/>
    </w:p>
    <w:p>
      <w:pPr>
        <w:widowControl/>
        <w:jc w:val="left"/>
        <w:rPr>
          <w:rFonts w:ascii="黑体" w:hAnsi="黑体" w:eastAsia="黑体"/>
          <w:sz w:val="44"/>
          <w:szCs w:val="44"/>
        </w:rPr>
      </w:pPr>
    </w:p>
    <w:p>
      <w:pPr>
        <w:pStyle w:val="2"/>
        <w:rPr>
          <w:rFonts w:ascii="宋体"/>
          <w:b/>
          <w:color w:val="auto"/>
          <w:sz w:val="44"/>
          <w:szCs w:val="44"/>
          <w:highlight w:val="none"/>
        </w:rPr>
      </w:pPr>
      <w:r>
        <w:rPr>
          <w:rFonts w:ascii="宋体"/>
          <w:b/>
          <w:color w:val="auto"/>
          <w:sz w:val="44"/>
          <w:szCs w:val="44"/>
          <w:highlight w:val="none"/>
        </w:rPr>
        <w:br w:type="page"/>
      </w:r>
      <w:bookmarkStart w:id="82" w:name="_Toc15396618"/>
    </w:p>
    <w:p>
      <w:pPr>
        <w:spacing w:line="600" w:lineRule="exact"/>
        <w:jc w:val="center"/>
        <w:outlineLvl w:val="0"/>
        <w:rPr>
          <w:rStyle w:val="25"/>
          <w:rFonts w:hint="eastAsia" w:ascii="黑体" w:hAnsi="黑体" w:eastAsia="黑体"/>
          <w:b w:val="0"/>
          <w:color w:val="auto"/>
          <w:highlight w:val="none"/>
        </w:rPr>
      </w:pPr>
      <w:bookmarkStart w:id="83"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83"/>
    </w:p>
    <w:p>
      <w:pPr>
        <w:spacing w:line="600" w:lineRule="exact"/>
        <w:jc w:val="center"/>
        <w:outlineLvl w:val="0"/>
        <w:rPr>
          <w:rStyle w:val="25"/>
          <w:rFonts w:hint="eastAsia" w:ascii="黑体" w:hAnsi="黑体" w:eastAsia="黑体"/>
          <w:b w:val="0"/>
          <w:color w:val="auto"/>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部门预算项目支出绩效自评表(2022年度)</w:t>
      </w:r>
    </w:p>
    <w:p>
      <w:pPr>
        <w:pStyle w:val="2"/>
        <w:rPr>
          <w:rFonts w:ascii="宋体"/>
          <w:b/>
          <w:color w:val="auto"/>
          <w:sz w:val="44"/>
          <w:szCs w:val="44"/>
          <w:highlight w:val="none"/>
        </w:rPr>
      </w:pPr>
    </w:p>
    <w:p>
      <w:pPr>
        <w:pStyle w:val="2"/>
        <w:rPr>
          <w:rFonts w:ascii="宋体"/>
          <w:b/>
          <w:color w:val="auto"/>
          <w:sz w:val="44"/>
          <w:szCs w:val="44"/>
          <w:highlight w:val="none"/>
        </w:rPr>
      </w:pPr>
    </w:p>
    <w:p>
      <w:pPr>
        <w:pStyle w:val="2"/>
        <w:rPr>
          <w:rFonts w:hint="eastAsia" w:ascii="宋体"/>
          <w:b/>
          <w:color w:val="auto"/>
          <w:sz w:val="44"/>
          <w:szCs w:val="44"/>
          <w:highlight w:val="none"/>
          <w:lang w:val="en-US" w:eastAsia="zh-CN"/>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5"/>
      <w:bookmarkEnd w:id="82"/>
      <w:bookmarkStart w:id="8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84"/>
    </w:p>
    <w:p>
      <w:pPr>
        <w:pStyle w:val="4"/>
        <w:rPr>
          <w:rFonts w:ascii="仿宋" w:hAnsi="仿宋" w:eastAsia="仿宋"/>
          <w:color w:val="auto"/>
          <w:highlight w:val="none"/>
        </w:rPr>
      </w:pPr>
      <w:bookmarkStart w:id="8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85"/>
    </w:p>
    <w:p>
      <w:pPr>
        <w:pStyle w:val="4"/>
        <w:rPr>
          <w:rFonts w:ascii="仿宋" w:hAnsi="仿宋" w:eastAsia="仿宋"/>
          <w:color w:val="auto"/>
          <w:highlight w:val="none"/>
        </w:rPr>
      </w:pPr>
      <w:bookmarkStart w:id="8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86"/>
    </w:p>
    <w:p>
      <w:pPr>
        <w:pStyle w:val="4"/>
        <w:rPr>
          <w:rFonts w:ascii="仿宋" w:hAnsi="仿宋" w:eastAsia="仿宋"/>
          <w:b w:val="0"/>
          <w:color w:val="auto"/>
          <w:highlight w:val="none"/>
        </w:rPr>
      </w:pPr>
      <w:bookmarkStart w:id="8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87"/>
    </w:p>
    <w:p>
      <w:pPr>
        <w:pStyle w:val="4"/>
        <w:rPr>
          <w:rStyle w:val="26"/>
          <w:rFonts w:ascii="仿宋" w:hAnsi="仿宋" w:eastAsia="仿宋"/>
          <w:b w:val="0"/>
          <w:bCs w:val="0"/>
          <w:color w:val="auto"/>
          <w:highlight w:val="none"/>
        </w:rPr>
      </w:pPr>
      <w:bookmarkStart w:id="8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88"/>
      <w:bookmarkStart w:id="8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89"/>
    </w:p>
    <w:p>
      <w:pPr>
        <w:pStyle w:val="4"/>
        <w:rPr>
          <w:rFonts w:ascii="仿宋" w:hAnsi="仿宋" w:eastAsia="仿宋"/>
          <w:color w:val="auto"/>
          <w:highlight w:val="none"/>
        </w:rPr>
      </w:pPr>
      <w:bookmarkStart w:id="9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90"/>
    </w:p>
    <w:p>
      <w:pPr>
        <w:pStyle w:val="4"/>
        <w:rPr>
          <w:rFonts w:ascii="仿宋" w:hAnsi="仿宋" w:eastAsia="仿宋"/>
          <w:color w:val="auto"/>
          <w:highlight w:val="none"/>
        </w:rPr>
      </w:pPr>
      <w:bookmarkStart w:id="9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91"/>
    </w:p>
    <w:p>
      <w:pPr>
        <w:pStyle w:val="4"/>
        <w:rPr>
          <w:rFonts w:ascii="仿宋" w:hAnsi="仿宋" w:eastAsia="仿宋"/>
          <w:color w:val="auto"/>
          <w:highlight w:val="none"/>
        </w:rPr>
      </w:pPr>
      <w:bookmarkStart w:id="9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92"/>
    </w:p>
    <w:p>
      <w:pPr>
        <w:pStyle w:val="4"/>
        <w:rPr>
          <w:rFonts w:ascii="仿宋" w:hAnsi="仿宋" w:eastAsia="仿宋"/>
          <w:color w:val="auto"/>
          <w:highlight w:val="none"/>
        </w:rPr>
      </w:pPr>
      <w:bookmarkStart w:id="93" w:name="_Toc15396628"/>
      <w:r>
        <w:rPr>
          <w:rStyle w:val="26"/>
          <w:rFonts w:hint="eastAsia" w:ascii="仿宋" w:hAnsi="仿宋" w:eastAsia="仿宋"/>
          <w:b w:val="0"/>
          <w:bCs w:val="0"/>
          <w:color w:val="auto"/>
          <w:highlight w:val="none"/>
        </w:rPr>
        <w:t>十、</w:t>
      </w:r>
      <w:bookmarkEnd w:id="9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94" w:name="_Toc15396629"/>
      <w:r>
        <w:rPr>
          <w:rStyle w:val="26"/>
          <w:rFonts w:hint="eastAsia" w:ascii="仿宋" w:hAnsi="仿宋" w:eastAsia="仿宋"/>
          <w:b w:val="0"/>
          <w:bCs w:val="0"/>
          <w:color w:val="auto"/>
          <w:highlight w:val="none"/>
        </w:rPr>
        <w:t>十一、</w:t>
      </w:r>
      <w:bookmarkEnd w:id="9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95" w:name="_Toc15396630"/>
      <w:r>
        <w:rPr>
          <w:rStyle w:val="26"/>
          <w:rFonts w:hint="eastAsia" w:ascii="仿宋" w:hAnsi="仿宋" w:eastAsia="仿宋"/>
          <w:b w:val="0"/>
          <w:bCs w:val="0"/>
          <w:color w:val="auto"/>
          <w:highlight w:val="none"/>
        </w:rPr>
        <w:t>十二、</w:t>
      </w:r>
      <w:bookmarkEnd w:id="9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96" w:name="_Toc15396631"/>
      <w:r>
        <w:rPr>
          <w:rStyle w:val="26"/>
          <w:rFonts w:hint="eastAsia" w:ascii="仿宋" w:hAnsi="仿宋" w:eastAsia="仿宋"/>
          <w:b w:val="0"/>
          <w:bCs w:val="0"/>
          <w:color w:val="auto"/>
          <w:highlight w:val="none"/>
        </w:rPr>
        <w:t>十三、</w:t>
      </w:r>
      <w:bookmarkEnd w:id="9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769D7"/>
    <w:rsid w:val="0B8A37D8"/>
    <w:rsid w:val="0DA11C02"/>
    <w:rsid w:val="10A37B32"/>
    <w:rsid w:val="10C055FF"/>
    <w:rsid w:val="118107EC"/>
    <w:rsid w:val="11DD6519"/>
    <w:rsid w:val="13DB5F89"/>
    <w:rsid w:val="16BB723D"/>
    <w:rsid w:val="18015F3F"/>
    <w:rsid w:val="1BE8440E"/>
    <w:rsid w:val="1D155CEE"/>
    <w:rsid w:val="1DCC725B"/>
    <w:rsid w:val="20F57F95"/>
    <w:rsid w:val="219B4843"/>
    <w:rsid w:val="240371BF"/>
    <w:rsid w:val="25711CC6"/>
    <w:rsid w:val="25C741E6"/>
    <w:rsid w:val="27117D71"/>
    <w:rsid w:val="27842671"/>
    <w:rsid w:val="28670377"/>
    <w:rsid w:val="29FD04D3"/>
    <w:rsid w:val="2ABE7A3E"/>
    <w:rsid w:val="2CA234A8"/>
    <w:rsid w:val="2CBE06C0"/>
    <w:rsid w:val="2EFA178C"/>
    <w:rsid w:val="30B46D73"/>
    <w:rsid w:val="30CC6F71"/>
    <w:rsid w:val="319F7F4E"/>
    <w:rsid w:val="352E28B9"/>
    <w:rsid w:val="35944D37"/>
    <w:rsid w:val="383D272C"/>
    <w:rsid w:val="39AE70AB"/>
    <w:rsid w:val="3A1E0383"/>
    <w:rsid w:val="3C0C0783"/>
    <w:rsid w:val="3F9F3A96"/>
    <w:rsid w:val="40774C91"/>
    <w:rsid w:val="46E17764"/>
    <w:rsid w:val="479C4C4F"/>
    <w:rsid w:val="48BF60AB"/>
    <w:rsid w:val="493C27E9"/>
    <w:rsid w:val="496F39ED"/>
    <w:rsid w:val="49FF41D3"/>
    <w:rsid w:val="4BE068DB"/>
    <w:rsid w:val="4BF6002B"/>
    <w:rsid w:val="4D746D07"/>
    <w:rsid w:val="4E716B15"/>
    <w:rsid w:val="4ECE2238"/>
    <w:rsid w:val="51DB4B86"/>
    <w:rsid w:val="54734720"/>
    <w:rsid w:val="551115CA"/>
    <w:rsid w:val="55333C3E"/>
    <w:rsid w:val="5AA4733F"/>
    <w:rsid w:val="5C627AED"/>
    <w:rsid w:val="5C7D0377"/>
    <w:rsid w:val="5D911D76"/>
    <w:rsid w:val="64CA39A1"/>
    <w:rsid w:val="69630ADE"/>
    <w:rsid w:val="6B7D66BD"/>
    <w:rsid w:val="6BB57221"/>
    <w:rsid w:val="6C4A05C8"/>
    <w:rsid w:val="6D3B1A89"/>
    <w:rsid w:val="6E577779"/>
    <w:rsid w:val="6E8563B9"/>
    <w:rsid w:val="71BF4EC2"/>
    <w:rsid w:val="72734D90"/>
    <w:rsid w:val="7412278C"/>
    <w:rsid w:val="762747B7"/>
    <w:rsid w:val="79E7B28D"/>
    <w:rsid w:val="7BF6EBD7"/>
    <w:rsid w:val="7D312D98"/>
    <w:rsid w:val="7F9F20EE"/>
    <w:rsid w:val="9E3A10E2"/>
    <w:rsid w:val="F2E1F9D4"/>
    <w:rsid w:val="F7880819"/>
    <w:rsid w:val="FFFFD8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2089715536105"/>
          <c:y val="0.00835654596100279"/>
          <c:w val="0.883807439824945"/>
          <c:h val="0.804011142061281"/>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1288.17</c:v>
                </c:pt>
                <c:pt idx="1">
                  <c:v>1324.53</c:v>
                </c:pt>
              </c:numCache>
            </c:numRef>
          </c:val>
        </c:ser>
        <c:dLbls>
          <c:showLegendKey val="false"/>
          <c:showVal val="false"/>
          <c:showCatName val="false"/>
          <c:showSerName val="false"/>
          <c:showPercent val="false"/>
          <c:showBubbleSize val="false"/>
        </c:dLbls>
        <c:gapWidth val="246"/>
        <c:overlap val="-28"/>
        <c:axId val="170813312"/>
        <c:axId val="184155520"/>
      </c:barChart>
      <c:catAx>
        <c:axId val="17081331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4155520"/>
        <c:crosses val="autoZero"/>
        <c:auto val="true"/>
        <c:lblAlgn val="ctr"/>
        <c:lblOffset val="100"/>
        <c:noMultiLvlLbl val="false"/>
      </c:catAx>
      <c:valAx>
        <c:axId val="184155520"/>
        <c:scaling>
          <c:orientation val="minMax"/>
        </c:scaling>
        <c:delete val="false"/>
        <c:axPos val="l"/>
        <c:majorGridlines>
          <c:spPr>
            <a:ln w="9525" cap="flat" cmpd="sng" algn="ctr">
              <a:solidFill>
                <a:schemeClr val="bg1">
                  <a:lumMod val="902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08133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一般公共预算财政拨款收入
</a:t>
                    </a:r>
                    <a:r>
                      <a:rPr lang="en-US" altLang="zh-CN"/>
                      <a:t>99.99</a:t>
                    </a:r>
                    <a:r>
                      <a:rPr altLang="en-US"/>
                      <a:t>%</a:t>
                    </a:r>
                    <a:endParaRPr altLang="en-US"/>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manualLayout>
                  <c:x val="-0.073057284546662"/>
                  <c:y val="0.016053073567924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其他收入
</a:t>
                    </a:r>
                    <a:r>
                      <a:rPr lang="en-US" altLang="zh-CN"/>
                      <a:t>0.01</a:t>
                    </a:r>
                    <a:r>
                      <a:rPr altLang="en-US"/>
                      <a:t>%</a:t>
                    </a:r>
                    <a:endParaRPr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1466.25</c:v>
                </c:pt>
                <c:pt idx="1">
                  <c:v>0.84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spPr>
              <a:gradFill>
                <a:gsLst>
                  <a:gs pos="0">
                    <a:schemeClr val="accent1">
                      <a:hueOff val="-1670000"/>
                    </a:schemeClr>
                  </a:gs>
                  <a:gs pos="100000">
                    <a:schemeClr val="accent1"/>
                  </a:gs>
                </a:gsLst>
                <a:lin ang="5400000" scaled="false"/>
              </a:gradFill>
              <a:ln>
                <a:gradFill>
                  <a:gsLst>
                    <a:gs pos="0">
                      <a:schemeClr val="accent1">
                        <a:lumMod val="75000"/>
                        <a:hueOff val="-1670000"/>
                      </a:schemeClr>
                    </a:gs>
                    <a:gs pos="100000">
                      <a:schemeClr val="accent1">
                        <a:lumMod val="75000"/>
                      </a:schemeClr>
                    </a:gs>
                  </a:gsLst>
                  <a:lin ang="5160000" scaled="true"/>
                </a:gradFill>
              </a:ln>
              <a:effectLst/>
            </c:spPr>
          </c:dPt>
          <c:dPt>
            <c:idx val="1"/>
            <c:bubble3D val="false"/>
            <c:spPr>
              <a:gradFill>
                <a:gsLst>
                  <a:gs pos="0">
                    <a:schemeClr val="accent2">
                      <a:hueOff val="-1670000"/>
                    </a:schemeClr>
                  </a:gs>
                  <a:gs pos="100000">
                    <a:schemeClr val="accent2"/>
                  </a:gs>
                </a:gsLst>
                <a:lin ang="5400000" scaled="false"/>
              </a:gradFill>
              <a:ln>
                <a:gradFill>
                  <a:gsLst>
                    <a:gs pos="0">
                      <a:schemeClr val="accent2">
                        <a:lumMod val="75000"/>
                        <a:hueOff val="-1670000"/>
                      </a:schemeClr>
                    </a:gs>
                    <a:gs pos="100000">
                      <a:schemeClr val="accent2">
                        <a:lumMod val="75000"/>
                      </a:schemeClr>
                    </a:gs>
                  </a:gsLst>
                  <a:lin ang="5160000" scaled="true"/>
                </a:gradFill>
              </a:ln>
              <a:effectLst/>
            </c:spPr>
          </c:dPt>
          <c:dLbls>
            <c:dLbl>
              <c:idx val="0"/>
              <c:layout>
                <c:manualLayout>
                  <c:x val="0.165261637408373"/>
                  <c:y val="-0.1385654704687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r>
                      <a:rPr altLang="en-US"/>
                      <a:t>基本支出
</a:t>
                    </a:r>
                    <a:r>
                      <a:rPr lang="en-US" altLang="en-US"/>
                      <a:t>87.55</a:t>
                    </a:r>
                    <a:r>
                      <a:rPr altLang="en-US"/>
                      <a:t>%</a:t>
                    </a:r>
                    <a:endParaRPr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807001627003512"/>
                  <c:y val="0.028918217685047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r>
                      <a:rPr altLang="en-US"/>
                      <a:t>项目支出
</a:t>
                    </a:r>
                    <a:r>
                      <a:rPr lang="en-US" altLang="zh-CN"/>
                      <a:t>12.45</a:t>
                    </a:r>
                    <a:r>
                      <a:rPr altLang="en-US"/>
                      <a:t>%</a:t>
                    </a:r>
                    <a:endParaRPr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1324.53</c:v>
                </c:pt>
                <c:pt idx="1">
                  <c:v>164.96</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1012035010941"/>
          <c:y val="0.0807799442896936"/>
          <c:w val="0.865207877461707"/>
          <c:h val="0.804011142061281"/>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1287.29</c:v>
                </c:pt>
                <c:pt idx="1">
                  <c:v>1324.45</c:v>
                </c:pt>
              </c:numCache>
            </c:numRef>
          </c:val>
        </c:ser>
        <c:dLbls>
          <c:showLegendKey val="false"/>
          <c:showVal val="false"/>
          <c:showCatName val="false"/>
          <c:showSerName val="false"/>
          <c:showPercent val="false"/>
          <c:showBubbleSize val="false"/>
        </c:dLbls>
        <c:gapWidth val="246"/>
        <c:overlap val="-28"/>
        <c:axId val="190122624"/>
        <c:axId val="190214528"/>
      </c:barChart>
      <c:catAx>
        <c:axId val="19012262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0214528"/>
        <c:crosses val="autoZero"/>
        <c:auto val="true"/>
        <c:lblAlgn val="ctr"/>
        <c:lblOffset val="100"/>
        <c:noMultiLvlLbl val="false"/>
      </c:catAx>
      <c:valAx>
        <c:axId val="190214528"/>
        <c:scaling>
          <c:orientation val="minMax"/>
        </c:scaling>
        <c:delete val="false"/>
        <c:axPos val="l"/>
        <c:majorGridlines>
          <c:spPr>
            <a:ln w="9525" cap="flat" cmpd="sng" algn="ctr">
              <a:solidFill>
                <a:schemeClr val="bg1">
                  <a:lumMod val="902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012262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1189.57</c:v>
                </c:pt>
                <c:pt idx="1">
                  <c:v>1324.45</c:v>
                </c:pt>
              </c:numCache>
            </c:numRef>
          </c:val>
        </c:ser>
        <c:dLbls>
          <c:showLegendKey val="false"/>
          <c:showVal val="false"/>
          <c:showCatName val="false"/>
          <c:showSerName val="false"/>
          <c:showPercent val="false"/>
          <c:showBubbleSize val="false"/>
        </c:dLbls>
        <c:gapWidth val="246"/>
        <c:overlap val="-28"/>
        <c:axId val="190454400"/>
        <c:axId val="190542208"/>
      </c:barChart>
      <c:catAx>
        <c:axId val="19045440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0542208"/>
        <c:crosses val="autoZero"/>
        <c:auto val="true"/>
        <c:lblAlgn val="ctr"/>
        <c:lblOffset val="100"/>
        <c:noMultiLvlLbl val="false"/>
      </c:catAx>
      <c:valAx>
        <c:axId val="190542208"/>
        <c:scaling>
          <c:orientation val="minMax"/>
        </c:scaling>
        <c:delete val="false"/>
        <c:axPos val="l"/>
        <c:majorGridlines>
          <c:spPr>
            <a:ln w="9525" cap="flat" cmpd="sng" algn="ctr">
              <a:solidFill>
                <a:schemeClr val="bg1">
                  <a:lumMod val="902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045440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86.1</c:v>
                </c:pt>
                <c:pt idx="1">
                  <c:v>6.1</c:v>
                </c:pt>
                <c:pt idx="2">
                  <c:v>3.23</c:v>
                </c:pt>
                <c:pt idx="3">
                  <c:v>4.57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2023-10-13T19:05:00Z</cp:lastPrinted>
  <dcterms:modified xsi:type="dcterms:W3CDTF">2023-10-15T13:34:23Z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EFD07740956941868DE1B12FEB4BB44D_12</vt:lpwstr>
  </property>
</Properties>
</file>