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宋体" w:eastAsia="方正小标宋简体"/>
          <w:sz w:val="72"/>
          <w:szCs w:val="72"/>
        </w:rPr>
      </w:pPr>
      <w:bookmarkStart w:id="1" w:name="_Toc15378441"/>
      <w:bookmarkStart w:id="2" w:name="_Toc15396475"/>
      <w:bookmarkStart w:id="3" w:name="_Toc15396597"/>
      <w:bookmarkStart w:id="4" w:name="_Toc15377193"/>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Start w:id="6" w:name="_Toc15377194"/>
      <w:bookmarkStart w:id="7" w:name="_Toc15377426"/>
      <w:bookmarkStart w:id="8" w:name="_Toc15378442"/>
      <w:bookmarkStart w:id="9" w:name="_Toc15396476"/>
      <w:bookmarkStart w:id="10" w:name="_Toc15396598"/>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宋体" w:eastAsia="方正小标宋简体"/>
          <w:sz w:val="72"/>
          <w:szCs w:val="72"/>
          <w:lang w:val="en-US" w:eastAsia="zh-CN"/>
        </w:rPr>
        <w:t>杨家岩</w:t>
      </w:r>
      <w:r>
        <w:rPr>
          <w:rFonts w:hint="eastAsia" w:ascii="方正小标宋简体" w:hAnsi="宋体" w:eastAsia="方正小标宋简体"/>
          <w:sz w:val="72"/>
          <w:szCs w:val="72"/>
        </w:rPr>
        <w:t>小学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lang w:val="en-US" w:eastAsia="zh-CN"/>
        </w:rPr>
        <w:t>10</w:t>
      </w:r>
      <w:r>
        <w:rPr>
          <w:rFonts w:hint="eastAsia"/>
        </w:rPr>
        <w:t>月</w:t>
      </w:r>
      <w:r>
        <w:rPr>
          <w:rFonts w:hint="eastAsia"/>
          <w:lang w:val="en-US" w:eastAsia="zh-CN"/>
        </w:rPr>
        <w:t>15</w:t>
      </w:r>
      <w:r>
        <w:rPr>
          <w:rFonts w:hint="eastAsia"/>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广元市利州区</w:t>
      </w:r>
      <w:r>
        <w:rPr>
          <w:rFonts w:hint="eastAsia" w:ascii="仿宋" w:hAnsi="仿宋" w:eastAsia="仿宋" w:cs="仿宋"/>
          <w:sz w:val="28"/>
          <w:szCs w:val="28"/>
          <w:lang w:val="en-US" w:eastAsia="zh-CN"/>
        </w:rPr>
        <w:t>杨家岩小学</w:t>
      </w:r>
      <w:r>
        <w:rPr>
          <w:rFonts w:hint="eastAsia" w:ascii="仿宋" w:hAnsi="仿宋" w:eastAsia="仿宋" w:cs="仿宋"/>
          <w:sz w:val="28"/>
          <w:szCs w:val="28"/>
        </w:rPr>
        <w:t>现有编制</w:t>
      </w:r>
      <w:r>
        <w:rPr>
          <w:rFonts w:hint="eastAsia" w:ascii="仿宋" w:hAnsi="仿宋" w:eastAsia="仿宋" w:cs="仿宋"/>
          <w:sz w:val="28"/>
          <w:szCs w:val="28"/>
          <w:lang w:val="en-US" w:eastAsia="zh-CN"/>
        </w:rPr>
        <w:t>15</w:t>
      </w:r>
      <w:r>
        <w:rPr>
          <w:rFonts w:hint="eastAsia" w:ascii="仿宋" w:hAnsi="仿宋" w:eastAsia="仿宋" w:cs="仿宋"/>
          <w:sz w:val="28"/>
          <w:szCs w:val="28"/>
        </w:rPr>
        <w:t>人，实有在编人数</w:t>
      </w:r>
      <w:r>
        <w:rPr>
          <w:rFonts w:hint="eastAsia" w:ascii="仿宋" w:hAnsi="仿宋" w:eastAsia="仿宋" w:cs="仿宋"/>
          <w:sz w:val="28"/>
          <w:szCs w:val="28"/>
          <w:lang w:val="en-US" w:eastAsia="zh-CN"/>
        </w:rPr>
        <w:t>23</w:t>
      </w:r>
      <w:r>
        <w:rPr>
          <w:rFonts w:hint="eastAsia" w:ascii="仿宋" w:hAnsi="仿宋" w:eastAsia="仿宋" w:cs="仿宋"/>
          <w:sz w:val="28"/>
          <w:szCs w:val="28"/>
        </w:rPr>
        <w:t>人，退休教师</w:t>
      </w:r>
      <w:r>
        <w:rPr>
          <w:rFonts w:hint="eastAsia" w:ascii="仿宋" w:hAnsi="仿宋" w:eastAsia="仿宋" w:cs="仿宋"/>
          <w:sz w:val="28"/>
          <w:szCs w:val="28"/>
          <w:lang w:val="en-US" w:eastAsia="zh-CN"/>
        </w:rPr>
        <w:t>41</w:t>
      </w:r>
      <w:r>
        <w:rPr>
          <w:rFonts w:hint="eastAsia" w:ascii="仿宋" w:hAnsi="仿宋" w:eastAsia="仿宋" w:cs="仿宋"/>
          <w:sz w:val="28"/>
          <w:szCs w:val="28"/>
        </w:rPr>
        <w:t>人，临聘人员</w:t>
      </w:r>
      <w:r>
        <w:rPr>
          <w:rFonts w:hint="eastAsia" w:ascii="仿宋" w:hAnsi="仿宋" w:eastAsia="仿宋" w:cs="仿宋"/>
          <w:sz w:val="28"/>
          <w:szCs w:val="28"/>
          <w:lang w:val="en-US" w:eastAsia="zh-CN"/>
        </w:rPr>
        <w:t>2</w:t>
      </w:r>
      <w:r>
        <w:rPr>
          <w:rFonts w:hint="eastAsia" w:ascii="仿宋" w:hAnsi="仿宋" w:eastAsia="仿宋" w:cs="仿宋"/>
          <w:sz w:val="28"/>
          <w:szCs w:val="28"/>
        </w:rPr>
        <w:t>人，享受遗属补助</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人，下设各处室 </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个，分别是行政办公室、教导处、德育处、总务处、安办、教科室、技装室。</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679.85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000000" w:themeColor="text1"/>
          <w:sz w:val="32"/>
          <w:szCs w:val="32"/>
          <w:highlight w:val="none"/>
          <w:lang w:val="en-US" w:eastAsia="zh-CN"/>
          <w14:textFill>
            <w14:solidFill>
              <w14:schemeClr w14:val="tx1"/>
            </w14:solidFill>
          </w14:textFill>
        </w:rPr>
        <w:t>76.18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10.08</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w:t>
      </w:r>
      <w:r>
        <w:rPr>
          <w:rFonts w:hint="eastAsia" w:ascii="仿宋" w:hAnsi="仿宋" w:eastAsia="仿宋"/>
          <w:sz w:val="32"/>
          <w:szCs w:val="32"/>
        </w:rPr>
        <w:t>工程项目实施</w:t>
      </w:r>
      <w:r>
        <w:rPr>
          <w:rFonts w:hint="eastAsia" w:ascii="仿宋" w:hAnsi="仿宋" w:eastAsia="仿宋"/>
          <w:sz w:val="32"/>
          <w:szCs w:val="32"/>
          <w:lang w:val="en-US" w:eastAsia="zh-CN"/>
        </w:rPr>
        <w:t>和在职人员减少</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679.85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增加20.48万元，上升3.11%。</w:t>
      </w:r>
      <w:r>
        <w:rPr>
          <w:rFonts w:hint="eastAsia" w:ascii="仿宋" w:hAnsi="仿宋" w:eastAsia="仿宋"/>
          <w:color w:val="auto"/>
          <w:sz w:val="32"/>
          <w:szCs w:val="32"/>
          <w:highlight w:val="none"/>
        </w:rPr>
        <w:t>主要变动原因是</w:t>
      </w:r>
      <w:r>
        <w:rPr>
          <w:rFonts w:hint="eastAsia" w:ascii="仿宋" w:hAnsi="仿宋" w:eastAsia="仿宋"/>
          <w:sz w:val="32"/>
          <w:szCs w:val="32"/>
        </w:rPr>
        <w:t>工程项目实施</w:t>
      </w:r>
      <w:r>
        <w:rPr>
          <w:rFonts w:hint="eastAsia" w:ascii="仿宋" w:hAnsi="仿宋" w:eastAsia="仿宋"/>
          <w:color w:val="auto"/>
          <w:sz w:val="32"/>
          <w:szCs w:val="32"/>
          <w:highlight w:val="none"/>
          <w:lang w:eastAsia="zh-CN"/>
        </w:rPr>
        <w:t>。</w:t>
      </w:r>
    </w:p>
    <w:p>
      <w:pPr>
        <w:spacing w:line="600" w:lineRule="exact"/>
        <w:ind w:firstLine="1280" w:firstLineChars="400"/>
        <w:jc w:val="left"/>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Style w:val="30"/>
          <w:rFonts w:hint="eastAsia" w:ascii="黑体" w:hAnsi="黑体" w:eastAsia="黑体"/>
          <w:b w:val="0"/>
        </w:rPr>
        <w:drawing>
          <wp:anchor distT="0" distB="0" distL="114300" distR="114300" simplePos="0" relativeHeight="251659264" behindDoc="1" locked="0" layoutInCell="1" allowOverlap="1">
            <wp:simplePos x="0" y="0"/>
            <wp:positionH relativeFrom="column">
              <wp:posOffset>-28575</wp:posOffset>
            </wp:positionH>
            <wp:positionV relativeFrom="paragraph">
              <wp:posOffset>285115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583.19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580.52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99.54</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0.25</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3"/>
        <w:numPr>
          <w:ilvl w:val="0"/>
          <w:numId w:val="0"/>
        </w:numPr>
        <w:spacing w:line="600" w:lineRule="exact"/>
        <w:outlineLvl w:val="1"/>
        <w:rPr>
          <w:rStyle w:val="25"/>
          <w:rFonts w:ascii="黑体" w:hAnsi="黑体" w:eastAsia="黑体"/>
          <w:b w:val="0"/>
          <w:color w:val="auto"/>
          <w:highlight w:val="none"/>
        </w:rPr>
      </w:pPr>
      <w:bookmarkStart w:id="22" w:name="_Toc15396605"/>
      <w:bookmarkStart w:id="23" w:name="_Toc15377207"/>
      <w:r>
        <w:rPr>
          <w:sz w:val="28"/>
          <w:szCs w:val="28"/>
        </w:rPr>
        <w:drawing>
          <wp:anchor distT="0" distB="0" distL="114300" distR="114300" simplePos="0" relativeHeight="251660288" behindDoc="0" locked="0" layoutInCell="1" allowOverlap="1">
            <wp:simplePos x="0" y="0"/>
            <wp:positionH relativeFrom="column">
              <wp:posOffset>-635</wp:posOffset>
            </wp:positionH>
            <wp:positionV relativeFrom="paragraph">
              <wp:posOffset>152400</wp:posOffset>
            </wp:positionV>
            <wp:extent cx="5223510" cy="3008630"/>
            <wp:effectExtent l="4445" t="4445" r="14605" b="1968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sz w:val="28"/>
          <w:szCs w:val="28"/>
          <w:lang w:val="en-US" w:eastAsia="zh-CN"/>
        </w:rPr>
        <w:t xml:space="preserve">              </w:t>
      </w:r>
      <w:r>
        <w:rPr>
          <w:rFonts w:hint="eastAsia" w:ascii="仿宋" w:hAnsi="仿宋" w:eastAsia="仿宋"/>
          <w:sz w:val="32"/>
          <w:szCs w:val="32"/>
          <w:lang w:eastAsia="zh-CN"/>
        </w:rPr>
        <w:t>（</w:t>
      </w:r>
      <w:r>
        <w:rPr>
          <w:rFonts w:hint="eastAsia" w:ascii="仿宋" w:hAnsi="仿宋" w:eastAsia="仿宋"/>
          <w:sz w:val="32"/>
          <w:szCs w:val="32"/>
        </w:rPr>
        <w:t>图2：收入决算结构图</w:t>
      </w:r>
      <w:r>
        <w:rPr>
          <w:rFonts w:hint="eastAsia" w:ascii="仿宋" w:hAnsi="仿宋" w:eastAsia="仿宋"/>
          <w:sz w:val="32"/>
          <w:szCs w:val="32"/>
          <w:lang w:eastAsia="zh-CN"/>
        </w:rPr>
        <w:t>）</w:t>
      </w:r>
    </w:p>
    <w:p>
      <w:pPr>
        <w:pStyle w:val="23"/>
        <w:numPr>
          <w:ilvl w:val="0"/>
          <w:numId w:val="2"/>
        </w:numPr>
        <w:spacing w:line="600" w:lineRule="exact"/>
        <w:ind w:firstLineChars="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679.85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579.55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85.25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w:t>
      </w:r>
      <w:r>
        <w:rPr>
          <w:rFonts w:hint="eastAsia" w:ascii="仿宋" w:hAnsi="仿宋" w:eastAsia="仿宋"/>
          <w:color w:val="auto"/>
          <w:sz w:val="32"/>
          <w:szCs w:val="32"/>
          <w:highlight w:val="none"/>
          <w:lang w:val="en-US" w:eastAsia="zh-CN"/>
        </w:rPr>
        <w:t>00.30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200660</wp:posOffset>
            </wp:positionH>
            <wp:positionV relativeFrom="paragraph">
              <wp:posOffset>178435</wp:posOffset>
            </wp:positionV>
            <wp:extent cx="4656455" cy="2419985"/>
            <wp:effectExtent l="4445" t="4445" r="1778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4" w:name="_Toc15396606"/>
      <w:bookmarkStart w:id="25" w:name="_Toc15377208"/>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outlineLvl w:val="1"/>
        <w:rPr>
          <w:rFonts w:hint="eastAsia" w:ascii="黑体" w:hAnsi="黑体" w:eastAsia="黑体"/>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1920" w:firstLineChars="600"/>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677.18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74.62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9.93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资金安排减少和在职人员减少。</w:t>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677.18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增加22.04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上升3.36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资金支出减少和在职人员减少。</w:t>
      </w:r>
    </w:p>
    <w:p>
      <w:pPr>
        <w:spacing w:line="600" w:lineRule="exact"/>
        <w:ind w:firstLine="640"/>
        <w:outlineLvl w:val="2"/>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w:t>
      </w:r>
      <w:r>
        <w:rPr>
          <w:rStyle w:val="30"/>
          <w:rFonts w:hint="eastAsia" w:ascii="黑体" w:hAnsi="黑体" w:eastAsia="黑体"/>
          <w:b w:val="0"/>
        </w:rPr>
        <w:drawing>
          <wp:anchor distT="0" distB="0" distL="114300" distR="114300" simplePos="0" relativeHeight="251662336" behindDoc="1" locked="0" layoutInCell="1" allowOverlap="1">
            <wp:simplePos x="0" y="0"/>
            <wp:positionH relativeFrom="column">
              <wp:posOffset>86995</wp:posOffset>
            </wp:positionH>
            <wp:positionV relativeFrom="paragraph">
              <wp:posOffset>320675</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outlineLvl w:val="2"/>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677.18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99.61</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增加22.04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上升3.36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资金支出增加。</w:t>
      </w: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3360" behindDoc="1" locked="0" layoutInCell="1" allowOverlap="1">
            <wp:simplePos x="0" y="0"/>
            <wp:positionH relativeFrom="column">
              <wp:posOffset>17780</wp:posOffset>
            </wp:positionH>
            <wp:positionV relativeFrom="paragraph">
              <wp:posOffset>191135</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9" w:name="_Toc15377211"/>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677.18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557.16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91.56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28.47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127000</wp:posOffset>
            </wp:positionH>
            <wp:positionV relativeFrom="paragraph">
              <wp:posOffset>73660</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sz w:val="32"/>
          <w:szCs w:val="32"/>
          <w:lang w:val="en-US" w:eastAsia="zh-CN"/>
        </w:rPr>
        <w:t xml:space="preserve">      </w:t>
      </w: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677.18万元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yellow"/>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教育（类）普通教育（款）小学教育（项）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557.16</w:t>
      </w:r>
      <w:r>
        <w:rPr>
          <w:rStyle w:val="14"/>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32.8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sz w:val="32"/>
          <w:szCs w:val="32"/>
        </w:rPr>
        <w:t>社会保障和就业（类）行政事业单位养老支出（款）  事业单位离退休（项）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58.76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28.47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576.88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545.05</w:t>
      </w:r>
      <w:r>
        <w:rPr>
          <w:rFonts w:hint="eastAsia" w:ascii="仿宋" w:hAnsi="仿宋" w:eastAsia="仿宋"/>
          <w:color w:val="auto"/>
          <w:sz w:val="32"/>
          <w:szCs w:val="32"/>
          <w:highlight w:val="none"/>
        </w:rPr>
        <w:t>万元，主要包括：基本工资、津贴补贴、绩效工资、机关事业单位基本养老保险缴费、职工基本医疗保险缴费、住房公积金其他社会保障缴费、其他工资福利支出、退休费、抚恤金、生活补助、</w:t>
      </w:r>
      <w:r>
        <w:rPr>
          <w:rFonts w:hint="eastAsia" w:ascii="仿宋" w:hAnsi="仿宋" w:eastAsia="仿宋"/>
          <w:color w:val="auto"/>
          <w:sz w:val="32"/>
          <w:szCs w:val="32"/>
          <w:highlight w:val="none"/>
          <w:lang w:eastAsia="zh-CN"/>
        </w:rPr>
        <w:t>助学金、</w:t>
      </w:r>
      <w:r>
        <w:rPr>
          <w:rFonts w:hint="eastAsia" w:ascii="仿宋" w:hAnsi="仿宋" w:eastAsia="仿宋"/>
          <w:color w:val="auto"/>
          <w:sz w:val="32"/>
          <w:szCs w:val="32"/>
          <w:highlight w:val="none"/>
        </w:rPr>
        <w:t>奖励金等。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31.83</w:t>
      </w:r>
      <w:r>
        <w:rPr>
          <w:rFonts w:hint="eastAsia" w:ascii="仿宋" w:hAnsi="仿宋" w:eastAsia="仿宋"/>
          <w:color w:val="auto"/>
          <w:sz w:val="32"/>
          <w:szCs w:val="32"/>
          <w:highlight w:val="none"/>
        </w:rPr>
        <w:t>万元，主要包括：办公费、手续费、水费、电费、邮电费、差旅费、维修（护）费、劳务费、工会经费、福利费等。</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rPr>
        <w:t>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广元市利州区杨家岩小学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杨家岩小学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广元市利州区杨家岩小学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广元市利州区杨家岩小学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年度预算编制阶段，组织对学前教育发展专项等</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事业收入：指事业单位开展专业业务活动及辅助活动取得的收入。主要是</w:t>
      </w:r>
      <w:r>
        <w:rPr>
          <w:rFonts w:hint="eastAsia" w:ascii="仿宋_GB2312" w:eastAsia="仿宋_GB2312"/>
          <w:color w:val="auto"/>
          <w:sz w:val="32"/>
          <w:szCs w:val="32"/>
        </w:rPr>
        <w:t>学前教育保育教育费收入</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rPr>
        <w:t>银行存款利息收入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2"/>
        <w:snapToGrid w:val="0"/>
        <w:spacing w:line="560" w:lineRule="exact"/>
        <w:ind w:firstLine="640" w:firstLineChars="200"/>
        <w:outlineLvl w:val="1"/>
        <w:rPr>
          <w:rFonts w:ascii="仿宋_GB2312" w:eastAsia="仿宋_GB2312"/>
          <w:color w:val="auto"/>
          <w:sz w:val="32"/>
          <w:szCs w:val="32"/>
        </w:rPr>
      </w:pPr>
      <w:bookmarkStart w:id="51" w:name="_Toc14545"/>
      <w:bookmarkStart w:id="52" w:name="_Toc18936"/>
      <w:r>
        <w:rPr>
          <w:rFonts w:hint="eastAsia" w:ascii="仿宋_GB2312" w:eastAsia="仿宋_GB2312"/>
          <w:color w:val="auto"/>
          <w:sz w:val="32"/>
          <w:szCs w:val="32"/>
          <w:lang w:val="en-US" w:eastAsia="zh-CN"/>
        </w:rPr>
        <w:t>4</w:t>
      </w:r>
      <w:r>
        <w:rPr>
          <w:rFonts w:hint="eastAsia" w:ascii="仿宋_GB2312" w:eastAsia="仿宋_GB2312"/>
          <w:color w:val="auto"/>
          <w:sz w:val="32"/>
          <w:szCs w:val="32"/>
        </w:rPr>
        <w:t>. 教育支出（类）普通教育（款）学前教育（项）:反映各部门举办的学前教育支出。</w:t>
      </w:r>
      <w:bookmarkEnd w:id="51"/>
      <w:bookmarkEnd w:id="52"/>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教育支出（类）普通教育（款）小学教育（项）:反映各部门举办的小学教育支出。政府各部门对社会中介组织等举办的小学的资助，如各类捐赠、补贴等，也在本科目中反映。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基本支出：指为保障机构正常运转、完成日常工作任务而发生的人员支出和公用支出。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 xml:space="preserve">. 项目支出：指在基本支出之外为完成特定行政任务和事业发展目标所发生的支出。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4"/>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5"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bookmarkStart w:id="69" w:name="_GoBack"/>
      <w:bookmarkEnd w:id="69"/>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3"/>
      <w:bookmarkEnd w:id="55"/>
      <w:bookmarkStart w:id="56"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6"/>
    </w:p>
    <w:p>
      <w:pPr>
        <w:pStyle w:val="3"/>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7"/>
    </w:p>
    <w:p>
      <w:pPr>
        <w:pStyle w:val="3"/>
        <w:rPr>
          <w:rFonts w:ascii="仿宋" w:hAnsi="仿宋" w:eastAsia="仿宋"/>
          <w:color w:val="auto"/>
          <w:highlight w:val="none"/>
        </w:rPr>
      </w:pPr>
      <w:bookmarkStart w:id="58"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8"/>
    </w:p>
    <w:p>
      <w:pPr>
        <w:pStyle w:val="3"/>
        <w:rPr>
          <w:rFonts w:ascii="仿宋" w:hAnsi="仿宋" w:eastAsia="仿宋"/>
          <w:b w:val="0"/>
          <w:color w:val="auto"/>
          <w:highlight w:val="none"/>
        </w:rPr>
      </w:pPr>
      <w:bookmarkStart w:id="59"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9"/>
    </w:p>
    <w:p>
      <w:pPr>
        <w:pStyle w:val="3"/>
        <w:rPr>
          <w:rStyle w:val="25"/>
          <w:rFonts w:ascii="仿宋" w:hAnsi="仿宋" w:eastAsia="仿宋"/>
          <w:b w:val="0"/>
          <w:bCs w:val="0"/>
          <w:color w:val="auto"/>
          <w:highlight w:val="none"/>
        </w:rPr>
      </w:pPr>
      <w:bookmarkStart w:id="60"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0"/>
      <w:bookmarkStart w:id="61" w:name="_Toc15396624"/>
    </w:p>
    <w:p>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1"/>
    </w:p>
    <w:p>
      <w:pPr>
        <w:pStyle w:val="3"/>
        <w:rPr>
          <w:rFonts w:ascii="仿宋" w:hAnsi="仿宋" w:eastAsia="仿宋"/>
          <w:color w:val="auto"/>
          <w:highlight w:val="none"/>
        </w:rPr>
      </w:pPr>
      <w:bookmarkStart w:id="62"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2"/>
    </w:p>
    <w:p>
      <w:pPr>
        <w:pStyle w:val="3"/>
        <w:rPr>
          <w:rFonts w:ascii="仿宋" w:hAnsi="仿宋" w:eastAsia="仿宋"/>
          <w:color w:val="auto"/>
          <w:highlight w:val="none"/>
        </w:rPr>
      </w:pPr>
      <w:bookmarkStart w:id="63"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3"/>
    </w:p>
    <w:p>
      <w:pPr>
        <w:pStyle w:val="3"/>
        <w:rPr>
          <w:rFonts w:ascii="仿宋" w:hAnsi="仿宋" w:eastAsia="仿宋"/>
          <w:color w:val="auto"/>
          <w:highlight w:val="none"/>
        </w:rPr>
      </w:pPr>
      <w:bookmarkStart w:id="64"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4"/>
    </w:p>
    <w:p>
      <w:pPr>
        <w:pStyle w:val="3"/>
        <w:rPr>
          <w:rFonts w:ascii="仿宋" w:hAnsi="仿宋" w:eastAsia="仿宋"/>
          <w:color w:val="auto"/>
          <w:highlight w:val="none"/>
        </w:rPr>
      </w:pPr>
      <w:bookmarkStart w:id="65" w:name="_Toc15396628"/>
      <w:r>
        <w:rPr>
          <w:rStyle w:val="25"/>
          <w:rFonts w:hint="eastAsia" w:ascii="仿宋" w:hAnsi="仿宋" w:eastAsia="仿宋"/>
          <w:b w:val="0"/>
          <w:bCs w:val="0"/>
          <w:color w:val="auto"/>
          <w:highlight w:val="none"/>
        </w:rPr>
        <w:t>十、</w:t>
      </w:r>
      <w:bookmarkEnd w:id="6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6" w:name="_Toc15396629"/>
      <w:r>
        <w:rPr>
          <w:rStyle w:val="25"/>
          <w:rFonts w:hint="eastAsia" w:ascii="仿宋" w:hAnsi="仿宋" w:eastAsia="仿宋"/>
          <w:b w:val="0"/>
          <w:bCs w:val="0"/>
          <w:color w:val="auto"/>
          <w:highlight w:val="none"/>
        </w:rPr>
        <w:t>十一、</w:t>
      </w:r>
      <w:bookmarkEnd w:id="66"/>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7" w:name="_Toc15396630"/>
      <w:r>
        <w:rPr>
          <w:rStyle w:val="25"/>
          <w:rFonts w:hint="eastAsia" w:ascii="仿宋" w:hAnsi="仿宋" w:eastAsia="仿宋"/>
          <w:b w:val="0"/>
          <w:bCs w:val="0"/>
          <w:color w:val="auto"/>
          <w:highlight w:val="none"/>
        </w:rPr>
        <w:t>十二、</w:t>
      </w:r>
      <w:bookmarkEnd w:id="67"/>
      <w:r>
        <w:rPr>
          <w:rStyle w:val="2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8" w:name="_Toc15396631"/>
      <w:r>
        <w:rPr>
          <w:rStyle w:val="25"/>
          <w:rFonts w:hint="eastAsia" w:ascii="仿宋" w:hAnsi="仿宋" w:eastAsia="仿宋"/>
          <w:b w:val="0"/>
          <w:bCs w:val="0"/>
          <w:color w:val="auto"/>
          <w:highlight w:val="none"/>
        </w:rPr>
        <w:t>十三、</w:t>
      </w:r>
      <w:bookmarkEnd w:id="68"/>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CE6474B"/>
    <w:rsid w:val="1D155CEE"/>
    <w:rsid w:val="20F57F95"/>
    <w:rsid w:val="21236F43"/>
    <w:rsid w:val="226F777E"/>
    <w:rsid w:val="240371BF"/>
    <w:rsid w:val="25711CC6"/>
    <w:rsid w:val="25C741E6"/>
    <w:rsid w:val="27842671"/>
    <w:rsid w:val="29FD04D3"/>
    <w:rsid w:val="2ABE7A3E"/>
    <w:rsid w:val="2CA234A8"/>
    <w:rsid w:val="2EFA178C"/>
    <w:rsid w:val="30B46D73"/>
    <w:rsid w:val="319F7F4E"/>
    <w:rsid w:val="32877B23"/>
    <w:rsid w:val="32C97752"/>
    <w:rsid w:val="383D272C"/>
    <w:rsid w:val="39400976"/>
    <w:rsid w:val="39AE70AB"/>
    <w:rsid w:val="3C0C0783"/>
    <w:rsid w:val="3D9451B4"/>
    <w:rsid w:val="3EC6755E"/>
    <w:rsid w:val="3F9F3A96"/>
    <w:rsid w:val="46272B4C"/>
    <w:rsid w:val="48BF60AB"/>
    <w:rsid w:val="493C27E9"/>
    <w:rsid w:val="496F39ED"/>
    <w:rsid w:val="49FF41D3"/>
    <w:rsid w:val="4BE068DB"/>
    <w:rsid w:val="4BF6002B"/>
    <w:rsid w:val="4ECE2238"/>
    <w:rsid w:val="51DB4B86"/>
    <w:rsid w:val="551C72DC"/>
    <w:rsid w:val="55333C3E"/>
    <w:rsid w:val="61ED0028"/>
    <w:rsid w:val="61F22607"/>
    <w:rsid w:val="62B874F1"/>
    <w:rsid w:val="64CA39A1"/>
    <w:rsid w:val="69630ADE"/>
    <w:rsid w:val="6C4A05C8"/>
    <w:rsid w:val="6D3B1A89"/>
    <w:rsid w:val="71BF4EC2"/>
    <w:rsid w:val="72734D90"/>
    <w:rsid w:val="73456B6E"/>
    <w:rsid w:val="7412278C"/>
    <w:rsid w:val="79E7B28D"/>
    <w:rsid w:val="7BAE49D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756.03</c:v>
                </c:pt>
                <c:pt idx="1">
                  <c:v>679.85</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659.37</c:v>
                </c:pt>
                <c:pt idx="1">
                  <c:v>679.85</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#,##0.00</c:formatCode>
                <c:ptCount val="3"/>
                <c:pt idx="0">
                  <c:v>580.52</c:v>
                </c:pt>
                <c:pt idx="1" c:formatCode="General">
                  <c:v>1.43</c:v>
                </c:pt>
                <c:pt idx="2" c:formatCode="General">
                  <c:v>1.24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579.55</c:v>
                </c:pt>
                <c:pt idx="1">
                  <c:v>100.3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3440610936861"/>
          <c:y val="0.3500393597480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751.8</c:v>
                </c:pt>
                <c:pt idx="1">
                  <c:v>677.18</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655.14</c:v>
                </c:pt>
                <c:pt idx="1">
                  <c:v>677.18</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655.14</c:v>
                </c:pt>
                <c:pt idx="1">
                  <c:v>677.18</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557.16</c:v>
                </c:pt>
                <c:pt idx="1">
                  <c:v>91.56</c:v>
                </c:pt>
                <c:pt idx="2">
                  <c:v>28.47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31</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2023-10-14T03:35:19Z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2C12F8D79E6A485DB8790AEE72055C9E_12</vt:lpwstr>
  </property>
</Properties>
</file>