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196"/>
      <w:bookmarkStart w:id="1" w:name="_Toc15396599"/>
    </w:p>
    <w:p>
      <w:pPr>
        <w:pStyle w:val="5"/>
        <w:rPr>
          <w:rFonts w:ascii="方正小标宋简体" w:hAnsi="宋体" w:eastAsia="方正小标宋简体"/>
          <w:color w:val="auto"/>
          <w:sz w:val="72"/>
          <w:szCs w:val="72"/>
          <w:highlight w:val="none"/>
        </w:rPr>
      </w:pPr>
    </w:p>
    <w:p>
      <w:pPr>
        <w:pStyle w:val="5"/>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2" w:name="_Toc15377193"/>
      <w:bookmarkStart w:id="3" w:name="_Toc15396475"/>
      <w:bookmarkStart w:id="4" w:name="_Toc15377425"/>
      <w:bookmarkStart w:id="5" w:name="_Toc15378441"/>
      <w:bookmarkStart w:id="6" w:name="_Toc29235"/>
      <w:bookmarkStart w:id="7" w:name="_Toc15396597"/>
      <w:r>
        <w:rPr>
          <w:rFonts w:hint="eastAsia" w:ascii="方正小标宋简体" w:hAnsi="方正小标宋简体" w:eastAsia="方正小标宋简体" w:cs="方正小标宋简体"/>
          <w:color w:val="auto"/>
          <w:sz w:val="70"/>
          <w:szCs w:val="70"/>
          <w:highlight w:val="none"/>
        </w:rPr>
        <w:t>20</w:t>
      </w:r>
      <w:r>
        <w:rPr>
          <w:rFonts w:hint="eastAsia" w:ascii="方正小标宋简体" w:hAnsi="方正小标宋简体" w:eastAsia="方正小标宋简体" w:cs="方正小标宋简体"/>
          <w:color w:val="auto"/>
          <w:sz w:val="70"/>
          <w:szCs w:val="70"/>
          <w:highlight w:val="none"/>
          <w:lang w:val="en-US" w:eastAsia="zh-CN"/>
        </w:rPr>
        <w:t>22</w:t>
      </w:r>
      <w:r>
        <w:rPr>
          <w:rFonts w:hint="eastAsia" w:ascii="方正小标宋简体" w:hAnsi="方正小标宋简体" w:eastAsia="方正小标宋简体" w:cs="方正小标宋简体"/>
          <w:color w:val="auto"/>
          <w:sz w:val="70"/>
          <w:szCs w:val="70"/>
          <w:highlight w:val="none"/>
        </w:rPr>
        <w:t>年度</w:t>
      </w:r>
      <w:bookmarkEnd w:id="2"/>
      <w:bookmarkEnd w:id="3"/>
      <w:bookmarkEnd w:id="4"/>
      <w:bookmarkEnd w:id="5"/>
      <w:bookmarkEnd w:id="6"/>
      <w:bookmarkEnd w:id="7"/>
    </w:p>
    <w:p>
      <w:pPr>
        <w:adjustRightInd w:val="0"/>
        <w:snapToGrid w:val="0"/>
        <w:spacing w:line="360" w:lineRule="auto"/>
        <w:jc w:val="center"/>
        <w:outlineLvl w:val="0"/>
        <w:rPr>
          <w:rFonts w:hint="default" w:ascii="方正小标宋简体" w:hAnsi="方正小标宋简体" w:eastAsia="方正小标宋简体" w:cs="方正小标宋简体"/>
          <w:color w:val="auto"/>
          <w:sz w:val="70"/>
          <w:szCs w:val="70"/>
          <w:highlight w:val="none"/>
          <w:lang w:val="en-US"/>
        </w:rPr>
      </w:pPr>
      <w:bookmarkStart w:id="8" w:name="_Toc3032"/>
      <w:r>
        <w:rPr>
          <w:rFonts w:hint="eastAsia" w:ascii="方正小标宋简体" w:hAnsi="方正小标宋简体" w:eastAsia="方正小标宋简体" w:cs="方正小标宋简体"/>
          <w:color w:val="auto"/>
          <w:sz w:val="70"/>
          <w:szCs w:val="70"/>
          <w:highlight w:val="none"/>
          <w:lang w:val="en-US" w:eastAsia="zh-CN"/>
        </w:rPr>
        <w:t>广元市利州区宝轮第一小学部门决算</w:t>
      </w:r>
      <w:bookmarkEnd w:id="8"/>
    </w:p>
    <w:p>
      <w:pPr>
        <w:rPr>
          <w:rFonts w:ascii="仿宋" w:hAnsi="仿宋" w:eastAsia="仿宋"/>
          <w:b/>
          <w:color w:val="auto"/>
          <w:sz w:val="24"/>
          <w:highlight w:val="none"/>
        </w:rPr>
      </w:pPr>
      <w:r>
        <w:rPr>
          <w:rFonts w:ascii="仿宋" w:hAnsi="仿宋" w:eastAsia="仿宋"/>
          <w:b/>
          <w:color w:val="auto"/>
          <w:sz w:val="24"/>
          <w:highlight w:val="none"/>
        </w:rPr>
        <w:br w:type="page"/>
      </w:r>
    </w:p>
    <w:sdt>
      <w:sdtPr>
        <w:rPr>
          <w:rFonts w:ascii="宋体" w:hAnsi="宋体" w:eastAsia="宋体" w:cs="Times New Roman"/>
          <w:color w:val="auto"/>
          <w:kern w:val="2"/>
          <w:sz w:val="21"/>
          <w:szCs w:val="24"/>
          <w:lang w:val="en-US" w:eastAsia="zh-CN" w:bidi="ar-SA"/>
        </w:rPr>
        <w:id w:val="147467499"/>
        <w15:color w:val="DBDBDB"/>
        <w:docPartObj>
          <w:docPartGallery w:val="Table of Contents"/>
          <w:docPartUnique/>
        </w:docPartObj>
      </w:sdtPr>
      <w:sdtEndPr>
        <w:rPr>
          <w:rFonts w:ascii="宋体" w:hAnsi="宋体"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pStyle w:val="10"/>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color w:val="auto"/>
            </w:rPr>
            <w:fldChar w:fldCharType="begin"/>
          </w:r>
          <w:r>
            <w:rPr>
              <w:color w:val="auto"/>
            </w:rPr>
            <w:instrText xml:space="preserve">TOC \o "1-2" \h \u </w:instrText>
          </w:r>
          <w:r>
            <w:rPr>
              <w:color w:val="auto"/>
            </w:rPr>
            <w:fldChar w:fldCharType="separate"/>
          </w:r>
        </w:p>
        <w:p>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_Toc31849 </w:instrText>
          </w:r>
          <w:r>
            <w:rPr>
              <w:sz w:val="32"/>
              <w:szCs w:val="32"/>
            </w:rPr>
            <w:fldChar w:fldCharType="separate"/>
          </w: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bCs w:val="0"/>
              <w:sz w:val="32"/>
              <w:szCs w:val="32"/>
              <w:highlight w:val="none"/>
            </w:rPr>
            <w:t>概况</w:t>
          </w:r>
          <w:r>
            <w:rPr>
              <w:color w:val="auto"/>
              <w:sz w:val="32"/>
              <w:szCs w:val="32"/>
            </w:rPr>
            <w:fldChar w:fldCharType="end"/>
          </w:r>
        </w:p>
        <w:p>
          <w:pPr>
            <w:pStyle w:val="11"/>
            <w:tabs>
              <w:tab w:val="right" w:leader="dot" w:pos="8845"/>
              <w:tab w:val="clear" w:pos="8296"/>
            </w:tabs>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一、主要职责</w:t>
          </w:r>
        </w:p>
        <w:p>
          <w:pPr>
            <w:pStyle w:val="11"/>
            <w:tabs>
              <w:tab w:val="right" w:leader="dot" w:pos="8845"/>
              <w:tab w:val="clear" w:pos="8296"/>
            </w:tabs>
            <w:rPr>
              <w:rFonts w:hint="default" w:eastAsia="宋体"/>
              <w:sz w:val="32"/>
              <w:szCs w:val="32"/>
              <w:lang w:val="en-US" w:eastAsia="zh-CN"/>
            </w:rPr>
          </w:pPr>
          <w:r>
            <w:rPr>
              <w:rFonts w:hint="eastAsia"/>
              <w:sz w:val="32"/>
              <w:szCs w:val="32"/>
              <w:lang w:val="en-US" w:eastAsia="zh-CN"/>
            </w:rPr>
            <w:t>二、机构设置</w:t>
          </w:r>
        </w:p>
        <w:p>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_Toc19471 </w:instrText>
          </w:r>
          <w:r>
            <w:rPr>
              <w:sz w:val="32"/>
              <w:szCs w:val="32"/>
            </w:rPr>
            <w:fldChar w:fldCharType="separate"/>
          </w:r>
          <w:r>
            <w:rPr>
              <w:rFonts w:hint="eastAsia" w:ascii="黑体" w:hAnsi="黑体" w:eastAsia="黑体"/>
              <w:bCs/>
              <w:sz w:val="32"/>
              <w:szCs w:val="32"/>
              <w:highlight w:val="none"/>
            </w:rPr>
            <w:t xml:space="preserve">第二部分 </w:t>
          </w:r>
          <w:r>
            <w:rPr>
              <w:rFonts w:hint="eastAsia" w:ascii="黑体" w:hAnsi="黑体" w:eastAsia="黑体"/>
              <w:bCs/>
              <w:sz w:val="32"/>
              <w:szCs w:val="32"/>
              <w:highlight w:val="none"/>
              <w:lang w:val="en-US" w:eastAsia="zh-CN"/>
            </w:rPr>
            <w:t>2022年度</w:t>
          </w:r>
          <w:r>
            <w:rPr>
              <w:rFonts w:hint="eastAsia" w:ascii="黑体" w:hAnsi="黑体" w:eastAsia="黑体"/>
              <w:bCs/>
              <w:sz w:val="32"/>
              <w:szCs w:val="32"/>
              <w:highlight w:val="none"/>
              <w:lang w:eastAsia="zh-CN"/>
            </w:rPr>
            <w:t>单位</w:t>
          </w:r>
          <w:r>
            <w:rPr>
              <w:rFonts w:hint="eastAsia" w:ascii="黑体" w:hAnsi="黑体" w:eastAsia="黑体"/>
              <w:bCs/>
              <w:sz w:val="32"/>
              <w:szCs w:val="32"/>
              <w:highlight w:val="none"/>
            </w:rPr>
            <w:t>决算情况说明</w:t>
          </w:r>
          <w:r>
            <w:rPr>
              <w:color w:val="auto"/>
              <w:sz w:val="32"/>
              <w:szCs w:val="32"/>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_Toc4037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一、收入支出决算总体情况说明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_Toc11408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二、收入决算情况说明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_Toc26078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三、支出决算情况说明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_Toc29848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四、财政拨款收入支出决算总体情况说明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_Toc7022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五、一般公共预算财政拨款支出决算情况说明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_Toc25871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六、一般公共预算财政拨款基本支出决算情况说明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_Toc26671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七、“三公”经费财政拨款支出决算情况说明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_Toc21937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八、政府性基金预算支出决算情况说明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_Toc25869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九、 国有资本经营预算支出决算情况说明</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sz w:val="32"/>
              <w:szCs w:val="32"/>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_Toc3617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十、 其他重要事项的情况说明</w:t>
          </w:r>
          <w:r>
            <w:rPr>
              <w:rFonts w:hint="eastAsia" w:ascii="仿宋" w:hAnsi="仿宋" w:eastAsia="仿宋"/>
              <w:sz w:val="32"/>
              <w:szCs w:val="32"/>
              <w:highlight w:val="none"/>
              <w:lang w:val="en-US" w:eastAsia="zh-CN"/>
            </w:rPr>
            <w:fldChar w:fldCharType="end"/>
          </w:r>
        </w:p>
        <w:p>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_Toc13602 </w:instrText>
          </w:r>
          <w:r>
            <w:rPr>
              <w:sz w:val="32"/>
              <w:szCs w:val="32"/>
            </w:rPr>
            <w:fldChar w:fldCharType="separate"/>
          </w:r>
          <w:r>
            <w:rPr>
              <w:rFonts w:hint="eastAsia" w:ascii="黑体" w:hAnsi="黑体" w:eastAsia="黑体" w:cs="黑体"/>
              <w:sz w:val="32"/>
              <w:szCs w:val="32"/>
            </w:rPr>
            <w:t xml:space="preserve">第三部分 </w:t>
          </w:r>
          <w:r>
            <w:rPr>
              <w:rFonts w:hint="eastAsia" w:ascii="黑体" w:hAnsi="黑体" w:eastAsia="黑体"/>
              <w:sz w:val="32"/>
              <w:szCs w:val="32"/>
              <w:highlight w:val="none"/>
            </w:rPr>
            <w:t>名词解释</w:t>
          </w:r>
          <w:r>
            <w:rPr>
              <w:color w:val="auto"/>
              <w:sz w:val="32"/>
              <w:szCs w:val="32"/>
            </w:rPr>
            <w:fldChar w:fldCharType="end"/>
          </w:r>
        </w:p>
        <w:p>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_Toc8790 </w:instrText>
          </w:r>
          <w:r>
            <w:rPr>
              <w:sz w:val="32"/>
              <w:szCs w:val="32"/>
            </w:rPr>
            <w:fldChar w:fldCharType="separate"/>
          </w:r>
          <w:r>
            <w:rPr>
              <w:rFonts w:hint="eastAsia" w:ascii="黑体" w:hAnsi="黑体" w:eastAsia="黑体" w:cs="黑体"/>
              <w:sz w:val="32"/>
              <w:szCs w:val="32"/>
            </w:rPr>
            <w:t xml:space="preserve">第四部分 </w:t>
          </w:r>
          <w:r>
            <w:rPr>
              <w:rFonts w:hint="eastAsia" w:ascii="黑体" w:hAnsi="黑体" w:eastAsia="黑体"/>
              <w:sz w:val="32"/>
              <w:szCs w:val="32"/>
              <w:highlight w:val="none"/>
            </w:rPr>
            <w:t>附件</w:t>
          </w:r>
          <w:r>
            <w:rPr>
              <w:color w:val="auto"/>
              <w:sz w:val="32"/>
              <w:szCs w:val="32"/>
            </w:rPr>
            <w:fldChar w:fldCharType="end"/>
          </w:r>
        </w:p>
        <w:p>
          <w:pPr>
            <w:pStyle w:val="11"/>
            <w:tabs>
              <w:tab w:val="right" w:leader="dot" w:pos="8845"/>
              <w:tab w:val="clear" w:pos="8296"/>
            </w:tabs>
            <w:rPr>
              <w:sz w:val="32"/>
              <w:szCs w:val="32"/>
            </w:rPr>
          </w:pPr>
          <w:r>
            <w:rPr>
              <w:rFonts w:hint="eastAsia" w:ascii="仿宋" w:hAnsi="仿宋" w:eastAsia="仿宋"/>
              <w:b/>
              <w:bCs/>
              <w:sz w:val="32"/>
              <w:szCs w:val="32"/>
              <w:highlight w:val="none"/>
              <w:lang w:val="zh-CN" w:eastAsia="zh-CN"/>
            </w:rPr>
            <w:fldChar w:fldCharType="begin"/>
          </w:r>
          <w:r>
            <w:rPr>
              <w:rFonts w:hint="eastAsia" w:ascii="仿宋" w:hAnsi="仿宋" w:eastAsia="仿宋"/>
              <w:b/>
              <w:bCs/>
              <w:sz w:val="32"/>
              <w:szCs w:val="32"/>
              <w:highlight w:val="none"/>
              <w:lang w:val="zh-CN" w:eastAsia="zh-CN"/>
            </w:rPr>
            <w:instrText xml:space="preserve"> HYPERLINK \l _Toc6467 </w:instrText>
          </w:r>
          <w:r>
            <w:rPr>
              <w:rFonts w:hint="eastAsia" w:ascii="仿宋" w:hAnsi="仿宋" w:eastAsia="仿宋"/>
              <w:b/>
              <w:bCs/>
              <w:sz w:val="32"/>
              <w:szCs w:val="32"/>
              <w:highlight w:val="none"/>
              <w:lang w:val="zh-CN" w:eastAsia="zh-CN"/>
            </w:rPr>
            <w:fldChar w:fldCharType="separate"/>
          </w:r>
          <w:r>
            <w:rPr>
              <w:rFonts w:hint="eastAsia" w:ascii="仿宋" w:hAnsi="仿宋" w:eastAsia="仿宋"/>
              <w:b/>
              <w:bCs/>
              <w:sz w:val="32"/>
              <w:szCs w:val="32"/>
              <w:highlight w:val="none"/>
              <w:lang w:val="en-US" w:eastAsia="zh-CN"/>
            </w:rPr>
            <w:t>附件一：</w:t>
          </w:r>
          <w:r>
            <w:rPr>
              <w:rFonts w:hint="eastAsia" w:ascii="仿宋" w:hAnsi="仿宋" w:eastAsia="仿宋"/>
              <w:b/>
              <w:bCs/>
              <w:sz w:val="32"/>
              <w:szCs w:val="32"/>
              <w:highlight w:val="none"/>
              <w:lang w:val="zh-CN" w:eastAsia="zh-CN"/>
            </w:rPr>
            <w:fldChar w:fldCharType="end"/>
          </w:r>
          <w:r>
            <w:rPr>
              <w:rFonts w:hint="eastAsia" w:ascii="仿宋" w:hAnsi="仿宋" w:eastAsia="仿宋"/>
              <w:b/>
              <w:bCs/>
              <w:sz w:val="32"/>
              <w:szCs w:val="32"/>
              <w:highlight w:val="none"/>
              <w:lang w:val="zh-CN" w:eastAsia="zh-CN"/>
            </w:rPr>
            <w:fldChar w:fldCharType="begin"/>
          </w:r>
          <w:r>
            <w:rPr>
              <w:rFonts w:hint="eastAsia" w:ascii="仿宋" w:hAnsi="仿宋" w:eastAsia="仿宋"/>
              <w:b/>
              <w:bCs/>
              <w:sz w:val="32"/>
              <w:szCs w:val="32"/>
              <w:highlight w:val="none"/>
              <w:lang w:val="zh-CN" w:eastAsia="zh-CN"/>
            </w:rPr>
            <w:instrText xml:space="preserve"> HYPERLINK \l _Toc2383 </w:instrText>
          </w:r>
          <w:r>
            <w:rPr>
              <w:rFonts w:hint="eastAsia" w:ascii="仿宋" w:hAnsi="仿宋" w:eastAsia="仿宋"/>
              <w:b/>
              <w:bCs/>
              <w:sz w:val="32"/>
              <w:szCs w:val="32"/>
              <w:highlight w:val="none"/>
              <w:lang w:val="zh-CN" w:eastAsia="zh-CN"/>
            </w:rPr>
            <w:fldChar w:fldCharType="separate"/>
          </w:r>
          <w:r>
            <w:rPr>
              <w:rFonts w:hint="eastAsia" w:ascii="仿宋" w:hAnsi="仿宋" w:eastAsia="仿宋"/>
              <w:b/>
              <w:bCs/>
              <w:sz w:val="32"/>
              <w:szCs w:val="32"/>
              <w:highlight w:val="none"/>
              <w:lang w:val="zh-CN" w:eastAsia="zh-CN"/>
            </w:rPr>
            <w:t>202</w:t>
          </w:r>
          <w:r>
            <w:rPr>
              <w:rFonts w:hint="eastAsia" w:ascii="仿宋" w:hAnsi="仿宋" w:eastAsia="仿宋"/>
              <w:b/>
              <w:bCs/>
              <w:sz w:val="32"/>
              <w:szCs w:val="32"/>
              <w:highlight w:val="none"/>
              <w:lang w:val="en-US" w:eastAsia="zh-CN"/>
            </w:rPr>
            <w:t>2</w:t>
          </w:r>
          <w:r>
            <w:rPr>
              <w:rFonts w:hint="eastAsia" w:ascii="仿宋" w:hAnsi="仿宋" w:eastAsia="仿宋"/>
              <w:b/>
              <w:bCs/>
              <w:sz w:val="32"/>
              <w:szCs w:val="32"/>
              <w:highlight w:val="none"/>
              <w:lang w:val="zh-CN" w:eastAsia="zh-CN"/>
            </w:rPr>
            <w:t>年</w:t>
          </w:r>
          <w:r>
            <w:rPr>
              <w:rFonts w:hint="eastAsia" w:ascii="仿宋" w:hAnsi="仿宋" w:eastAsia="仿宋"/>
              <w:b/>
              <w:bCs/>
              <w:sz w:val="32"/>
              <w:szCs w:val="32"/>
              <w:highlight w:val="none"/>
              <w:lang w:val="en-US" w:eastAsia="zh-CN"/>
            </w:rPr>
            <w:t>部门</w:t>
          </w:r>
          <w:r>
            <w:rPr>
              <w:rFonts w:hint="eastAsia" w:ascii="仿宋" w:hAnsi="仿宋" w:eastAsia="仿宋"/>
              <w:b/>
              <w:bCs/>
              <w:sz w:val="32"/>
              <w:szCs w:val="32"/>
              <w:highlight w:val="none"/>
              <w:lang w:val="zh-CN" w:eastAsia="zh-CN"/>
            </w:rPr>
            <w:t>整体支出绩效评价报告</w:t>
          </w:r>
          <w:r>
            <w:rPr>
              <w:rFonts w:hint="eastAsia" w:ascii="仿宋" w:hAnsi="仿宋" w:eastAsia="仿宋"/>
              <w:b/>
              <w:bCs/>
              <w:sz w:val="32"/>
              <w:szCs w:val="32"/>
              <w:highlight w:val="none"/>
              <w:lang w:val="zh-CN" w:eastAsia="zh-CN"/>
            </w:rPr>
            <w:fldChar w:fldCharType="end"/>
          </w:r>
        </w:p>
        <w:p>
          <w:pPr>
            <w:pStyle w:val="11"/>
            <w:tabs>
              <w:tab w:val="center" w:pos="4422"/>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_Toc18784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zh-CN" w:eastAsia="zh-CN"/>
            </w:rPr>
            <w:t>一、部门（单位）概况</w:t>
          </w:r>
          <w:r>
            <w:rPr>
              <w:rFonts w:hint="eastAsia" w:ascii="仿宋" w:hAnsi="仿宋" w:eastAsia="仿宋"/>
              <w:sz w:val="32"/>
              <w:szCs w:val="32"/>
              <w:highlight w:val="none"/>
              <w:lang w:val="en-US" w:eastAsia="zh-CN"/>
            </w:rPr>
            <w:fldChar w:fldCharType="end"/>
          </w:r>
          <w:r>
            <w:rPr>
              <w:rFonts w:hint="eastAsia" w:ascii="仿宋" w:hAnsi="仿宋" w:eastAsia="仿宋"/>
              <w:sz w:val="32"/>
              <w:szCs w:val="32"/>
              <w:highlight w:val="none"/>
              <w:lang w:val="en-US" w:eastAsia="zh-CN"/>
            </w:rPr>
            <w:tab/>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_Toc27776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二、部门财政资金收支情况</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_Toc23895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三、部门整体预算绩效管理情况</w:t>
          </w:r>
          <w:r>
            <w:rPr>
              <w:rFonts w:hint="eastAsia" w:ascii="仿宋" w:hAnsi="仿宋" w:eastAsia="仿宋"/>
              <w:sz w:val="32"/>
              <w:szCs w:val="32"/>
              <w:highlight w:val="none"/>
              <w:lang w:val="en-US" w:eastAsia="zh-CN"/>
            </w:rPr>
            <w:fldChar w:fldCharType="end"/>
          </w:r>
        </w:p>
        <w:p>
          <w:pPr>
            <w:pStyle w:val="11"/>
            <w:tabs>
              <w:tab w:val="right" w:leader="dot" w:pos="8845"/>
              <w:tab w:val="clear" w:pos="8296"/>
            </w:tabs>
            <w:rPr>
              <w:sz w:val="32"/>
              <w:szCs w:val="32"/>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_Toc12190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四、评价结论及建议</w:t>
          </w:r>
          <w:r>
            <w:rPr>
              <w:rFonts w:hint="eastAsia" w:ascii="仿宋" w:hAnsi="仿宋" w:eastAsia="仿宋"/>
              <w:sz w:val="32"/>
              <w:szCs w:val="32"/>
              <w:highlight w:val="none"/>
              <w:lang w:val="en-US" w:eastAsia="zh-CN"/>
            </w:rPr>
            <w:fldChar w:fldCharType="end"/>
          </w:r>
        </w:p>
        <w:p>
          <w:pPr>
            <w:pStyle w:val="11"/>
            <w:adjustRightInd w:val="0"/>
            <w:snapToGrid w:val="0"/>
            <w:spacing w:line="440" w:lineRule="exact"/>
            <w:jc w:val="left"/>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fldChar w:fldCharType="begin"/>
          </w:r>
          <w:r>
            <w:rPr>
              <w:rFonts w:hint="eastAsia" w:ascii="仿宋" w:hAnsi="仿宋" w:eastAsia="仿宋"/>
              <w:b/>
              <w:bCs/>
              <w:sz w:val="32"/>
              <w:szCs w:val="32"/>
              <w:highlight w:val="none"/>
              <w:lang w:val="en-US" w:eastAsia="zh-CN"/>
            </w:rPr>
            <w:instrText xml:space="preserve"> HYPERLINK \l _Toc28689 </w:instrText>
          </w:r>
          <w:r>
            <w:rPr>
              <w:rFonts w:hint="eastAsia" w:ascii="仿宋" w:hAnsi="仿宋" w:eastAsia="仿宋"/>
              <w:b/>
              <w:bCs/>
              <w:sz w:val="32"/>
              <w:szCs w:val="32"/>
              <w:highlight w:val="none"/>
              <w:lang w:val="en-US" w:eastAsia="zh-CN"/>
            </w:rPr>
            <w:fldChar w:fldCharType="separate"/>
          </w:r>
          <w:r>
            <w:rPr>
              <w:rFonts w:hint="eastAsia" w:ascii="仿宋" w:hAnsi="仿宋" w:eastAsia="仿宋"/>
              <w:b/>
              <w:bCs/>
              <w:sz w:val="32"/>
              <w:szCs w:val="32"/>
              <w:highlight w:val="none"/>
              <w:lang w:val="en-US" w:eastAsia="zh-CN"/>
            </w:rPr>
            <w:t>附件二2022年</w:t>
          </w:r>
          <w:r>
            <w:rPr>
              <w:rFonts w:hint="eastAsia" w:ascii="仿宋" w:hAnsi="仿宋" w:eastAsia="仿宋"/>
              <w:b/>
              <w:bCs/>
              <w:sz w:val="32"/>
              <w:szCs w:val="32"/>
              <w:highlight w:val="none"/>
              <w:lang w:val="zh-CN" w:eastAsia="zh-CN"/>
            </w:rPr>
            <w:t>专项预算项目支出绩效自评报告</w:t>
          </w:r>
        </w:p>
        <w:p>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2.1：</w:t>
          </w:r>
          <w:r>
            <w:rPr>
              <w:rFonts w:hint="eastAsia" w:ascii="仿宋" w:hAnsi="仿宋" w:eastAsia="仿宋"/>
              <w:b/>
              <w:bCs/>
              <w:sz w:val="32"/>
              <w:szCs w:val="32"/>
              <w:highlight w:val="none"/>
              <w:lang w:val="en-US" w:eastAsia="zh-CN"/>
            </w:rPr>
            <w:fldChar w:fldCharType="end"/>
          </w:r>
          <w:r>
            <w:rPr>
              <w:rFonts w:hint="eastAsia" w:ascii="仿宋" w:hAnsi="仿宋" w:eastAsia="仿宋"/>
              <w:b/>
              <w:bCs/>
              <w:sz w:val="32"/>
              <w:szCs w:val="32"/>
              <w:highlight w:val="none"/>
              <w:lang w:val="en-US" w:eastAsia="zh-CN"/>
            </w:rPr>
            <w:fldChar w:fldCharType="begin"/>
          </w:r>
          <w:r>
            <w:rPr>
              <w:rFonts w:hint="eastAsia" w:ascii="仿宋" w:hAnsi="仿宋" w:eastAsia="仿宋"/>
              <w:b/>
              <w:bCs/>
              <w:sz w:val="32"/>
              <w:szCs w:val="32"/>
              <w:highlight w:val="none"/>
              <w:lang w:val="en-US" w:eastAsia="zh-CN"/>
            </w:rPr>
            <w:instrText xml:space="preserve"> HYPERLINK \l _Toc22484 </w:instrText>
          </w:r>
          <w:r>
            <w:rPr>
              <w:rFonts w:hint="eastAsia" w:ascii="仿宋" w:hAnsi="仿宋" w:eastAsia="仿宋"/>
              <w:b/>
              <w:bCs/>
              <w:sz w:val="32"/>
              <w:szCs w:val="32"/>
              <w:highlight w:val="none"/>
              <w:lang w:val="en-US" w:eastAsia="zh-CN"/>
            </w:rPr>
            <w:fldChar w:fldCharType="separate"/>
          </w:r>
          <w:r>
            <w:rPr>
              <w:rFonts w:hint="eastAsia" w:ascii="仿宋" w:hAnsi="仿宋" w:eastAsia="仿宋"/>
              <w:b/>
              <w:bCs/>
              <w:sz w:val="32"/>
              <w:szCs w:val="32"/>
              <w:highlight w:val="none"/>
              <w:lang w:val="en-US" w:eastAsia="zh-CN"/>
            </w:rPr>
            <w:t>2022义务教育薄弱环节改善与能力提升中央补助资金绩效评估报告</w:t>
          </w:r>
          <w:r>
            <w:rPr>
              <w:rFonts w:hint="eastAsia" w:ascii="仿宋" w:hAnsi="仿宋" w:eastAsia="仿宋"/>
              <w:b/>
              <w:bCs/>
              <w:sz w:val="32"/>
              <w:szCs w:val="32"/>
              <w:highlight w:val="none"/>
              <w:lang w:val="en-US" w:eastAsia="zh-CN"/>
            </w:rPr>
            <w:fldChar w:fldCharType="end"/>
          </w:r>
        </w:p>
        <w:p>
          <w:pPr>
            <w:pStyle w:val="11"/>
            <w:tabs>
              <w:tab w:val="right" w:leader="dot" w:pos="8845"/>
              <w:tab w:val="clear" w:pos="8296"/>
            </w:tabs>
            <w:rPr>
              <w:rFonts w:hint="eastAsia" w:ascii="仿宋" w:hAnsi="仿宋" w:eastAsia="仿宋"/>
              <w:sz w:val="32"/>
              <w:szCs w:val="32"/>
              <w:highlight w:val="none"/>
              <w:lang w:val="en-US" w:eastAsia="zh-CN"/>
            </w:rPr>
          </w:pPr>
          <w:r>
            <w:rPr>
              <w:b/>
              <w:bCs/>
              <w:color w:val="auto"/>
              <w:sz w:val="32"/>
              <w:szCs w:val="32"/>
            </w:rPr>
            <w:fldChar w:fldCharType="begin"/>
          </w:r>
          <w:r>
            <w:rPr>
              <w:b/>
              <w:bCs/>
              <w:sz w:val="32"/>
              <w:szCs w:val="32"/>
            </w:rPr>
            <w:instrText xml:space="preserve"> HYPERLINK \l _Toc7532 </w:instrText>
          </w:r>
          <w:r>
            <w:rPr>
              <w:b/>
              <w:bCs/>
              <w:sz w:val="32"/>
              <w:szCs w:val="32"/>
            </w:rPr>
            <w:fldChar w:fldCharType="separate"/>
          </w:r>
          <w:r>
            <w:rPr>
              <w:rFonts w:hint="eastAsia" w:ascii="仿宋" w:hAnsi="仿宋" w:eastAsia="仿宋" w:cs="仿宋_GB2312"/>
              <w:b/>
              <w:bCs/>
              <w:sz w:val="32"/>
              <w:szCs w:val="32"/>
              <w:lang w:val="en-US" w:eastAsia="zh-CN"/>
            </w:rPr>
            <w:t>2.2：</w:t>
          </w:r>
          <w:r>
            <w:rPr>
              <w:b/>
              <w:bCs/>
              <w:color w:val="auto"/>
              <w:sz w:val="32"/>
              <w:szCs w:val="32"/>
            </w:rPr>
            <w:fldChar w:fldCharType="end"/>
          </w:r>
          <w:r>
            <w:rPr>
              <w:rFonts w:hint="eastAsia" w:ascii="仿宋" w:hAnsi="仿宋" w:eastAsia="仿宋"/>
              <w:b/>
              <w:bCs/>
              <w:sz w:val="32"/>
              <w:szCs w:val="32"/>
              <w:highlight w:val="none"/>
              <w:lang w:val="en-US" w:eastAsia="zh-CN"/>
            </w:rPr>
            <w:fldChar w:fldCharType="begin"/>
          </w:r>
          <w:r>
            <w:rPr>
              <w:rFonts w:hint="eastAsia" w:ascii="仿宋" w:hAnsi="仿宋" w:eastAsia="仿宋"/>
              <w:b/>
              <w:bCs/>
              <w:sz w:val="32"/>
              <w:szCs w:val="32"/>
              <w:highlight w:val="none"/>
              <w:lang w:val="en-US" w:eastAsia="zh-CN"/>
            </w:rPr>
            <w:instrText xml:space="preserve"> HYPERLINK \l _Toc27810 </w:instrText>
          </w:r>
          <w:r>
            <w:rPr>
              <w:rFonts w:hint="eastAsia" w:ascii="仿宋" w:hAnsi="仿宋" w:eastAsia="仿宋"/>
              <w:b/>
              <w:bCs/>
              <w:sz w:val="32"/>
              <w:szCs w:val="32"/>
              <w:highlight w:val="none"/>
              <w:lang w:val="en-US" w:eastAsia="zh-CN"/>
            </w:rPr>
            <w:fldChar w:fldCharType="separate"/>
          </w:r>
          <w:r>
            <w:rPr>
              <w:rFonts w:hint="eastAsia" w:ascii="仿宋" w:hAnsi="仿宋" w:eastAsia="仿宋"/>
              <w:b/>
              <w:bCs/>
              <w:sz w:val="32"/>
              <w:szCs w:val="32"/>
              <w:highlight w:val="none"/>
              <w:lang w:val="zh-CN" w:eastAsia="zh-CN"/>
            </w:rPr>
            <w:t>202</w:t>
          </w:r>
          <w:r>
            <w:rPr>
              <w:rFonts w:hint="eastAsia" w:ascii="仿宋" w:hAnsi="仿宋" w:eastAsia="仿宋"/>
              <w:b/>
              <w:bCs/>
              <w:sz w:val="32"/>
              <w:szCs w:val="32"/>
              <w:highlight w:val="none"/>
              <w:lang w:val="en-US" w:eastAsia="zh-CN"/>
            </w:rPr>
            <w:t>2</w:t>
          </w:r>
          <w:r>
            <w:rPr>
              <w:rFonts w:hint="eastAsia" w:ascii="仿宋" w:hAnsi="仿宋" w:eastAsia="仿宋"/>
              <w:b/>
              <w:bCs/>
              <w:sz w:val="32"/>
              <w:szCs w:val="32"/>
              <w:highlight w:val="none"/>
              <w:lang w:val="zh-CN" w:eastAsia="zh-CN"/>
            </w:rPr>
            <w:t>年对家庭经济困难寄宿学生生活补助绩效评估报告</w:t>
          </w:r>
          <w:r>
            <w:rPr>
              <w:rFonts w:hint="eastAsia" w:ascii="仿宋" w:hAnsi="仿宋" w:eastAsia="仿宋"/>
              <w:b/>
              <w:bCs/>
              <w:sz w:val="32"/>
              <w:szCs w:val="32"/>
              <w:highlight w:val="none"/>
              <w:lang w:val="en-US" w:eastAsia="zh-CN"/>
            </w:rPr>
            <w:fldChar w:fldCharType="end"/>
          </w:r>
        </w:p>
        <w:p>
          <w:pPr>
            <w:pStyle w:val="11"/>
            <w:tabs>
              <w:tab w:val="right" w:leader="dot" w:pos="8845"/>
              <w:tab w:val="clear" w:pos="8296"/>
            </w:tabs>
            <w:rPr>
              <w:sz w:val="32"/>
              <w:szCs w:val="32"/>
            </w:rPr>
          </w:pPr>
          <w:r>
            <w:rPr>
              <w:b/>
              <w:bCs/>
              <w:color w:val="auto"/>
              <w:sz w:val="32"/>
              <w:szCs w:val="32"/>
            </w:rPr>
            <w:fldChar w:fldCharType="begin"/>
          </w:r>
          <w:r>
            <w:rPr>
              <w:b/>
              <w:bCs/>
              <w:sz w:val="32"/>
              <w:szCs w:val="32"/>
            </w:rPr>
            <w:instrText xml:space="preserve"> HYPERLINK \l _Toc3645 </w:instrText>
          </w:r>
          <w:r>
            <w:rPr>
              <w:b/>
              <w:bCs/>
              <w:sz w:val="32"/>
              <w:szCs w:val="32"/>
            </w:rPr>
            <w:fldChar w:fldCharType="separate"/>
          </w:r>
          <w:r>
            <w:rPr>
              <w:rFonts w:hint="eastAsia" w:ascii="仿宋" w:hAnsi="仿宋" w:eastAsia="仿宋" w:cs="仿宋"/>
              <w:b/>
              <w:bCs/>
              <w:sz w:val="32"/>
              <w:szCs w:val="32"/>
              <w:highlight w:val="none"/>
              <w:lang w:val="en-US" w:eastAsia="zh-CN"/>
            </w:rPr>
            <w:t>附件3：</w:t>
          </w:r>
          <w:r>
            <w:rPr>
              <w:b/>
              <w:bCs/>
              <w:color w:val="auto"/>
              <w:sz w:val="32"/>
              <w:szCs w:val="32"/>
            </w:rPr>
            <w:fldChar w:fldCharType="end"/>
          </w:r>
          <w:r>
            <w:rPr>
              <w:b/>
              <w:bCs/>
              <w:color w:val="auto"/>
              <w:sz w:val="32"/>
              <w:szCs w:val="32"/>
            </w:rPr>
            <w:fldChar w:fldCharType="begin"/>
          </w:r>
          <w:r>
            <w:rPr>
              <w:b/>
              <w:bCs/>
              <w:sz w:val="32"/>
              <w:szCs w:val="32"/>
            </w:rPr>
            <w:instrText xml:space="preserve"> HYPERLINK \l _Toc5525 </w:instrText>
          </w:r>
          <w:r>
            <w:rPr>
              <w:b/>
              <w:bCs/>
              <w:sz w:val="32"/>
              <w:szCs w:val="32"/>
            </w:rPr>
            <w:fldChar w:fldCharType="separate"/>
          </w:r>
          <w:r>
            <w:rPr>
              <w:rFonts w:hint="eastAsia" w:ascii="仿宋" w:hAnsi="仿宋" w:eastAsia="仿宋"/>
              <w:b/>
              <w:bCs/>
              <w:sz w:val="32"/>
              <w:szCs w:val="32"/>
              <w:highlight w:val="none"/>
              <w:lang w:val="en-US" w:eastAsia="zh-CN"/>
            </w:rPr>
            <w:t>2022年100万元以上（含）特定目标部门预算项目绩效目标自评（2022年</w:t>
          </w:r>
          <w:r>
            <w:rPr>
              <w:rFonts w:hint="eastAsia" w:ascii="仿宋" w:hAnsi="仿宋" w:eastAsia="仿宋"/>
              <w:b/>
              <w:bCs/>
              <w:sz w:val="32"/>
              <w:szCs w:val="32"/>
              <w:highlight w:val="none"/>
            </w:rPr>
            <w:t>农村中小学营养改善计划</w:t>
          </w:r>
          <w:r>
            <w:rPr>
              <w:rFonts w:hint="eastAsia" w:ascii="仿宋" w:hAnsi="仿宋" w:eastAsia="仿宋"/>
              <w:b/>
              <w:bCs/>
              <w:sz w:val="32"/>
              <w:szCs w:val="32"/>
              <w:highlight w:val="none"/>
              <w:lang w:val="en-US" w:eastAsia="zh-CN"/>
            </w:rPr>
            <w:t>）</w:t>
          </w:r>
          <w:r>
            <w:rPr>
              <w:b/>
              <w:bCs/>
              <w:color w:val="auto"/>
              <w:sz w:val="32"/>
              <w:szCs w:val="32"/>
            </w:rPr>
            <w:fldChar w:fldCharType="end"/>
          </w:r>
        </w:p>
        <w:p>
          <w:pPr>
            <w:pStyle w:val="10"/>
            <w:tabs>
              <w:tab w:val="right" w:leader="dot" w:pos="8845"/>
              <w:tab w:val="clear" w:pos="8296"/>
            </w:tabs>
            <w:jc w:val="left"/>
            <w:rPr>
              <w:sz w:val="32"/>
              <w:szCs w:val="32"/>
            </w:rPr>
          </w:pPr>
          <w:r>
            <w:rPr>
              <w:rFonts w:hint="eastAsia"/>
              <w:color w:val="auto"/>
              <w:sz w:val="32"/>
              <w:szCs w:val="32"/>
              <w:lang w:val="en-US" w:eastAsia="zh-CN"/>
            </w:rPr>
            <w:t xml:space="preserve">  </w:t>
          </w:r>
          <w:r>
            <w:rPr>
              <w:color w:val="auto"/>
              <w:sz w:val="32"/>
              <w:szCs w:val="32"/>
            </w:rPr>
            <w:fldChar w:fldCharType="begin"/>
          </w:r>
          <w:r>
            <w:rPr>
              <w:sz w:val="32"/>
              <w:szCs w:val="32"/>
            </w:rPr>
            <w:instrText xml:space="preserve"> HYPERLINK \l _Toc21571 </w:instrText>
          </w:r>
          <w:r>
            <w:rPr>
              <w:sz w:val="32"/>
              <w:szCs w:val="32"/>
            </w:rPr>
            <w:fldChar w:fldCharType="separate"/>
          </w:r>
          <w:r>
            <w:rPr>
              <w:rFonts w:hint="eastAsia" w:ascii="黑体" w:hAnsi="黑体" w:eastAsia="黑体"/>
              <w:sz w:val="32"/>
              <w:szCs w:val="32"/>
              <w:highlight w:val="none"/>
            </w:rPr>
            <w:t>第五部分 附表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_Toc2168 </w:instrText>
          </w:r>
          <w:r>
            <w:rPr>
              <w:sz w:val="32"/>
              <w:szCs w:val="32"/>
            </w:rPr>
            <w:fldChar w:fldCharType="separate"/>
          </w:r>
          <w:r>
            <w:rPr>
              <w:rFonts w:hint="eastAsia" w:ascii="仿宋" w:hAnsi="仿宋" w:eastAsia="仿宋"/>
              <w:sz w:val="32"/>
              <w:szCs w:val="32"/>
              <w:highlight w:val="none"/>
            </w:rPr>
            <w:t>一、收</w:t>
          </w:r>
          <w:r>
            <w:rPr>
              <w:rFonts w:hint="eastAsia" w:ascii="仿宋" w:hAnsi="仿宋" w:eastAsia="仿宋"/>
              <w:bCs w:val="0"/>
              <w:sz w:val="32"/>
              <w:szCs w:val="32"/>
              <w:highlight w:val="none"/>
            </w:rPr>
            <w:t>入支出决算总表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_Toc22077 </w:instrText>
          </w:r>
          <w:r>
            <w:rPr>
              <w:sz w:val="32"/>
              <w:szCs w:val="32"/>
            </w:rPr>
            <w:fldChar w:fldCharType="separate"/>
          </w:r>
          <w:r>
            <w:rPr>
              <w:rFonts w:hint="eastAsia" w:ascii="仿宋" w:hAnsi="仿宋" w:eastAsia="仿宋"/>
              <w:sz w:val="32"/>
              <w:szCs w:val="32"/>
              <w:highlight w:val="none"/>
            </w:rPr>
            <w:t>二、收</w:t>
          </w:r>
          <w:r>
            <w:rPr>
              <w:rFonts w:hint="eastAsia" w:ascii="仿宋" w:hAnsi="仿宋" w:eastAsia="仿宋"/>
              <w:bCs w:val="0"/>
              <w:sz w:val="32"/>
              <w:szCs w:val="32"/>
              <w:highlight w:val="none"/>
            </w:rPr>
            <w:t>入决算表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_Toc5751 </w:instrText>
          </w:r>
          <w:r>
            <w:rPr>
              <w:sz w:val="32"/>
              <w:szCs w:val="32"/>
            </w:rPr>
            <w:fldChar w:fldCharType="separate"/>
          </w:r>
          <w:r>
            <w:rPr>
              <w:rFonts w:hint="eastAsia" w:ascii="仿宋" w:hAnsi="仿宋" w:eastAsia="仿宋"/>
              <w:bCs w:val="0"/>
              <w:sz w:val="32"/>
              <w:szCs w:val="32"/>
              <w:highlight w:val="none"/>
            </w:rPr>
            <w:t>三、</w:t>
          </w:r>
          <w:r>
            <w:rPr>
              <w:rFonts w:hint="eastAsia" w:ascii="仿宋" w:hAnsi="仿宋" w:eastAsia="仿宋"/>
              <w:sz w:val="32"/>
              <w:szCs w:val="32"/>
              <w:highlight w:val="none"/>
            </w:rPr>
            <w:t>支</w:t>
          </w:r>
          <w:r>
            <w:rPr>
              <w:rFonts w:hint="eastAsia" w:ascii="仿宋" w:hAnsi="仿宋" w:eastAsia="仿宋"/>
              <w:bCs w:val="0"/>
              <w:sz w:val="32"/>
              <w:szCs w:val="32"/>
              <w:highlight w:val="none"/>
            </w:rPr>
            <w:t>出决算表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_Toc24351 </w:instrText>
          </w:r>
          <w:r>
            <w:rPr>
              <w:sz w:val="32"/>
              <w:szCs w:val="32"/>
            </w:rPr>
            <w:fldChar w:fldCharType="separate"/>
          </w:r>
          <w:r>
            <w:rPr>
              <w:rFonts w:hint="eastAsia" w:ascii="仿宋" w:hAnsi="仿宋" w:eastAsia="仿宋"/>
              <w:bCs w:val="0"/>
              <w:sz w:val="32"/>
              <w:szCs w:val="32"/>
              <w:highlight w:val="none"/>
            </w:rPr>
            <w:t>四、</w:t>
          </w:r>
          <w:r>
            <w:rPr>
              <w:rFonts w:hint="eastAsia" w:ascii="仿宋" w:hAnsi="仿宋" w:eastAsia="仿宋"/>
              <w:sz w:val="32"/>
              <w:szCs w:val="32"/>
              <w:highlight w:val="none"/>
            </w:rPr>
            <w:t>财</w:t>
          </w:r>
          <w:r>
            <w:rPr>
              <w:rFonts w:hint="eastAsia" w:ascii="仿宋" w:hAnsi="仿宋" w:eastAsia="仿宋"/>
              <w:bCs w:val="0"/>
              <w:sz w:val="32"/>
              <w:szCs w:val="32"/>
              <w:highlight w:val="none"/>
            </w:rPr>
            <w:t>政拨款收入支出决算总表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_Toc5973 </w:instrText>
          </w:r>
          <w:r>
            <w:rPr>
              <w:sz w:val="32"/>
              <w:szCs w:val="32"/>
            </w:rPr>
            <w:fldChar w:fldCharType="separate"/>
          </w:r>
          <w:r>
            <w:rPr>
              <w:rFonts w:hint="eastAsia" w:ascii="仿宋" w:hAnsi="仿宋" w:eastAsia="仿宋"/>
              <w:bCs w:val="0"/>
              <w:sz w:val="32"/>
              <w:szCs w:val="32"/>
              <w:highlight w:val="none"/>
            </w:rPr>
            <w:t>五、</w:t>
          </w:r>
          <w:r>
            <w:rPr>
              <w:rFonts w:hint="eastAsia" w:ascii="仿宋" w:hAnsi="仿宋" w:eastAsia="仿宋"/>
              <w:sz w:val="32"/>
              <w:szCs w:val="32"/>
              <w:highlight w:val="none"/>
            </w:rPr>
            <w:t>财</w:t>
          </w:r>
          <w:r>
            <w:rPr>
              <w:rFonts w:hint="eastAsia" w:ascii="仿宋" w:hAnsi="仿宋" w:eastAsia="仿宋"/>
              <w:bCs w:val="0"/>
              <w:sz w:val="32"/>
              <w:szCs w:val="32"/>
              <w:highlight w:val="none"/>
            </w:rPr>
            <w:t>政拨款支出决算明细表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_Toc28054 </w:instrText>
          </w:r>
          <w:r>
            <w:rPr>
              <w:sz w:val="32"/>
              <w:szCs w:val="32"/>
            </w:rPr>
            <w:fldChar w:fldCharType="separate"/>
          </w:r>
          <w:r>
            <w:rPr>
              <w:rFonts w:hint="eastAsia" w:ascii="仿宋" w:hAnsi="仿宋" w:eastAsia="仿宋"/>
              <w:bCs w:val="0"/>
              <w:sz w:val="32"/>
              <w:szCs w:val="32"/>
              <w:highlight w:val="none"/>
            </w:rPr>
            <w:t>六、</w:t>
          </w:r>
          <w:r>
            <w:rPr>
              <w:rFonts w:hint="eastAsia" w:ascii="仿宋" w:hAnsi="仿宋" w:eastAsia="仿宋"/>
              <w:sz w:val="32"/>
              <w:szCs w:val="32"/>
              <w:highlight w:val="none"/>
            </w:rPr>
            <w:t>一</w:t>
          </w:r>
          <w:r>
            <w:rPr>
              <w:rFonts w:hint="eastAsia" w:ascii="仿宋" w:hAnsi="仿宋" w:eastAsia="仿宋"/>
              <w:bCs w:val="0"/>
              <w:sz w:val="32"/>
              <w:szCs w:val="32"/>
              <w:highlight w:val="none"/>
            </w:rPr>
            <w:t>般公共预算财政拨款支出决算表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_Toc3541 </w:instrText>
          </w:r>
          <w:r>
            <w:rPr>
              <w:sz w:val="32"/>
              <w:szCs w:val="32"/>
            </w:rPr>
            <w:fldChar w:fldCharType="separate"/>
          </w:r>
          <w:r>
            <w:rPr>
              <w:rFonts w:hint="eastAsia" w:ascii="仿宋" w:hAnsi="仿宋" w:eastAsia="仿宋"/>
              <w:bCs w:val="0"/>
              <w:sz w:val="32"/>
              <w:szCs w:val="32"/>
              <w:highlight w:val="none"/>
            </w:rPr>
            <w:t>七、</w:t>
          </w:r>
          <w:r>
            <w:rPr>
              <w:rFonts w:hint="eastAsia" w:ascii="仿宋" w:hAnsi="仿宋" w:eastAsia="仿宋"/>
              <w:sz w:val="32"/>
              <w:szCs w:val="32"/>
              <w:highlight w:val="none"/>
            </w:rPr>
            <w:t>一</w:t>
          </w:r>
          <w:r>
            <w:rPr>
              <w:rFonts w:hint="eastAsia" w:ascii="仿宋" w:hAnsi="仿宋" w:eastAsia="仿宋"/>
              <w:bCs w:val="0"/>
              <w:sz w:val="32"/>
              <w:szCs w:val="32"/>
              <w:highlight w:val="none"/>
            </w:rPr>
            <w:t>般公共预算财政拨款支出决算明细表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_Toc9470 </w:instrText>
          </w:r>
          <w:r>
            <w:rPr>
              <w:sz w:val="32"/>
              <w:szCs w:val="32"/>
            </w:rPr>
            <w:fldChar w:fldCharType="separate"/>
          </w:r>
          <w:r>
            <w:rPr>
              <w:rFonts w:hint="eastAsia" w:ascii="仿宋" w:hAnsi="仿宋" w:eastAsia="仿宋"/>
              <w:bCs w:val="0"/>
              <w:sz w:val="32"/>
              <w:szCs w:val="32"/>
              <w:highlight w:val="none"/>
            </w:rPr>
            <w:t>八、</w:t>
          </w:r>
          <w:r>
            <w:rPr>
              <w:rFonts w:hint="eastAsia" w:ascii="仿宋" w:hAnsi="仿宋" w:eastAsia="仿宋"/>
              <w:sz w:val="32"/>
              <w:szCs w:val="32"/>
              <w:highlight w:val="none"/>
            </w:rPr>
            <w:t>一</w:t>
          </w:r>
          <w:r>
            <w:rPr>
              <w:rFonts w:hint="eastAsia" w:ascii="仿宋" w:hAnsi="仿宋" w:eastAsia="仿宋"/>
              <w:bCs w:val="0"/>
              <w:sz w:val="32"/>
              <w:szCs w:val="32"/>
              <w:highlight w:val="none"/>
            </w:rPr>
            <w:t>般公共预算财政拨款基本支出决算表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_Toc5378 </w:instrText>
          </w:r>
          <w:r>
            <w:rPr>
              <w:sz w:val="32"/>
              <w:szCs w:val="32"/>
            </w:rPr>
            <w:fldChar w:fldCharType="separate"/>
          </w:r>
          <w:r>
            <w:rPr>
              <w:rFonts w:hint="eastAsia" w:ascii="仿宋" w:hAnsi="仿宋" w:eastAsia="仿宋"/>
              <w:bCs w:val="0"/>
              <w:sz w:val="32"/>
              <w:szCs w:val="32"/>
              <w:highlight w:val="none"/>
            </w:rPr>
            <w:t>九、</w:t>
          </w:r>
          <w:r>
            <w:rPr>
              <w:rFonts w:hint="eastAsia" w:ascii="仿宋" w:hAnsi="仿宋" w:eastAsia="仿宋"/>
              <w:sz w:val="32"/>
              <w:szCs w:val="32"/>
              <w:highlight w:val="none"/>
            </w:rPr>
            <w:t>一</w:t>
          </w:r>
          <w:r>
            <w:rPr>
              <w:rFonts w:hint="eastAsia" w:ascii="仿宋" w:hAnsi="仿宋" w:eastAsia="仿宋"/>
              <w:bCs w:val="0"/>
              <w:sz w:val="32"/>
              <w:szCs w:val="32"/>
              <w:highlight w:val="none"/>
            </w:rPr>
            <w:t>般公共预算财政拨款项目支出决算表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_Toc3305 </w:instrText>
          </w:r>
          <w:r>
            <w:rPr>
              <w:sz w:val="32"/>
              <w:szCs w:val="32"/>
            </w:rPr>
            <w:fldChar w:fldCharType="separate"/>
          </w:r>
          <w:r>
            <w:rPr>
              <w:rFonts w:hint="eastAsia" w:ascii="仿宋" w:hAnsi="仿宋" w:eastAsia="仿宋"/>
              <w:bCs w:val="0"/>
              <w:sz w:val="32"/>
              <w:szCs w:val="32"/>
              <w:highlight w:val="none"/>
            </w:rPr>
            <w:t>十、</w:t>
          </w:r>
          <w:r>
            <w:rPr>
              <w:rFonts w:hint="eastAsia" w:ascii="仿宋" w:hAnsi="仿宋" w:eastAsia="仿宋"/>
              <w:sz w:val="32"/>
              <w:szCs w:val="32"/>
              <w:highlight w:val="none"/>
            </w:rPr>
            <w:t>一</w:t>
          </w:r>
          <w:r>
            <w:rPr>
              <w:rFonts w:hint="eastAsia" w:ascii="仿宋" w:hAnsi="仿宋" w:eastAsia="仿宋"/>
              <w:bCs w:val="0"/>
              <w:sz w:val="32"/>
              <w:szCs w:val="32"/>
              <w:highlight w:val="none"/>
            </w:rPr>
            <w:t>般公共预算财政拨款“三公”经费支出决算表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_Toc21518 </w:instrText>
          </w:r>
          <w:r>
            <w:rPr>
              <w:sz w:val="32"/>
              <w:szCs w:val="32"/>
            </w:rPr>
            <w:fldChar w:fldCharType="separate"/>
          </w:r>
          <w:r>
            <w:rPr>
              <w:rFonts w:hint="eastAsia" w:ascii="仿宋" w:hAnsi="仿宋" w:eastAsia="仿宋"/>
              <w:bCs w:val="0"/>
              <w:sz w:val="32"/>
              <w:szCs w:val="32"/>
              <w:highlight w:val="none"/>
            </w:rPr>
            <w:t>十一、</w:t>
          </w:r>
          <w:r>
            <w:rPr>
              <w:rFonts w:hint="eastAsia" w:ascii="仿宋" w:hAnsi="仿宋" w:eastAsia="仿宋"/>
              <w:sz w:val="32"/>
              <w:szCs w:val="32"/>
              <w:highlight w:val="none"/>
            </w:rPr>
            <w:t>政</w:t>
          </w:r>
          <w:r>
            <w:rPr>
              <w:rFonts w:hint="eastAsia" w:ascii="仿宋" w:hAnsi="仿宋" w:eastAsia="仿宋"/>
              <w:bCs w:val="0"/>
              <w:sz w:val="32"/>
              <w:szCs w:val="32"/>
              <w:highlight w:val="none"/>
            </w:rPr>
            <w:t>府性基金预算财政拨款收入支出决算表</w:t>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_Toc7681 </w:instrText>
          </w:r>
          <w:r>
            <w:rPr>
              <w:sz w:val="32"/>
              <w:szCs w:val="32"/>
            </w:rPr>
            <w:fldChar w:fldCharType="separate"/>
          </w:r>
          <w:r>
            <w:rPr>
              <w:rFonts w:hint="eastAsia" w:ascii="仿宋" w:hAnsi="仿宋" w:eastAsia="仿宋"/>
              <w:bCs w:val="0"/>
              <w:sz w:val="32"/>
              <w:szCs w:val="32"/>
              <w:highlight w:val="none"/>
            </w:rPr>
            <w:t>十二、</w:t>
          </w:r>
          <w:r>
            <w:rPr>
              <w:rFonts w:hint="eastAsia" w:ascii="仿宋" w:hAnsi="仿宋" w:eastAsia="仿宋"/>
              <w:sz w:val="32"/>
              <w:szCs w:val="32"/>
              <w:highlight w:val="none"/>
            </w:rPr>
            <w:t>政</w:t>
          </w:r>
          <w:r>
            <w:rPr>
              <w:rFonts w:hint="eastAsia" w:ascii="仿宋" w:hAnsi="仿宋" w:eastAsia="仿宋"/>
              <w:bCs w:val="0"/>
              <w:sz w:val="32"/>
              <w:szCs w:val="32"/>
              <w:highlight w:val="none"/>
            </w:rPr>
            <w:t>府性基金预算财政拨款“三公”经费支出决算表</w:t>
          </w:r>
          <w:r>
            <w:rPr>
              <w:sz w:val="32"/>
              <w:szCs w:val="32"/>
            </w:rPr>
            <w:tab/>
          </w:r>
          <w:r>
            <w:rPr>
              <w:color w:val="auto"/>
              <w:sz w:val="32"/>
              <w:szCs w:val="32"/>
            </w:rPr>
            <w:fldChar w:fldCharType="end"/>
          </w:r>
        </w:p>
        <w:p>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_Toc7733 </w:instrText>
          </w:r>
          <w:r>
            <w:rPr>
              <w:sz w:val="32"/>
              <w:szCs w:val="32"/>
            </w:rPr>
            <w:fldChar w:fldCharType="separate"/>
          </w:r>
          <w:r>
            <w:rPr>
              <w:rFonts w:hint="eastAsia" w:ascii="仿宋" w:hAnsi="仿宋" w:eastAsia="仿宋"/>
              <w:bCs w:val="0"/>
              <w:sz w:val="32"/>
              <w:szCs w:val="32"/>
              <w:highlight w:val="none"/>
            </w:rPr>
            <w:t>十三、</w:t>
          </w:r>
          <w:r>
            <w:rPr>
              <w:rFonts w:hint="eastAsia" w:ascii="仿宋" w:hAnsi="仿宋" w:eastAsia="仿宋"/>
              <w:sz w:val="32"/>
              <w:szCs w:val="32"/>
              <w:highlight w:val="none"/>
            </w:rPr>
            <w:t>国</w:t>
          </w:r>
          <w:r>
            <w:rPr>
              <w:rFonts w:hint="eastAsia" w:ascii="仿宋" w:hAnsi="仿宋" w:eastAsia="仿宋"/>
              <w:bCs w:val="0"/>
              <w:sz w:val="32"/>
              <w:szCs w:val="32"/>
              <w:highlight w:val="none"/>
            </w:rPr>
            <w:t>有资本经营预算</w:t>
          </w:r>
          <w:r>
            <w:rPr>
              <w:rFonts w:hint="eastAsia" w:ascii="仿宋" w:hAnsi="仿宋" w:eastAsia="仿宋"/>
              <w:bCs w:val="0"/>
              <w:sz w:val="32"/>
              <w:szCs w:val="32"/>
              <w:highlight w:val="none"/>
              <w:lang w:eastAsia="zh-CN"/>
            </w:rPr>
            <w:t>财政拨款收入</w:t>
          </w:r>
          <w:r>
            <w:rPr>
              <w:rFonts w:hint="eastAsia" w:ascii="仿宋" w:hAnsi="仿宋" w:eastAsia="仿宋"/>
              <w:bCs w:val="0"/>
              <w:sz w:val="32"/>
              <w:szCs w:val="32"/>
              <w:highlight w:val="none"/>
            </w:rPr>
            <w:t>支出决算表</w:t>
          </w:r>
          <w:r>
            <w:rPr>
              <w:color w:val="auto"/>
              <w:sz w:val="32"/>
              <w:szCs w:val="32"/>
            </w:rPr>
            <w:fldChar w:fldCharType="end"/>
          </w:r>
        </w:p>
        <w:p>
          <w:pPr>
            <w:pStyle w:val="11"/>
            <w:tabs>
              <w:tab w:val="right" w:leader="dot" w:pos="8845"/>
              <w:tab w:val="clear" w:pos="8296"/>
            </w:tabs>
          </w:pPr>
          <w:r>
            <w:rPr>
              <w:color w:val="auto"/>
              <w:sz w:val="32"/>
              <w:szCs w:val="32"/>
            </w:rPr>
            <w:fldChar w:fldCharType="begin"/>
          </w:r>
          <w:r>
            <w:rPr>
              <w:sz w:val="32"/>
              <w:szCs w:val="32"/>
            </w:rPr>
            <w:instrText xml:space="preserve"> HYPERLINK \l _Toc3811 </w:instrText>
          </w:r>
          <w:r>
            <w:rPr>
              <w:sz w:val="32"/>
              <w:szCs w:val="32"/>
            </w:rPr>
            <w:fldChar w:fldCharType="separate"/>
          </w:r>
          <w:r>
            <w:rPr>
              <w:rFonts w:hint="eastAsia" w:ascii="仿宋" w:hAnsi="仿宋" w:eastAsia="仿宋"/>
              <w:bCs w:val="0"/>
              <w:sz w:val="32"/>
              <w:szCs w:val="32"/>
              <w:highlight w:val="none"/>
              <w:lang w:eastAsia="zh-CN"/>
            </w:rPr>
            <w:t>十四、国有资本经营预算财政拨款支出决算表</w:t>
          </w:r>
          <w:r>
            <w:rPr>
              <w:color w:val="auto"/>
              <w:sz w:val="32"/>
              <w:szCs w:val="32"/>
            </w:rPr>
            <w:fldChar w:fldCharType="end"/>
          </w:r>
        </w:p>
        <w:p>
          <w:pPr>
            <w:rPr>
              <w:color w:val="auto"/>
            </w:rPr>
          </w:pPr>
          <w:r>
            <w:rPr>
              <w:color w:val="auto"/>
            </w:rPr>
            <w:fldChar w:fldCharType="end"/>
          </w:r>
        </w:p>
      </w:sdtContent>
    </w:sdt>
    <w:p>
      <w:pPr>
        <w:pStyle w:val="11"/>
        <w:keepNext w:val="0"/>
        <w:keepLines w:val="0"/>
        <w:pageBreakBefore w:val="0"/>
        <w:kinsoku/>
        <w:wordWrap/>
        <w:overflowPunct/>
        <w:topLinePunct w:val="0"/>
        <w:autoSpaceDE/>
        <w:autoSpaceDN/>
        <w:bidi w:val="0"/>
        <w:adjustRightInd w:val="0"/>
        <w:snapToGrid w:val="0"/>
        <w:spacing w:line="520" w:lineRule="exact"/>
        <w:ind w:firstLine="722" w:firstLineChars="300"/>
        <w:jc w:val="left"/>
        <w:textAlignment w:val="auto"/>
        <w:outlineLvl w:val="9"/>
        <w:rPr>
          <w:color w:val="auto"/>
        </w:rPr>
        <w:sectPr>
          <w:headerReference r:id="rId3" w:type="default"/>
          <w:footerReference r:id="rId4" w:type="default"/>
          <w:pgSz w:w="11906" w:h="16838"/>
          <w:pgMar w:top="1701" w:right="1474" w:bottom="1701" w:left="1587" w:header="851" w:footer="1304" w:gutter="0"/>
          <w:pgNumType w:start="1"/>
          <w:cols w:space="0" w:num="1"/>
          <w:rtlGutter w:val="0"/>
          <w:docGrid w:type="lines" w:linePitch="312" w:charSpace="0"/>
        </w:sectPr>
      </w:pPr>
      <w:r>
        <w:rPr>
          <w:rFonts w:ascii="仿宋" w:hAnsi="仿宋" w:eastAsia="仿宋"/>
          <w:b/>
          <w:color w:val="auto"/>
          <w:sz w:val="24"/>
          <w:highlight w:val="none"/>
        </w:rPr>
        <w:br w:type="page"/>
      </w:r>
      <w:bookmarkStart w:id="110" w:name="_GoBack"/>
      <w:bookmarkEnd w:id="110"/>
    </w:p>
    <w:p>
      <w:pPr>
        <w:pStyle w:val="2"/>
        <w:jc w:val="center"/>
        <w:outlineLvl w:val="0"/>
        <w:rPr>
          <w:rStyle w:val="24"/>
          <w:rFonts w:ascii="黑体" w:hAnsi="黑体" w:eastAsia="黑体"/>
          <w:b/>
          <w:bCs w:val="0"/>
          <w:color w:val="auto"/>
          <w:highlight w:val="none"/>
        </w:rPr>
      </w:pPr>
      <w:bookmarkStart w:id="9" w:name="_Toc3184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0"/>
      <w:bookmarkEnd w:id="1"/>
      <w:bookmarkEnd w:id="9"/>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2"/>
        <w:rPr>
          <w:rFonts w:hint="default" w:ascii="仿宋" w:hAnsi="仿宋" w:eastAsia="仿宋" w:cs="仿宋"/>
          <w:b/>
          <w:bCs/>
          <w:color w:val="auto"/>
          <w:sz w:val="32"/>
          <w:szCs w:val="32"/>
          <w:lang w:val="en-US" w:eastAsia="zh-CN"/>
        </w:rPr>
      </w:pPr>
      <w:bookmarkStart w:id="10" w:name="_Toc15396600"/>
      <w:bookmarkStart w:id="11" w:name="_Toc15377197"/>
      <w:r>
        <w:rPr>
          <w:rFonts w:hint="eastAsia" w:ascii="仿宋" w:hAnsi="仿宋" w:eastAsia="仿宋" w:cs="仿宋"/>
          <w:b/>
          <w:bCs/>
          <w:color w:val="auto"/>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负责贯彻党的教育方针，坚持社会主义办学方向，对学生进行德育、智育、体育、美育和劳动教育等方面的教育。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负责配合各级人民政府依法动员适龄儿童、少年入学，严格控制学生辍学，依法保证适龄儿童、少年接受义务教育。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负责制定学校教育发展规划，并抓好组织实施和落实工作。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 xml:space="preserve">负责按照教育主管部门发布的指导性教学计划、教学大纲，组织实施教育教学活动。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决定和实施本校的教学计划，组织教学评比、集体备课，对学生进行统一考核、考试等。负责依据国家主管部门有关教学计划、课程设置等方面的规定。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 xml:space="preserve">负责学籍管理。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 xml:space="preserve">负责聘任、培训、考核教师，依法奖励或处分有关教师和职工。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负责科学管理、合理使用学校的设施和经费，并积极筹措资金，改善办学条件。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 xml:space="preserve">负责维护学校、师生的合法权益，有权拒绝任何组织和个人对教育教学活动进行非法干涉。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依法接受各级教育行政部门的检查指导和人民群众的监督。</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2"/>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二、机构设置</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广元市利州区宝轮第一小学隶属</w:t>
      </w:r>
      <w:r>
        <w:rPr>
          <w:rFonts w:hint="eastAsia" w:ascii="仿宋" w:hAnsi="仿宋" w:eastAsia="仿宋" w:cs="仿宋"/>
          <w:color w:val="000000"/>
          <w:sz w:val="32"/>
          <w:szCs w:val="32"/>
        </w:rPr>
        <w:t>广元市利州区教育局下属二级预算单位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编制</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名，其中事业编制</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名。在职人员总数</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人，其中事业人员</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人（含特岗</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人），退休人员</w:t>
      </w:r>
      <w:r>
        <w:rPr>
          <w:rFonts w:hint="eastAsia" w:ascii="仿宋" w:hAnsi="仿宋" w:eastAsia="仿宋" w:cs="仿宋"/>
          <w:color w:val="000000"/>
          <w:sz w:val="32"/>
          <w:szCs w:val="32"/>
          <w:lang w:val="en-US" w:eastAsia="zh-CN"/>
        </w:rPr>
        <w:t>62</w:t>
      </w:r>
      <w:r>
        <w:rPr>
          <w:rFonts w:hint="eastAsia" w:ascii="仿宋" w:hAnsi="仿宋" w:eastAsia="仿宋" w:cs="仿宋"/>
          <w:color w:val="000000"/>
          <w:sz w:val="32"/>
          <w:szCs w:val="32"/>
        </w:rPr>
        <w:t>人。固定资产总额</w:t>
      </w:r>
      <w:r>
        <w:rPr>
          <w:rFonts w:hint="eastAsia" w:ascii="仿宋" w:hAnsi="仿宋" w:eastAsia="仿宋" w:cs="仿宋"/>
          <w:color w:val="000000"/>
          <w:sz w:val="32"/>
          <w:szCs w:val="32"/>
          <w:lang w:val="en-US" w:eastAsia="zh-CN"/>
        </w:rPr>
        <w:t>11728250.35</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学校设置</w:t>
      </w:r>
      <w:r>
        <w:rPr>
          <w:rFonts w:hint="eastAsia" w:ascii="仿宋" w:hAnsi="仿宋" w:eastAsia="仿宋" w:cs="仿宋"/>
          <w:color w:val="000000"/>
          <w:sz w:val="32"/>
          <w:szCs w:val="32"/>
          <w:lang w:val="en-US" w:eastAsia="zh-CN"/>
        </w:rPr>
        <w:t>5个</w:t>
      </w:r>
      <w:r>
        <w:rPr>
          <w:rFonts w:hint="eastAsia" w:ascii="仿宋" w:hAnsi="仿宋" w:eastAsia="仿宋" w:cs="仿宋"/>
          <w:color w:val="000000"/>
          <w:sz w:val="32"/>
          <w:szCs w:val="32"/>
          <w:lang w:eastAsia="zh-CN"/>
        </w:rPr>
        <w:t>下级管理科室，分别是办公室、德育处、总务处、技装室、安全管理办公室。</w:t>
      </w:r>
    </w:p>
    <w:bookmarkEnd w:id="10"/>
    <w:bookmarkEnd w:id="11"/>
    <w:p>
      <w:pPr>
        <w:pStyle w:val="2"/>
        <w:ind w:right="440"/>
        <w:jc w:val="both"/>
        <w:outlineLvl w:val="0"/>
        <w:rPr>
          <w:rFonts w:hint="eastAsia" w:ascii="黑体" w:hAnsi="黑体" w:eastAsia="黑体"/>
          <w:b w:val="0"/>
          <w:bCs/>
          <w:color w:val="auto"/>
          <w:highlight w:val="none"/>
        </w:rPr>
      </w:pPr>
      <w:bookmarkStart w:id="12" w:name="_Toc15377204"/>
      <w:bookmarkStart w:id="13" w:name="_Toc15396602"/>
      <w:bookmarkStart w:id="14" w:name="_Toc19471"/>
    </w:p>
    <w:p>
      <w:pPr>
        <w:pStyle w:val="2"/>
        <w:ind w:right="440"/>
        <w:jc w:val="center"/>
        <w:outlineLvl w:val="0"/>
        <w:rPr>
          <w:rStyle w:val="2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2"/>
      <w:bookmarkEnd w:id="13"/>
      <w:bookmarkEnd w:id="14"/>
    </w:p>
    <w:p>
      <w:pPr>
        <w:outlineLvl w:val="9"/>
        <w:rPr>
          <w:color w:val="auto"/>
          <w:highlight w:val="none"/>
        </w:rPr>
      </w:pPr>
    </w:p>
    <w:p>
      <w:pPr>
        <w:pStyle w:val="23"/>
        <w:numPr>
          <w:ilvl w:val="0"/>
          <w:numId w:val="0"/>
        </w:numPr>
        <w:spacing w:line="600" w:lineRule="exact"/>
        <w:ind w:left="640" w:leftChars="0"/>
        <w:outlineLvl w:val="1"/>
        <w:rPr>
          <w:rStyle w:val="25"/>
          <w:rFonts w:ascii="黑体" w:hAnsi="黑体" w:eastAsia="黑体"/>
          <w:b w:val="0"/>
          <w:color w:val="auto"/>
          <w:highlight w:val="none"/>
        </w:rPr>
      </w:pPr>
      <w:bookmarkStart w:id="15" w:name="_Toc15377205"/>
      <w:bookmarkStart w:id="16" w:name="_Toc15396603"/>
      <w:bookmarkStart w:id="17" w:name="_Toc4037"/>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5"/>
      <w:bookmarkEnd w:id="16"/>
      <w:bookmarkEnd w:id="17"/>
    </w:p>
    <w:p>
      <w:pPr>
        <w:spacing w:line="600" w:lineRule="exact"/>
        <w:ind w:firstLine="640" w:firstLineChars="200"/>
        <w:outlineLvl w:val="2"/>
        <w:rPr>
          <w:rFonts w:hint="default" w:ascii="仿宋" w:hAnsi="仿宋" w:eastAsia="仿宋"/>
          <w:color w:val="auto"/>
          <w:sz w:val="32"/>
          <w:szCs w:val="32"/>
          <w:highlight w:val="none"/>
          <w:lang w:val="en-US" w:eastAsia="zh-CN"/>
        </w:rPr>
      </w:pPr>
      <w:r>
        <w:rPr>
          <w:rFonts w:ascii="仿宋_GB2312" w:eastAsia="仿宋_GB2312"/>
          <w:color w:val="auto"/>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1665605</wp:posOffset>
            </wp:positionV>
            <wp:extent cx="5118100" cy="2638425"/>
            <wp:effectExtent l="4445" t="4445" r="20955" b="5080"/>
            <wp:wrapTight wrapText="bothSides">
              <wp:wrapPolygon>
                <wp:start x="-19" y="-36"/>
                <wp:lineTo x="-19" y="21486"/>
                <wp:lineTo x="21528" y="21486"/>
                <wp:lineTo x="21528" y="-36"/>
                <wp:lineTo x="-19" y="-36"/>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2605.47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含上年财返93.36万元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1613.47万元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增加992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上升61.48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w:t>
      </w:r>
      <w:r>
        <w:rPr>
          <w:rStyle w:val="14"/>
          <w:rFonts w:hint="eastAsia" w:ascii="仿宋" w:hAnsi="仿宋" w:eastAsia="仿宋" w:cstheme="minorBidi"/>
          <w:b w:val="0"/>
          <w:bCs/>
          <w:color w:val="auto"/>
          <w:sz w:val="32"/>
          <w:szCs w:val="32"/>
          <w:highlight w:val="none"/>
          <w:lang w:val="en-US" w:eastAsia="zh-CN"/>
        </w:rPr>
        <w:t>是2022年义务教育学生增加，生均公用经费增加；二是新增建设项目。</w:t>
      </w:r>
    </w:p>
    <w:p>
      <w:pPr>
        <w:spacing w:line="600" w:lineRule="exact"/>
        <w:ind w:firstLine="640" w:firstLineChars="200"/>
        <w:outlineLvl w:val="2"/>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outlineLvl w:val="1"/>
        <w:rPr>
          <w:rStyle w:val="25"/>
          <w:rFonts w:ascii="黑体" w:hAnsi="黑体" w:eastAsia="黑体"/>
          <w:b w:val="0"/>
          <w:color w:val="auto"/>
          <w:highlight w:val="none"/>
        </w:rPr>
      </w:pPr>
      <w:bookmarkStart w:id="18" w:name="_Toc11408"/>
      <w:bookmarkStart w:id="19" w:name="_Toc15377206"/>
      <w:bookmarkStart w:id="20" w:name="_Toc15396604"/>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18"/>
      <w:bookmarkEnd w:id="19"/>
      <w:bookmarkEnd w:id="20"/>
    </w:p>
    <w:p>
      <w:pPr>
        <w:spacing w:line="600" w:lineRule="exact"/>
        <w:ind w:firstLine="640" w:firstLineChars="20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2512.10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2511.91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left="0" w:leftChars="0" w:firstLine="0" w:firstLineChars="0"/>
        <w:jc w:val="center"/>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142875</wp:posOffset>
            </wp:positionV>
            <wp:extent cx="5274310" cy="3400425"/>
            <wp:effectExtent l="4445" t="4445" r="17145"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pPr>
        <w:pStyle w:val="23"/>
        <w:numPr>
          <w:ilvl w:val="0"/>
          <w:numId w:val="0"/>
        </w:numPr>
        <w:spacing w:line="600" w:lineRule="exact"/>
        <w:ind w:left="640" w:leftChars="0"/>
        <w:outlineLvl w:val="1"/>
        <w:rPr>
          <w:rStyle w:val="25"/>
          <w:rFonts w:ascii="黑体" w:hAnsi="黑体" w:eastAsia="黑体"/>
          <w:b w:val="0"/>
          <w:color w:val="auto"/>
          <w:highlight w:val="none"/>
        </w:rPr>
      </w:pPr>
      <w:bookmarkStart w:id="21" w:name="_Toc15377207"/>
      <w:bookmarkStart w:id="22" w:name="_Toc26078"/>
      <w:bookmarkStart w:id="23" w:name="_Toc15396605"/>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1"/>
      <w:bookmarkEnd w:id="22"/>
      <w:bookmarkEnd w:id="23"/>
    </w:p>
    <w:p>
      <w:pPr>
        <w:spacing w:line="600" w:lineRule="exact"/>
        <w:ind w:firstLine="640" w:firstLineChars="200"/>
        <w:outlineLvl w:val="2"/>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2,605.47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1366.93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52.46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1238.53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47.54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spacing w:line="600" w:lineRule="exact"/>
        <w:ind w:firstLine="640"/>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5298440" cy="234886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bookmarkStart w:id="26" w:name="_Toc2984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bookmarkEnd w:id="26"/>
    </w:p>
    <w:p>
      <w:pPr>
        <w:spacing w:line="600" w:lineRule="exact"/>
        <w:ind w:firstLine="640" w:firstLineChars="200"/>
        <w:outlineLvl w:val="2"/>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2,605.27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1477.19</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相比，财政拨款收、支总计</w:t>
      </w:r>
      <w:r>
        <w:rPr>
          <w:rFonts w:hint="eastAsia" w:ascii="仿宋" w:hAnsi="仿宋" w:eastAsia="仿宋"/>
          <w:color w:val="auto"/>
          <w:sz w:val="32"/>
          <w:szCs w:val="32"/>
          <w:highlight w:val="none"/>
          <w:lang w:val="en-US" w:eastAsia="zh-CN"/>
        </w:rPr>
        <w:t>增加1128.08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增比76.37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w:t>
      </w:r>
      <w:r>
        <w:rPr>
          <w:rStyle w:val="14"/>
          <w:rFonts w:hint="eastAsia" w:ascii="仿宋" w:hAnsi="仿宋" w:eastAsia="仿宋" w:cstheme="minorBidi"/>
          <w:b w:val="0"/>
          <w:bCs/>
          <w:color w:val="auto"/>
          <w:sz w:val="32"/>
          <w:szCs w:val="32"/>
          <w:highlight w:val="none"/>
          <w:lang w:val="en-US" w:eastAsia="zh-CN"/>
        </w:rPr>
        <w:t>是2021年义务教育学生增加，生均公用经费增加；二是新增建设项目。</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5"/>
        <w:outlineLvl w:val="2"/>
        <w:rPr>
          <w:rFonts w:hint="eastAsia"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2336" behindDoc="1" locked="0" layoutInCell="1" allowOverlap="1">
            <wp:simplePos x="0" y="0"/>
            <wp:positionH relativeFrom="column">
              <wp:posOffset>-53340</wp:posOffset>
            </wp:positionH>
            <wp:positionV relativeFrom="paragraph">
              <wp:posOffset>86995</wp:posOffset>
            </wp:positionV>
            <wp:extent cx="5309235" cy="2451735"/>
            <wp:effectExtent l="4445" t="4445" r="20320" b="20320"/>
            <wp:wrapTight wrapText="bothSides">
              <wp:wrapPolygon>
                <wp:start x="-18" y="-39"/>
                <wp:lineTo x="-18" y="21443"/>
                <wp:lineTo x="21528" y="21443"/>
                <wp:lineTo x="21528" y="-39"/>
                <wp:lineTo x="-18" y="-39"/>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bookmarkStart w:id="27" w:name="_Toc7022"/>
      <w:bookmarkStart w:id="28" w:name="_Toc15396607"/>
      <w:bookmarkStart w:id="29" w:name="_Toc15377209"/>
    </w:p>
    <w:p>
      <w:pPr>
        <w:pStyle w:val="5"/>
        <w:outlineLvl w:val="2"/>
        <w:rPr>
          <w:rFonts w:hint="eastAsia" w:ascii="仿宋" w:hAnsi="仿宋" w:eastAsia="仿宋"/>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7"/>
      <w:bookmarkEnd w:id="28"/>
      <w:bookmarkEnd w:id="29"/>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0" w:name="_Toc15377210"/>
      <w:r>
        <w:rPr>
          <w:rFonts w:hint="eastAsia" w:ascii="楷体" w:hAnsi="楷体" w:eastAsia="楷体" w:cs="楷体"/>
          <w:b w:val="0"/>
          <w:bCs/>
          <w:color w:val="auto"/>
          <w:sz w:val="32"/>
          <w:szCs w:val="32"/>
          <w:highlight w:val="none"/>
        </w:rPr>
        <w:t>（一）一般公共预算财政拨款支出决算总体情况</w:t>
      </w:r>
      <w:bookmarkEnd w:id="30"/>
    </w:p>
    <w:p>
      <w:pPr>
        <w:spacing w:line="600" w:lineRule="exact"/>
        <w:ind w:firstLine="640" w:firstLineChars="200"/>
        <w:outlineLvl w:val="2"/>
        <w:rPr>
          <w:rFonts w:hint="default" w:ascii="仿宋" w:hAnsi="仿宋" w:eastAsia="仿宋"/>
          <w:color w:val="auto"/>
          <w:sz w:val="32"/>
          <w:szCs w:val="32"/>
          <w:highlight w:val="none"/>
          <w:lang w:val="en-US" w:eastAsia="zh-CN"/>
        </w:rPr>
      </w:pPr>
      <w:r>
        <w:rPr>
          <w:rFonts w:ascii="仿宋_GB2312" w:eastAsia="仿宋_GB2312"/>
          <w:color w:val="auto"/>
          <w:sz w:val="32"/>
          <w:szCs w:val="32"/>
        </w:rPr>
        <w:drawing>
          <wp:anchor distT="0" distB="0" distL="114300" distR="114300" simplePos="0" relativeHeight="251663360" behindDoc="0" locked="0" layoutInCell="1" allowOverlap="1">
            <wp:simplePos x="0" y="0"/>
            <wp:positionH relativeFrom="column">
              <wp:posOffset>5080</wp:posOffset>
            </wp:positionH>
            <wp:positionV relativeFrom="paragraph">
              <wp:posOffset>1923415</wp:posOffset>
            </wp:positionV>
            <wp:extent cx="5309235" cy="1990090"/>
            <wp:effectExtent l="4445" t="4445" r="5080"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bookmarkStart w:id="31" w:name="OLE_LINK1"/>
      <w:r>
        <w:rPr>
          <w:rFonts w:hint="eastAsia" w:ascii="仿宋" w:hAnsi="仿宋" w:eastAsia="仿宋"/>
          <w:color w:val="auto"/>
          <w:sz w:val="32"/>
          <w:szCs w:val="32"/>
          <w:highlight w:val="none"/>
          <w:lang w:val="en-US" w:eastAsia="zh-CN"/>
        </w:rPr>
        <w:t>2,605.27</w:t>
      </w:r>
      <w:bookmarkEnd w:id="31"/>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1515.97</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增加1089.3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增加71.85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一</w:t>
      </w:r>
      <w:r>
        <w:rPr>
          <w:rStyle w:val="14"/>
          <w:rFonts w:hint="eastAsia" w:ascii="仿宋" w:hAnsi="仿宋" w:eastAsia="仿宋" w:cstheme="minorBidi"/>
          <w:b w:val="0"/>
          <w:bCs/>
          <w:color w:val="auto"/>
          <w:sz w:val="32"/>
          <w:szCs w:val="32"/>
          <w:highlight w:val="none"/>
          <w:lang w:val="en-US" w:eastAsia="zh-CN"/>
        </w:rPr>
        <w:t>是2021年义务教育学生增加，生均公用经费增加；二是新增项目建设。</w:t>
      </w:r>
    </w:p>
    <w:p>
      <w:pPr>
        <w:spacing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2" w:name="_Toc15377211"/>
      <w:r>
        <w:rPr>
          <w:rFonts w:hint="eastAsia" w:ascii="楷体" w:hAnsi="楷体" w:eastAsia="楷体" w:cs="楷体"/>
          <w:b w:val="0"/>
          <w:bCs/>
          <w:color w:val="auto"/>
          <w:sz w:val="32"/>
          <w:szCs w:val="32"/>
          <w:highlight w:val="none"/>
        </w:rPr>
        <w:t>（二）一般公共预算财政拨款支出决算结构情况</w:t>
      </w:r>
      <w:bookmarkEnd w:id="32"/>
    </w:p>
    <w:p>
      <w:pPr>
        <w:spacing w:line="600" w:lineRule="exact"/>
        <w:ind w:firstLine="640"/>
        <w:outlineLvl w:val="2"/>
        <w:rPr>
          <w:rFonts w:hint="default" w:ascii="仿宋" w:hAnsi="仿宋" w:eastAsia="仿宋"/>
          <w:b/>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2,605.27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2404.39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支出92.25万元，占</w:t>
      </w:r>
      <w:r>
        <w:rPr>
          <w:rFonts w:hint="eastAsia" w:ascii="仿宋" w:hAnsi="仿宋" w:eastAsia="仿宋"/>
          <w:color w:val="auto"/>
          <w:sz w:val="32"/>
          <w:szCs w:val="32"/>
          <w:highlight w:val="none"/>
          <w:lang w:val="en-US" w:eastAsia="zh-CN"/>
        </w:rPr>
        <w:t>3.54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lang w:eastAsia="zh-CN"/>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lang w:val="en-US" w:eastAsia="zh-CN"/>
        </w:rPr>
        <w:t>支出45.59万元，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1.75</w:t>
      </w:r>
      <w:r>
        <w:rPr>
          <w:rFonts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w:t>
      </w:r>
      <w:r>
        <w:rPr>
          <w:rFonts w:hint="eastAsia" w:ascii="仿宋" w:hAnsi="仿宋" w:eastAsia="仿宋"/>
          <w:b/>
          <w:color w:val="auto"/>
          <w:sz w:val="32"/>
          <w:szCs w:val="32"/>
          <w:highlight w:val="none"/>
          <w:lang w:eastAsia="zh-CN"/>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lang w:eastAsia="zh-CN"/>
        </w:rPr>
        <w:t>支出63.04</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2.42</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pPr>
        <w:spacing w:line="600" w:lineRule="exact"/>
        <w:ind w:firstLine="640"/>
        <w:outlineLvl w:val="2"/>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r>
        <w:rPr>
          <w:rFonts w:hint="eastAsia" w:ascii="仿宋" w:hAnsi="仿宋" w:eastAsia="仿宋"/>
          <w:b/>
          <w:color w:val="auto"/>
          <w:sz w:val="32"/>
          <w:szCs w:val="32"/>
          <w:highlight w:val="none"/>
          <w:lang w:val="en-US" w:eastAsia="zh-CN"/>
        </w:rPr>
        <w:t xml:space="preserve"> </w:t>
      </w:r>
    </w:p>
    <w:p>
      <w:pPr>
        <w:spacing w:line="600" w:lineRule="exact"/>
        <w:ind w:firstLine="640" w:firstLineChars="200"/>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4384" behindDoc="0" locked="0" layoutInCell="1" allowOverlap="1">
            <wp:simplePos x="0" y="0"/>
            <wp:positionH relativeFrom="column">
              <wp:posOffset>40640</wp:posOffset>
            </wp:positionH>
            <wp:positionV relativeFrom="paragraph">
              <wp:posOffset>54610</wp:posOffset>
            </wp:positionV>
            <wp:extent cx="5298440" cy="2101215"/>
            <wp:effectExtent l="4445" t="4445" r="1206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2"/>
        <w:rPr>
          <w:rFonts w:hint="eastAsia" w:ascii="楷体" w:hAnsi="楷体" w:eastAsia="楷体" w:cs="楷体"/>
          <w:b w:val="0"/>
          <w:bCs/>
          <w:color w:val="auto"/>
          <w:sz w:val="32"/>
          <w:szCs w:val="32"/>
          <w:highlight w:val="none"/>
        </w:rPr>
      </w:pPr>
      <w:bookmarkStart w:id="33" w:name="_Toc15377212"/>
      <w:r>
        <w:rPr>
          <w:rFonts w:hint="eastAsia" w:ascii="楷体" w:hAnsi="楷体" w:eastAsia="楷体" w:cs="楷体"/>
          <w:b w:val="0"/>
          <w:bCs/>
          <w:color w:val="auto"/>
          <w:sz w:val="32"/>
          <w:szCs w:val="32"/>
          <w:highlight w:val="none"/>
        </w:rPr>
        <w:t>（三）一般公共预算财政拨款支出决算具体情况</w:t>
      </w:r>
      <w:bookmarkEnd w:id="33"/>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color w:val="auto"/>
          <w:sz w:val="32"/>
          <w:szCs w:val="32"/>
          <w:highlight w:val="none"/>
        </w:rPr>
      </w:pPr>
      <w:bookmarkStart w:id="34" w:name="_Toc15378460"/>
      <w:bookmarkStart w:id="35" w:name="_Toc15377444"/>
      <w:bookmarkStart w:id="36"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2,605.27</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2" w:firstLineChars="200"/>
        <w:textAlignment w:val="auto"/>
        <w:outlineLvl w:val="2"/>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cstheme="minorBidi"/>
          <w:bCs/>
          <w:color w:val="auto"/>
          <w:kern w:val="2"/>
          <w:sz w:val="32"/>
          <w:szCs w:val="32"/>
          <w:highlight w:val="none"/>
          <w:lang w:val="en-US" w:eastAsia="zh-CN" w:bidi="ar-SA"/>
        </w:rPr>
        <w:t>1.教育支出（类）普通教育（款）小学教育（项）</w:t>
      </w:r>
      <w:r>
        <w:rPr>
          <w:rStyle w:val="14"/>
          <w:rFonts w:ascii="仿宋" w:hAnsi="仿宋" w:eastAsia="仿宋" w:cstheme="minorBidi"/>
          <w:bCs/>
          <w:color w:val="auto"/>
          <w:kern w:val="2"/>
          <w:sz w:val="32"/>
          <w:szCs w:val="32"/>
          <w:highlight w:val="none"/>
          <w:lang w:val="en-US" w:eastAsia="zh-CN" w:bidi="ar-SA"/>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1355.59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4"/>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4"/>
          <w:rFonts w:hint="eastAsia" w:ascii="仿宋" w:hAnsi="仿宋" w:eastAsia="仿宋" w:cstheme="minorBidi"/>
          <w:bCs/>
          <w:color w:val="auto"/>
          <w:kern w:val="2"/>
          <w:sz w:val="32"/>
          <w:szCs w:val="32"/>
          <w:highlight w:val="none"/>
          <w:lang w:val="en-US" w:eastAsia="zh-CN" w:bidi="ar-SA"/>
        </w:rPr>
        <w:t>2.教育支出（类）普通教育（款）初中教育（项）</w:t>
      </w:r>
      <w:r>
        <w:rPr>
          <w:rStyle w:val="14"/>
          <w:rFonts w:ascii="仿宋" w:hAnsi="仿宋" w:eastAsia="仿宋" w:cstheme="minorBidi"/>
          <w:bCs/>
          <w:color w:val="auto"/>
          <w:kern w:val="2"/>
          <w:sz w:val="32"/>
          <w:szCs w:val="32"/>
          <w:highlight w:val="none"/>
          <w:lang w:val="en-US" w:eastAsia="zh-CN" w:bidi="ar-SA"/>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1048.00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 xml:space="preserve">100 </w:t>
      </w:r>
      <w:r>
        <w:rPr>
          <w:rStyle w:val="14"/>
          <w:rFonts w:ascii="仿宋" w:hAnsi="仿宋" w:eastAsia="仿宋"/>
          <w:b w:val="0"/>
          <w:bCs/>
          <w:color w:val="auto"/>
          <w:sz w:val="32"/>
          <w:szCs w:val="32"/>
          <w:highlight w:val="none"/>
        </w:rPr>
        <w:t>%</w:t>
      </w:r>
      <w:r>
        <w:rPr>
          <w:rStyle w:val="14"/>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w:t>
      </w:r>
    </w:p>
    <w:p>
      <w:pPr>
        <w:spacing w:line="600" w:lineRule="exact"/>
        <w:ind w:firstLine="642" w:firstLineChars="200"/>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教育（类）</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其他普通教育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color w:val="auto"/>
        </w:rPr>
      </w:pPr>
      <w:r>
        <w:rPr>
          <w:rStyle w:val="14"/>
          <w:rFonts w:hint="eastAsia" w:ascii="仿宋" w:hAnsi="仿宋" w:eastAsia="仿宋"/>
          <w:bCs/>
          <w:color w:val="auto"/>
          <w:sz w:val="32"/>
          <w:szCs w:val="32"/>
          <w:highlight w:val="none"/>
          <w:lang w:val="en-US" w:eastAsia="zh-CN"/>
        </w:rPr>
        <w:t>4.</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84.05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机关事业单位职业年金缴费支出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4.21万元，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社会保障和就业（类）其他社会保障和就业支出（款）其他社会保障和就业支出（项）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3.99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事业单位医疗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45.59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color w:val="auto"/>
          <w:sz w:val="32"/>
          <w:szCs w:val="32"/>
          <w:highlight w:val="none"/>
        </w:rPr>
      </w:pPr>
      <w:r>
        <w:rPr>
          <w:rStyle w:val="14"/>
          <w:rFonts w:hint="eastAsia" w:ascii="仿宋" w:hAnsi="仿宋" w:eastAsia="仿宋"/>
          <w:bCs/>
          <w:color w:val="auto"/>
          <w:sz w:val="32"/>
          <w:szCs w:val="32"/>
          <w:highlight w:val="none"/>
          <w:lang w:val="en-US" w:eastAsia="zh-CN"/>
        </w:rPr>
        <w:t>8.住房保障（类）</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63.04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keepNext w:val="0"/>
        <w:keepLines w:val="0"/>
        <w:pageBreakBefore w:val="0"/>
        <w:widowControl w:val="0"/>
        <w:tabs>
          <w:tab w:val="right" w:pos="8306"/>
        </w:tabs>
        <w:kinsoku/>
        <w:wordWrap/>
        <w:overflowPunct/>
        <w:topLinePunct w:val="0"/>
        <w:autoSpaceDE/>
        <w:autoSpaceDN/>
        <w:bidi w:val="0"/>
        <w:adjustRightInd/>
        <w:snapToGrid w:val="0"/>
        <w:spacing w:line="550" w:lineRule="exact"/>
        <w:ind w:firstLine="640"/>
        <w:textAlignment w:val="auto"/>
        <w:outlineLvl w:val="1"/>
        <w:rPr>
          <w:rStyle w:val="25"/>
          <w:color w:val="auto"/>
          <w:highlight w:val="none"/>
        </w:rPr>
      </w:pPr>
      <w:bookmarkStart w:id="37" w:name="_Toc15377214"/>
      <w:bookmarkStart w:id="38" w:name="_Toc15396608"/>
      <w:bookmarkStart w:id="39" w:name="_Toc25871"/>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7"/>
      <w:bookmarkEnd w:id="38"/>
      <w:bookmarkEnd w:id="39"/>
      <w:r>
        <w:rPr>
          <w:rStyle w:val="25"/>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w:t>
      </w:r>
      <w:r>
        <w:rPr>
          <w:rFonts w:ascii="仿宋" w:hAnsi="仿宋" w:eastAsia="仿宋"/>
          <w:color w:val="auto"/>
          <w:spacing w:val="-6"/>
          <w:sz w:val="32"/>
          <w:szCs w:val="32"/>
          <w:highlight w:val="none"/>
        </w:rPr>
        <w:t>0</w:t>
      </w:r>
      <w:r>
        <w:rPr>
          <w:rFonts w:hint="eastAsia" w:ascii="仿宋" w:hAnsi="仿宋" w:eastAsia="仿宋"/>
          <w:color w:val="auto"/>
          <w:spacing w:val="-6"/>
          <w:sz w:val="32"/>
          <w:szCs w:val="32"/>
          <w:highlight w:val="none"/>
          <w:lang w:val="en-US" w:eastAsia="zh-CN"/>
        </w:rPr>
        <w:t>21</w:t>
      </w:r>
      <w:r>
        <w:rPr>
          <w:rFonts w:hint="eastAsia" w:ascii="仿宋" w:hAnsi="仿宋" w:eastAsia="仿宋"/>
          <w:color w:val="auto"/>
          <w:spacing w:val="-6"/>
          <w:sz w:val="32"/>
          <w:szCs w:val="32"/>
          <w:highlight w:val="none"/>
        </w:rPr>
        <w:t>年一般公共预算财政拨款基本支出</w:t>
      </w:r>
      <w:r>
        <w:rPr>
          <w:rFonts w:hint="eastAsia" w:ascii="仿宋" w:hAnsi="仿宋" w:eastAsia="仿宋"/>
          <w:color w:val="auto"/>
          <w:spacing w:val="-6"/>
          <w:sz w:val="32"/>
          <w:szCs w:val="32"/>
          <w:highlight w:val="none"/>
          <w:lang w:val="en-US" w:eastAsia="zh-CN"/>
        </w:rPr>
        <w:t>1366.74</w:t>
      </w:r>
      <w:r>
        <w:rPr>
          <w:rFonts w:hint="eastAsia" w:ascii="仿宋" w:hAnsi="仿宋" w:eastAsia="仿宋"/>
          <w:color w:val="auto"/>
          <w:spacing w:val="-6"/>
          <w:sz w:val="32"/>
          <w:szCs w:val="32"/>
          <w:highlight w:val="none"/>
        </w:rPr>
        <w:t>万元，其中：</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pacing w:val="-6"/>
          <w:sz w:val="32"/>
          <w:szCs w:val="32"/>
          <w:highlight w:val="none"/>
          <w:lang w:val="en-US" w:eastAsia="zh-CN"/>
        </w:rPr>
        <w:t>1225.97</w:t>
      </w:r>
      <w:r>
        <w:rPr>
          <w:rFonts w:hint="eastAsia" w:ascii="仿宋" w:hAnsi="仿宋" w:eastAsia="仿宋"/>
          <w:color w:val="auto"/>
          <w:sz w:val="32"/>
          <w:szCs w:val="32"/>
          <w:highlight w:val="none"/>
        </w:rPr>
        <w:t>万元，主要包括： 基本工资、津贴补贴、绩效工资、机关事业单位基本养老保险缴费、职业年金缴费、职工基本医疗保险缴费、 其他社会保障缴费、住房公积金、 其他工资福利支出、对个人和家庭的补助、生活补助、奖励金等。</w:t>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140.77</w:t>
      </w:r>
      <w:r>
        <w:rPr>
          <w:rFonts w:hint="eastAsia" w:ascii="仿宋" w:hAnsi="仿宋" w:eastAsia="仿宋"/>
          <w:color w:val="auto"/>
          <w:sz w:val="32"/>
          <w:szCs w:val="32"/>
          <w:highlight w:val="none"/>
        </w:rPr>
        <w:t>万元，主要包括：办公费、印刷费、手续费、水费、电费、邮电费、物业管理费、差旅费、维修（护）费、 培训费、劳务费、工会经费、福利费等。</w:t>
      </w:r>
    </w:p>
    <w:p>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1"/>
        <w:rPr>
          <w:rStyle w:val="25"/>
          <w:rFonts w:ascii="黑体" w:hAnsi="黑体" w:eastAsia="黑体"/>
          <w:b w:val="0"/>
          <w:color w:val="auto"/>
          <w:highlight w:val="none"/>
        </w:rPr>
      </w:pPr>
      <w:bookmarkStart w:id="40" w:name="_Toc15396609"/>
      <w:bookmarkStart w:id="41" w:name="_Toc26671"/>
      <w:bookmarkStart w:id="42"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0"/>
      <w:bookmarkEnd w:id="41"/>
      <w:bookmarkEnd w:id="42"/>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auto"/>
          <w:sz w:val="32"/>
          <w:szCs w:val="32"/>
          <w:highlight w:val="none"/>
        </w:rPr>
      </w:pPr>
      <w:bookmarkStart w:id="43" w:name="_Toc15377216"/>
      <w:r>
        <w:rPr>
          <w:rFonts w:hint="eastAsia" w:ascii="楷体" w:hAnsi="楷体" w:eastAsia="楷体" w:cs="楷体"/>
          <w:b w:val="0"/>
          <w:bCs/>
          <w:color w:val="auto"/>
          <w:sz w:val="32"/>
          <w:szCs w:val="32"/>
          <w:highlight w:val="none"/>
        </w:rPr>
        <w:t>（一）“三公”经费财政拨款支出决算总体情况说明</w:t>
      </w:r>
      <w:bookmarkEnd w:id="43"/>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auto"/>
          <w:sz w:val="32"/>
          <w:szCs w:val="32"/>
          <w:highlight w:val="none"/>
        </w:rPr>
      </w:pPr>
      <w:bookmarkStart w:id="44" w:name="_Toc15377217"/>
      <w:r>
        <w:rPr>
          <w:rFonts w:hint="eastAsia" w:ascii="楷体" w:hAnsi="楷体" w:eastAsia="楷体" w:cs="楷体"/>
          <w:b w:val="0"/>
          <w:bCs/>
          <w:color w:val="auto"/>
          <w:sz w:val="32"/>
          <w:szCs w:val="32"/>
          <w:highlight w:val="none"/>
        </w:rPr>
        <w:t>（二）“三公”经费财政拨款支出决算具体情况说明</w:t>
      </w:r>
      <w:bookmarkEnd w:id="44"/>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outlineLvl w:val="9"/>
        <w:rPr>
          <w:rFonts w:hint="eastAsia" w:ascii="仿宋" w:hAnsi="仿宋" w:eastAsia="仿宋"/>
          <w:color w:val="auto"/>
          <w:sz w:val="32"/>
          <w:szCs w:val="32"/>
          <w:highlight w:val="none"/>
        </w:rPr>
      </w:pPr>
      <w:r>
        <w:rPr>
          <w:rFonts w:ascii="仿宋" w:hAnsi="仿宋" w:eastAsia="仿宋"/>
          <w:color w:val="auto"/>
          <w:sz w:val="32"/>
          <w:szCs w:val="32"/>
        </w:rPr>
        <w:drawing>
          <wp:anchor distT="0" distB="0" distL="114300" distR="114300" simplePos="0" relativeHeight="251665408" behindDoc="0" locked="0" layoutInCell="1" allowOverlap="1">
            <wp:simplePos x="0" y="0"/>
            <wp:positionH relativeFrom="column">
              <wp:posOffset>167005</wp:posOffset>
            </wp:positionH>
            <wp:positionV relativeFrom="paragraph">
              <wp:posOffset>115570</wp:posOffset>
            </wp:positionV>
            <wp:extent cx="5073650" cy="2635250"/>
            <wp:effectExtent l="4445" t="4445" r="8255" b="82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spacing w:line="600" w:lineRule="exact"/>
        <w:ind w:firstLine="640"/>
        <w:outlineLvl w:val="9"/>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1"/>
        <w:rPr>
          <w:rFonts w:ascii="仿宋" w:hAnsi="仿宋" w:eastAsia="仿宋"/>
          <w:color w:val="auto"/>
          <w:sz w:val="32"/>
          <w:szCs w:val="32"/>
          <w:highlight w:val="none"/>
        </w:rPr>
      </w:pPr>
      <w:bookmarkStart w:id="45" w:name="_Toc12146"/>
      <w:bookmarkStart w:id="46" w:name="_Toc1682"/>
      <w:r>
        <w:rPr>
          <w:rFonts w:hint="eastAsia" w:ascii="仿宋" w:hAnsi="仿宋" w:eastAsia="仿宋"/>
          <w:color w:val="auto"/>
          <w:sz w:val="32"/>
          <w:szCs w:val="32"/>
          <w:highlight w:val="none"/>
        </w:rPr>
        <w:t>（图7：“三公”经费财政拨款支出结构）（饼状图）</w:t>
      </w:r>
      <w:bookmarkEnd w:id="45"/>
      <w:bookmarkEnd w:id="46"/>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Fonts w:hint="eastAsia" w:ascii="仿宋_GB2312" w:eastAsia="仿宋_GB2312"/>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当年未安排因公出国（境）支出预算，无因公出国（境）支出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我校未购置公务用车，2022年未安排公务用车购置及运行维护费支出预算，无公务用车购置及运行维护费支出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b/>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Fonts w:hint="eastAsia" w:ascii="仿宋" w:hAnsi="仿宋" w:eastAsia="仿宋"/>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bookmarkStart w:id="47" w:name="_Toc15377218"/>
      <w:bookmarkStart w:id="48" w:name="_Toc15396610"/>
      <w:bookmarkStart w:id="49" w:name="_Toc21937"/>
      <w:r>
        <w:rPr>
          <w:rFonts w:hint="eastAsia" w:ascii="仿宋_GB2312" w:eastAsia="仿宋_GB2312"/>
          <w:color w:val="auto"/>
          <w:sz w:val="32"/>
          <w:szCs w:val="32"/>
          <w:highlight w:val="none"/>
          <w:lang w:val="en-US" w:eastAsia="zh-CN"/>
        </w:rPr>
        <w:t>公务接待费</w:t>
      </w:r>
      <w:r>
        <w:rPr>
          <w:rFonts w:hint="eastAsia" w:ascii="仿宋_GB2312" w:eastAsia="仿宋_GB2312"/>
          <w:color w:val="auto"/>
          <w:sz w:val="32"/>
          <w:szCs w:val="32"/>
          <w:highlight w:val="none"/>
        </w:rPr>
        <w:t>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7"/>
      <w:bookmarkEnd w:id="48"/>
      <w:bookmarkEnd w:id="49"/>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kinsoku/>
        <w:wordWrap/>
        <w:overflowPunct/>
        <w:topLinePunct w:val="0"/>
        <w:bidi w:val="0"/>
        <w:snapToGrid/>
        <w:spacing w:line="560" w:lineRule="exact"/>
        <w:ind w:firstLine="640"/>
        <w:textAlignment w:val="auto"/>
        <w:outlineLvl w:val="1"/>
        <w:rPr>
          <w:rStyle w:val="25"/>
          <w:rFonts w:ascii="黑体" w:hAnsi="黑体" w:eastAsia="黑体"/>
          <w:b w:val="0"/>
          <w:color w:val="auto"/>
          <w:highlight w:val="none"/>
        </w:rPr>
      </w:pPr>
      <w:bookmarkStart w:id="50" w:name="_Toc15377219"/>
      <w:bookmarkStart w:id="51" w:name="_Toc25869"/>
      <w:bookmarkStart w:id="52" w:name="_Toc15396611"/>
      <w:r>
        <w:rPr>
          <w:rStyle w:val="25"/>
          <w:rFonts w:hint="eastAsia" w:ascii="黑体" w:hAnsi="黑体" w:eastAsia="黑体"/>
          <w:b w:val="0"/>
          <w:color w:val="auto"/>
          <w:highlight w:val="none"/>
        </w:rPr>
        <w:t>国有资本经营预算支出决算情况说明</w:t>
      </w:r>
      <w:bookmarkEnd w:id="50"/>
      <w:bookmarkEnd w:id="51"/>
      <w:bookmarkEnd w:id="52"/>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kinsoku/>
        <w:wordWrap/>
        <w:overflowPunct/>
        <w:topLinePunct w:val="0"/>
        <w:bidi w:val="0"/>
        <w:snapToGrid/>
        <w:spacing w:line="560" w:lineRule="exact"/>
        <w:ind w:firstLine="640"/>
        <w:textAlignment w:val="auto"/>
        <w:outlineLvl w:val="1"/>
        <w:rPr>
          <w:rStyle w:val="25"/>
          <w:rFonts w:hint="eastAsia" w:ascii="黑体" w:hAnsi="黑体" w:eastAsia="黑体"/>
          <w:b w:val="0"/>
          <w:color w:val="auto"/>
          <w:highlight w:val="none"/>
        </w:rPr>
      </w:pPr>
      <w:bookmarkStart w:id="53" w:name="_Toc15377221"/>
      <w:bookmarkStart w:id="54" w:name="_Toc15396612"/>
      <w:bookmarkStart w:id="55" w:name="_Toc3617"/>
      <w:r>
        <w:rPr>
          <w:rStyle w:val="25"/>
          <w:rFonts w:hint="eastAsia" w:ascii="黑体" w:hAnsi="黑体" w:eastAsia="黑体"/>
          <w:b w:val="0"/>
          <w:color w:val="auto"/>
          <w:highlight w:val="none"/>
        </w:rPr>
        <w:t>其他重要事项的情况说明</w:t>
      </w:r>
      <w:bookmarkEnd w:id="53"/>
      <w:bookmarkEnd w:id="54"/>
      <w:bookmarkEnd w:id="55"/>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6" w:name="_Toc15377222"/>
      <w:r>
        <w:rPr>
          <w:rFonts w:hint="eastAsia" w:ascii="楷体" w:hAnsi="楷体" w:eastAsia="楷体" w:cs="楷体"/>
          <w:b w:val="0"/>
          <w:bCs/>
          <w:color w:val="auto"/>
          <w:sz w:val="32"/>
          <w:szCs w:val="32"/>
          <w:highlight w:val="none"/>
        </w:rPr>
        <w:t>（一）机关运行经费支出情况</w:t>
      </w:r>
      <w:bookmarkEnd w:id="56"/>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广元市利州区宝轮第一小学</w:t>
      </w:r>
      <w:r>
        <w:rPr>
          <w:rFonts w:hint="eastAsia" w:ascii="仿宋_GB2312" w:eastAsia="仿宋_GB2312"/>
          <w:color w:val="auto"/>
          <w:sz w:val="32"/>
          <w:szCs w:val="32"/>
          <w:highlight w:val="none"/>
        </w:rPr>
        <w:t>机关运行经费支出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7" w:name="_Toc15377223"/>
      <w:r>
        <w:rPr>
          <w:rFonts w:hint="eastAsia" w:ascii="楷体" w:hAnsi="楷体" w:eastAsia="楷体" w:cs="楷体"/>
          <w:b w:val="0"/>
          <w:bCs/>
          <w:color w:val="auto"/>
          <w:sz w:val="32"/>
          <w:szCs w:val="32"/>
          <w:highlight w:val="none"/>
        </w:rPr>
        <w:t>（二）政府采购支出情况</w:t>
      </w:r>
      <w:bookmarkEnd w:id="57"/>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广元市利州区宝轮第一小学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8" w:name="_Toc15377224"/>
      <w:r>
        <w:rPr>
          <w:rFonts w:hint="eastAsia" w:ascii="楷体" w:hAnsi="楷体" w:eastAsia="楷体" w:cs="楷体"/>
          <w:b w:val="0"/>
          <w:bCs/>
          <w:color w:val="auto"/>
          <w:sz w:val="32"/>
          <w:szCs w:val="32"/>
          <w:highlight w:val="none"/>
        </w:rPr>
        <w:t>（三）国有资产占有使用情况</w:t>
      </w:r>
      <w:bookmarkEnd w:id="58"/>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广元市利州区宝轮第一小学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义务教育营养餐改善</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2022年特定目标类部门预算项目绩效目标自评表见附件（第四部分）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both"/>
        <w:textAlignment w:val="auto"/>
        <w:outlineLvl w:val="2"/>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w:t>
      </w:r>
      <w:r>
        <w:rPr>
          <w:rFonts w:hint="eastAsia" w:ascii="仿宋" w:hAnsi="仿宋" w:eastAsia="仿宋"/>
          <w:b/>
          <w:bCs w:val="0"/>
          <w:color w:val="auto"/>
          <w:sz w:val="30"/>
          <w:szCs w:val="30"/>
          <w:highlight w:val="none"/>
        </w:rPr>
        <w:t>注：</w:t>
      </w:r>
      <w:r>
        <w:rPr>
          <w:rFonts w:hint="eastAsia" w:ascii="仿宋" w:hAnsi="仿宋" w:eastAsia="仿宋"/>
          <w:b/>
          <w:bCs w:val="0"/>
          <w:color w:val="auto"/>
          <w:sz w:val="30"/>
          <w:szCs w:val="30"/>
          <w:highlight w:val="none"/>
          <w:lang w:eastAsia="zh-CN"/>
        </w:rPr>
        <w:t>单位</w:t>
      </w:r>
      <w:r>
        <w:rPr>
          <w:rFonts w:hint="eastAsia" w:ascii="仿宋_GB2312" w:hAnsi="仿宋_GB2312" w:eastAsia="仿宋_GB2312" w:cs="仿宋_GB2312"/>
          <w:b/>
          <w:bCs w:val="0"/>
          <w:color w:val="auto"/>
          <w:sz w:val="30"/>
          <w:szCs w:val="30"/>
          <w:highlight w:val="none"/>
          <w:lang w:val="en-US" w:eastAsia="zh-CN"/>
        </w:rPr>
        <w:t>2022年特定目标类部门预算项目绩效目标自评表为本部门2022年部门整体支出绩效评价报告中涉及本单位的附表</w:t>
      </w:r>
      <w:r>
        <w:rPr>
          <w:rFonts w:hint="eastAsia" w:ascii="仿宋" w:hAnsi="仿宋" w:eastAsia="仿宋"/>
          <w:b/>
          <w:bCs w:val="0"/>
          <w:color w:val="auto"/>
          <w:sz w:val="30"/>
          <w:szCs w:val="30"/>
          <w:highlight w:val="none"/>
        </w:rPr>
        <w:t>）</w:t>
      </w:r>
    </w:p>
    <w:p>
      <w:pPr>
        <w:pStyle w:val="5"/>
        <w:outlineLvl w:val="9"/>
        <w:rPr>
          <w:color w:val="auto"/>
          <w:highlight w:val="yellow"/>
        </w:rPr>
      </w:pPr>
    </w:p>
    <w:p>
      <w:pPr>
        <w:widowControl/>
        <w:jc w:val="left"/>
        <w:outlineLvl w:val="9"/>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4"/>
          <w:rFonts w:ascii="黑体" w:hAnsi="黑体" w:eastAsia="黑体"/>
          <w:b w:val="0"/>
          <w:color w:val="auto"/>
          <w:highlight w:val="none"/>
        </w:rPr>
      </w:pPr>
      <w:bookmarkStart w:id="59" w:name="_Toc15377225"/>
      <w:bookmarkStart w:id="60" w:name="_Toc13602"/>
      <w:bookmarkStart w:id="61"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9"/>
      <w:bookmarkEnd w:id="60"/>
      <w:bookmarkEnd w:id="61"/>
    </w:p>
    <w:p>
      <w:pPr>
        <w:keepNext w:val="0"/>
        <w:keepLines w:val="0"/>
        <w:pageBreakBefore w:val="0"/>
        <w:widowControl w:val="0"/>
        <w:kinsoku/>
        <w:wordWrap/>
        <w:overflowPunct/>
        <w:topLinePunct w:val="0"/>
        <w:bidi w:val="0"/>
        <w:snapToGrid w:val="0"/>
        <w:spacing w:line="560" w:lineRule="exact"/>
        <w:jc w:val="left"/>
        <w:textAlignment w:val="auto"/>
        <w:outlineLvl w:val="9"/>
        <w:rPr>
          <w:rFonts w:ascii="宋体"/>
          <w:b/>
          <w:color w:val="auto"/>
          <w:sz w:val="44"/>
          <w:szCs w:val="44"/>
          <w:highlight w:val="none"/>
        </w:rPr>
      </w:pP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2"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62"/>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3" w:name="_Toc18447"/>
      <w:r>
        <w:rPr>
          <w:rFonts w:hint="eastAsia" w:ascii="仿宋_GB2312" w:eastAsia="仿宋_GB2312"/>
          <w:color w:val="auto"/>
          <w:sz w:val="32"/>
          <w:szCs w:val="32"/>
        </w:rPr>
        <w:t>2.事业收入：指事业单位开展专业业务活动及辅助活动取得的收入。</w:t>
      </w:r>
      <w:bookmarkEnd w:id="63"/>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4" w:name="_Toc20496"/>
      <w:r>
        <w:rPr>
          <w:rFonts w:hint="eastAsia" w:ascii="仿宋_GB2312" w:eastAsia="仿宋_GB2312"/>
          <w:color w:val="auto"/>
          <w:sz w:val="32"/>
          <w:szCs w:val="32"/>
        </w:rPr>
        <w:t>6.年初结转和结余：指以前年度尚未完成、结转到本年按有关规定继续使用的资金。</w:t>
      </w:r>
      <w:bookmarkEnd w:id="64"/>
      <w:r>
        <w:rPr>
          <w:rFonts w:hint="eastAsia" w:ascii="仿宋_GB2312" w:eastAsia="仿宋_GB2312"/>
          <w:color w:val="auto"/>
          <w:sz w:val="32"/>
          <w:szCs w:val="32"/>
        </w:rPr>
        <w:t xml:space="preserve"> </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5" w:name="_Toc1650"/>
      <w:r>
        <w:rPr>
          <w:rFonts w:hint="eastAsia" w:ascii="仿宋_GB2312" w:eastAsia="仿宋_GB2312"/>
          <w:color w:val="auto"/>
          <w:sz w:val="32"/>
          <w:szCs w:val="32"/>
        </w:rPr>
        <w:t>8</w:t>
      </w:r>
      <w:r>
        <w:rPr>
          <w:rFonts w:hint="eastAsia" w:ascii="仿宋_GB2312" w:eastAsia="仿宋_GB2312"/>
          <w:color w:val="auto"/>
          <w:sz w:val="32"/>
          <w:szCs w:val="32"/>
          <w:lang w:eastAsia="zh-CN"/>
        </w:rPr>
        <w:t>.</w:t>
      </w:r>
      <w:r>
        <w:rPr>
          <w:rFonts w:hint="eastAsia" w:ascii="仿宋_GB2312" w:eastAsia="仿宋_GB2312"/>
          <w:color w:val="auto"/>
          <w:sz w:val="32"/>
          <w:szCs w:val="32"/>
        </w:rPr>
        <w:t>年末结转和结余：指单位按有关规定结转到下年或以后年度继续使用的资金。</w:t>
      </w:r>
      <w:bookmarkEnd w:id="65"/>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w:t>
      </w:r>
      <w:r>
        <w:rPr>
          <w:rFonts w:hint="eastAsia" w:ascii="仿宋_GB2312" w:eastAsia="仿宋_GB2312"/>
          <w:color w:val="auto"/>
          <w:sz w:val="32"/>
          <w:szCs w:val="32"/>
        </w:rPr>
        <w:t>教育支出（类）普通教育（款）小学教育（项）:反映各部门举办的小学教育支出。政府各部门对社会中介组织等举办的小学的资助，如各类捐赠、补贴等，也在本科目中反映。</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.教育支出（类）普通教育（款）初中教育（项）: 反映各部门举办的初中教育支出。政府各部门对社会中介组织等举办的初中教育的资助，如捐赠、补贴等，也在本科目中反映。</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.教育支出（类）其它教育支出（款）其他教育支出（项）: 指上述项目以外其他用于教育方面的支出。</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.社会保障和就业支出（类）行政事业单位离退休（款）机关事业单位职业年金缴费支出（项）: 指机关事业单位实施养老保险制度由单位实际缴纳的职业年金支出。</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.住房保障支出（类）住房改革支出（款）住房公积金（项）: 指行政事业单位按人力资源和社会保障部、财政部规定的基本工资和津贴补贴以及规定比例为职工缴纳的住房公积金。</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.基本支出：指为保障机构正常运转、完成日常工作任务而发生的人员支出和公用支出。</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 xml:space="preserve">.项目支出：指在基本支出之外为完成特定行政任务和事业发展目标所发生的支出。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 w:hAnsi="仿宋" w:eastAsia="仿宋"/>
          <w:b/>
          <w:color w:val="auto"/>
          <w:sz w:val="32"/>
          <w:szCs w:val="32"/>
          <w:highlight w:val="none"/>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600" w:lineRule="exact"/>
        <w:ind w:leftChars="0"/>
        <w:jc w:val="both"/>
        <w:outlineLvl w:val="0"/>
        <w:rPr>
          <w:rStyle w:val="24"/>
          <w:rFonts w:hint="eastAsia" w:ascii="黑体" w:hAnsi="黑体" w:eastAsia="黑体"/>
          <w:b w:val="0"/>
          <w:color w:val="auto"/>
          <w:highlight w:val="none"/>
        </w:rPr>
      </w:pPr>
      <w:bookmarkStart w:id="66" w:name="_Toc15377226"/>
      <w:r>
        <w:rPr>
          <w:rFonts w:ascii="宋体"/>
          <w:b/>
          <w:color w:val="auto"/>
          <w:sz w:val="44"/>
          <w:szCs w:val="44"/>
          <w:highlight w:val="none"/>
        </w:rPr>
        <w:br w:type="page"/>
      </w:r>
      <w:bookmarkStart w:id="67" w:name="_Toc8790"/>
      <w:bookmarkStart w:id="68" w:name="_Toc15396614"/>
      <w:r>
        <w:rPr>
          <w:rStyle w:val="24"/>
          <w:rFonts w:hint="eastAsia" w:ascii="黑体" w:hAnsi="黑体" w:eastAsia="黑体"/>
          <w:b w:val="0"/>
          <w:color w:val="auto"/>
          <w:highlight w:val="none"/>
        </w:rPr>
        <w:t>附件</w:t>
      </w:r>
      <w:bookmarkEnd w:id="67"/>
      <w:bookmarkEnd w:id="68"/>
    </w:p>
    <w:p>
      <w:pPr>
        <w:pStyle w:val="5"/>
        <w:rPr>
          <w:rFonts w:hint="eastAsia"/>
        </w:rPr>
      </w:pPr>
    </w:p>
    <w:p>
      <w:pPr>
        <w:keepNext w:val="0"/>
        <w:keepLines w:val="0"/>
        <w:pageBreakBefore w:val="0"/>
        <w:kinsoku/>
        <w:wordWrap/>
        <w:overflowPunct/>
        <w:topLinePunct w:val="0"/>
        <w:autoSpaceDE/>
        <w:autoSpaceDN/>
        <w:bidi w:val="0"/>
        <w:spacing w:line="572" w:lineRule="exact"/>
        <w:ind w:firstLine="722" w:firstLineChars="200"/>
        <w:jc w:val="both"/>
        <w:textAlignment w:val="auto"/>
        <w:rPr>
          <w:rFonts w:hint="eastAsia" w:ascii="Times New Roman" w:hAnsi="Times New Roman" w:eastAsia="宋体" w:cs="Times New Roman"/>
          <w:b/>
          <w:bCs/>
          <w:color w:val="auto"/>
          <w:kern w:val="2"/>
          <w:sz w:val="36"/>
          <w:szCs w:val="36"/>
          <w:highlight w:val="none"/>
          <w:lang w:val="zh-CN" w:eastAsia="zh-CN" w:bidi="ar-SA"/>
        </w:rPr>
      </w:pPr>
      <w:bookmarkStart w:id="69" w:name="_Toc6467"/>
      <w:r>
        <w:rPr>
          <w:rFonts w:hint="eastAsia"/>
          <w:b/>
          <w:bCs/>
          <w:color w:val="auto"/>
          <w:sz w:val="36"/>
          <w:szCs w:val="36"/>
          <w:lang w:val="en-US" w:eastAsia="zh-CN"/>
        </w:rPr>
        <w:t>附件</w:t>
      </w:r>
      <w:bookmarkEnd w:id="69"/>
      <w:r>
        <w:rPr>
          <w:rFonts w:hint="eastAsia"/>
          <w:b/>
          <w:bCs/>
          <w:color w:val="auto"/>
          <w:sz w:val="36"/>
          <w:szCs w:val="36"/>
          <w:highlight w:val="none"/>
          <w:lang w:val="en-US" w:eastAsia="zh-CN"/>
        </w:rPr>
        <w:t>一、</w:t>
      </w:r>
      <w:r>
        <w:rPr>
          <w:rFonts w:hint="eastAsia" w:ascii="Times New Roman" w:hAnsi="Times New Roman" w:eastAsia="宋体" w:cs="Times New Roman"/>
          <w:b/>
          <w:bCs/>
          <w:color w:val="auto"/>
          <w:kern w:val="2"/>
          <w:sz w:val="36"/>
          <w:szCs w:val="36"/>
          <w:highlight w:val="none"/>
          <w:lang w:val="en-US" w:eastAsia="zh-CN" w:bidi="ar-SA"/>
        </w:rPr>
        <w:t>202</w:t>
      </w:r>
      <w:r>
        <w:rPr>
          <w:rFonts w:hint="eastAsia" w:cs="Times New Roman"/>
          <w:b/>
          <w:bCs/>
          <w:color w:val="auto"/>
          <w:kern w:val="2"/>
          <w:sz w:val="36"/>
          <w:szCs w:val="36"/>
          <w:highlight w:val="none"/>
          <w:lang w:val="en-US" w:eastAsia="zh-CN" w:bidi="ar-SA"/>
        </w:rPr>
        <w:t>2</w:t>
      </w:r>
      <w:r>
        <w:rPr>
          <w:rFonts w:hint="eastAsia" w:ascii="Times New Roman" w:hAnsi="Times New Roman" w:eastAsia="宋体" w:cs="Times New Roman"/>
          <w:b/>
          <w:bCs/>
          <w:color w:val="auto"/>
          <w:kern w:val="2"/>
          <w:sz w:val="36"/>
          <w:szCs w:val="36"/>
          <w:highlight w:val="none"/>
          <w:lang w:val="en-US" w:eastAsia="zh-CN" w:bidi="ar-SA"/>
        </w:rPr>
        <w:t>年部门整体绩效评价报告</w:t>
      </w:r>
    </w:p>
    <w:p>
      <w:pPr>
        <w:pStyle w:val="5"/>
        <w:outlineLvl w:val="1"/>
        <w:rPr>
          <w:rFonts w:hint="default"/>
          <w:color w:val="auto"/>
          <w:lang w:val="en-US" w:eastAsia="zh-CN"/>
        </w:rPr>
      </w:pPr>
    </w:p>
    <w:p>
      <w:pPr>
        <w:widowControl/>
        <w:spacing w:line="580" w:lineRule="exact"/>
        <w:contextualSpacing/>
        <w:jc w:val="center"/>
        <w:outlineLvl w:val="9"/>
        <w:rPr>
          <w:rFonts w:hint="default" w:ascii="方正小标宋简体" w:hAnsi="宋体" w:eastAsia="方正小标宋简体"/>
          <w:color w:val="auto"/>
          <w:sz w:val="44"/>
          <w:szCs w:val="44"/>
          <w:shd w:val="clear" w:color="auto" w:fill="FFFFFF"/>
          <w:lang w:val="en-US" w:eastAsia="zh-CN"/>
        </w:rPr>
      </w:pPr>
      <w:r>
        <w:rPr>
          <w:rFonts w:hint="eastAsia" w:ascii="方正小标宋简体" w:hAnsi="宋体" w:eastAsia="方正小标宋简体"/>
          <w:color w:val="auto"/>
          <w:sz w:val="44"/>
          <w:szCs w:val="44"/>
          <w:shd w:val="clear" w:color="auto" w:fill="FFFFFF"/>
          <w:lang w:val="en-US" w:eastAsia="zh-CN"/>
        </w:rPr>
        <w:t>广元市利州区宝轮第一小学</w:t>
      </w:r>
    </w:p>
    <w:p>
      <w:pPr>
        <w:widowControl/>
        <w:spacing w:line="580" w:lineRule="exact"/>
        <w:contextualSpacing/>
        <w:jc w:val="center"/>
        <w:outlineLvl w:val="1"/>
        <w:rPr>
          <w:rFonts w:hint="eastAsia" w:ascii="方正小标宋简体" w:hAnsi="宋体" w:eastAsia="方正小标宋简体"/>
          <w:color w:val="auto"/>
          <w:sz w:val="44"/>
          <w:szCs w:val="44"/>
          <w:shd w:val="clear" w:color="auto" w:fill="FFFFFF"/>
        </w:rPr>
      </w:pPr>
      <w:bookmarkStart w:id="70" w:name="_Toc2383"/>
      <w:r>
        <w:rPr>
          <w:rFonts w:hint="eastAsia" w:ascii="方正小标宋简体" w:hAnsi="宋体" w:eastAsia="方正小标宋简体"/>
          <w:color w:val="auto"/>
          <w:sz w:val="44"/>
          <w:szCs w:val="44"/>
          <w:shd w:val="clear" w:color="auto" w:fill="FFFFFF"/>
        </w:rPr>
        <w:t>202</w:t>
      </w:r>
      <w:r>
        <w:rPr>
          <w:rFonts w:hint="eastAsia" w:ascii="方正小标宋简体" w:hAnsi="宋体" w:eastAsia="方正小标宋简体"/>
          <w:color w:val="auto"/>
          <w:sz w:val="44"/>
          <w:szCs w:val="44"/>
          <w:shd w:val="clear" w:color="auto" w:fill="FFFFFF"/>
          <w:lang w:val="en-US" w:eastAsia="zh-CN"/>
        </w:rPr>
        <w:t>2</w:t>
      </w:r>
      <w:r>
        <w:rPr>
          <w:rFonts w:hint="eastAsia" w:ascii="方正小标宋简体" w:hAnsi="宋体" w:eastAsia="方正小标宋简体"/>
          <w:color w:val="auto"/>
          <w:sz w:val="44"/>
          <w:szCs w:val="44"/>
          <w:shd w:val="clear" w:color="auto" w:fill="FFFFFF"/>
        </w:rPr>
        <w:t>年</w:t>
      </w:r>
      <w:r>
        <w:rPr>
          <w:rFonts w:hint="eastAsia" w:ascii="方正小标宋简体" w:hAnsi="宋体" w:eastAsia="方正小标宋简体"/>
          <w:color w:val="auto"/>
          <w:sz w:val="44"/>
          <w:szCs w:val="44"/>
          <w:shd w:val="clear" w:color="auto" w:fill="FFFFFF"/>
          <w:lang w:val="en-US" w:eastAsia="zh-CN"/>
        </w:rPr>
        <w:t>部门</w:t>
      </w:r>
      <w:r>
        <w:rPr>
          <w:rFonts w:hint="eastAsia" w:ascii="方正小标宋简体" w:hAnsi="宋体" w:eastAsia="方正小标宋简体"/>
          <w:color w:val="auto"/>
          <w:sz w:val="44"/>
          <w:szCs w:val="44"/>
          <w:shd w:val="clear" w:color="auto" w:fill="FFFFFF"/>
        </w:rPr>
        <w:t>整体支出绩效评价报告</w:t>
      </w:r>
      <w:bookmarkEnd w:id="70"/>
    </w:p>
    <w:p>
      <w:pPr>
        <w:pStyle w:val="5"/>
        <w:keepNext w:val="0"/>
        <w:keepLines w:val="0"/>
        <w:pageBreakBefore w:val="0"/>
        <w:widowControl w:val="0"/>
        <w:kinsoku/>
        <w:wordWrap/>
        <w:overflowPunct/>
        <w:topLinePunct w:val="0"/>
        <w:autoSpaceDE/>
        <w:autoSpaceDN/>
        <w:bidi w:val="0"/>
        <w:snapToGrid w:val="0"/>
        <w:spacing w:beforeLines="0" w:line="540" w:lineRule="exact"/>
        <w:textAlignment w:val="auto"/>
        <w:outlineLvl w:val="1"/>
        <w:rPr>
          <w:rFonts w:hint="eastAsia"/>
          <w:color w:val="auto"/>
        </w:rPr>
      </w:pPr>
    </w:p>
    <w:p>
      <w:pPr>
        <w:keepNext w:val="0"/>
        <w:keepLines w:val="0"/>
        <w:pageBreakBefore w:val="0"/>
        <w:widowControl w:val="0"/>
        <w:kinsoku/>
        <w:wordWrap/>
        <w:overflowPunct/>
        <w:topLinePunct w:val="0"/>
        <w:autoSpaceDE/>
        <w:autoSpaceDN/>
        <w:bidi w:val="0"/>
        <w:snapToGrid w:val="0"/>
        <w:spacing w:line="540" w:lineRule="exact"/>
        <w:ind w:left="0" w:firstLine="640" w:firstLineChars="200"/>
        <w:contextualSpacing/>
        <w:jc w:val="both"/>
        <w:textAlignment w:val="auto"/>
        <w:outlineLvl w:val="2"/>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根据广元市利州区财政局《关于开展2022年部门、政策和项目支出绩效评价工作的通知》（广利财发〔2022〕7号）要求，我校高度重视，及时组织对2022年度我校整体支出绩效评价进行了自评，现将有关情况报告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outlineLvl w:val="1"/>
        <w:rPr>
          <w:rFonts w:hint="eastAsia" w:ascii="方正黑体简体" w:hAnsi="宋体" w:eastAsia="方正黑体简体" w:cs="宋体"/>
          <w:color w:val="auto"/>
          <w:kern w:val="0"/>
          <w:sz w:val="32"/>
          <w:szCs w:val="32"/>
          <w:shd w:val="clear" w:color="auto" w:fill="FFFFFF"/>
          <w:lang w:val="zh-CN"/>
        </w:rPr>
      </w:pPr>
      <w:bookmarkStart w:id="71" w:name="_Toc18784"/>
      <w:r>
        <w:rPr>
          <w:rFonts w:hint="eastAsia" w:ascii="方正黑体简体" w:hAnsi="宋体" w:eastAsia="方正黑体简体" w:cs="宋体"/>
          <w:color w:val="auto"/>
          <w:kern w:val="0"/>
          <w:sz w:val="32"/>
          <w:szCs w:val="32"/>
          <w:shd w:val="clear" w:color="auto" w:fill="FFFFFF"/>
          <w:lang w:val="zh-CN"/>
        </w:rPr>
        <w:t>部门（单位）概况</w:t>
      </w:r>
      <w:bookmarkEnd w:id="71"/>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rPr>
      </w:pPr>
      <w:r>
        <w:rPr>
          <w:rFonts w:hint="eastAsia" w:ascii="楷体" w:hAnsi="楷体" w:eastAsia="楷体" w:cs="楷体"/>
          <w:color w:val="auto"/>
          <w:sz w:val="32"/>
          <w:szCs w:val="32"/>
        </w:rPr>
        <w:t>（一）机构组成</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contextualSpacing/>
        <w:jc w:val="both"/>
        <w:textAlignment w:val="auto"/>
        <w:outlineLvl w:val="2"/>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广元市利州区宝轮第一小学隶属广元市利州区教育局下属二级单位。</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rPr>
      </w:pPr>
      <w:r>
        <w:rPr>
          <w:rFonts w:hint="eastAsia" w:ascii="楷体" w:hAnsi="楷体" w:eastAsia="楷体" w:cs="楷体"/>
          <w:color w:val="auto"/>
          <w:sz w:val="32"/>
          <w:szCs w:val="32"/>
        </w:rPr>
        <w:t>（二）机构职能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负责贯彻党的教育方针，坚持社会主义办学方向，对学生进行德育、智育、体育、美育和劳动教育等方面的教育。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负责配合各级人民政府依法动员适龄儿童、少年入学，严格控制学生辍学，依法保证适龄儿童、少年接受义务教育。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负责制定学校教育发展规划，并抓好组织实施和落实工作。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 xml:space="preserve">负责按照教育主管部门发布的指导性教学计划、教学大纲，组织实施教育教学活动。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决定和实施本校的教学计划，组织教学评比、集体备课，对学生进行统一考核、考试等。负责依据国家主管部门有关教学计划、课程设置等方面的规定。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 xml:space="preserve">负责学籍管理。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 xml:space="preserve">负责聘任、培训、考核教师，依法奖励或处分有关教师和职工。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负责科学管理、合理使用学校的设施和经费，并积极筹措资金，改善办学条件。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 xml:space="preserve">负责维护学校、师生的合法权益，有权拒绝任何组织和个人对教育教学活动进行非法干涉。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依法接受各级教育行政部门的检查指导和人民群众的监督。</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（三）</w:t>
      </w:r>
      <w:r>
        <w:rPr>
          <w:rFonts w:hint="eastAsia" w:ascii="楷体" w:hAnsi="楷体" w:eastAsia="楷体" w:cs="楷体"/>
          <w:color w:val="auto"/>
          <w:sz w:val="32"/>
          <w:szCs w:val="32"/>
        </w:rPr>
        <w:t>人员概况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auto"/>
          <w:sz w:val="32"/>
          <w:szCs w:val="32"/>
        </w:rPr>
      </w:pPr>
      <w:r>
        <w:rPr>
          <w:rFonts w:hint="eastAsia" w:ascii="仿宋" w:hAnsi="仿宋" w:eastAsia="仿宋" w:cs="仿宋_GB2312"/>
          <w:color w:val="auto"/>
          <w:sz w:val="32"/>
          <w:szCs w:val="32"/>
        </w:rPr>
        <w:t>全</w:t>
      </w:r>
      <w:r>
        <w:rPr>
          <w:rFonts w:hint="eastAsia" w:ascii="仿宋" w:hAnsi="仿宋" w:eastAsia="仿宋" w:cs="仿宋_GB2312"/>
          <w:color w:val="auto"/>
          <w:sz w:val="32"/>
          <w:szCs w:val="32"/>
          <w:lang w:val="en-US" w:eastAsia="zh-CN"/>
        </w:rPr>
        <w:t>校</w:t>
      </w:r>
      <w:r>
        <w:rPr>
          <w:rFonts w:hint="eastAsia" w:ascii="仿宋" w:hAnsi="仿宋" w:eastAsia="仿宋" w:cs="仿宋_GB2312"/>
          <w:color w:val="auto"/>
          <w:sz w:val="32"/>
          <w:szCs w:val="32"/>
        </w:rPr>
        <w:t>现有</w:t>
      </w:r>
      <w:r>
        <w:rPr>
          <w:rFonts w:hint="eastAsia" w:ascii="仿宋" w:hAnsi="仿宋" w:eastAsia="仿宋" w:cs="仿宋_GB2312"/>
          <w:color w:val="auto"/>
          <w:sz w:val="32"/>
          <w:szCs w:val="32"/>
          <w:lang w:val="en-US" w:eastAsia="zh-CN"/>
        </w:rPr>
        <w:t>教职工93人</w:t>
      </w:r>
      <w:r>
        <w:rPr>
          <w:rFonts w:hint="eastAsia" w:ascii="仿宋" w:hAnsi="仿宋" w:eastAsia="仿宋" w:cs="仿宋_GB2312"/>
          <w:color w:val="auto"/>
          <w:sz w:val="32"/>
          <w:szCs w:val="32"/>
        </w:rPr>
        <w:t>，学生</w:t>
      </w:r>
      <w:r>
        <w:rPr>
          <w:rFonts w:hint="eastAsia" w:ascii="仿宋" w:hAnsi="仿宋" w:eastAsia="仿宋" w:cs="仿宋_GB2312"/>
          <w:color w:val="auto"/>
          <w:sz w:val="32"/>
          <w:szCs w:val="32"/>
          <w:lang w:val="en-US" w:eastAsia="zh-CN"/>
        </w:rPr>
        <w:t>1529</w:t>
      </w:r>
      <w:r>
        <w:rPr>
          <w:rFonts w:hint="eastAsia" w:ascii="仿宋" w:hAnsi="仿宋" w:eastAsia="仿宋" w:cs="仿宋_GB2312"/>
          <w:color w:val="auto"/>
          <w:sz w:val="32"/>
          <w:szCs w:val="32"/>
        </w:rPr>
        <w:t>人。其中：</w:t>
      </w:r>
      <w:r>
        <w:rPr>
          <w:rFonts w:hint="eastAsia" w:ascii="仿宋" w:hAnsi="仿宋" w:eastAsia="仿宋" w:cs="仿宋_GB2312"/>
          <w:color w:val="auto"/>
          <w:sz w:val="32"/>
          <w:szCs w:val="32"/>
          <w:lang w:val="en-US" w:eastAsia="zh-CN"/>
        </w:rPr>
        <w:t>在职在编教</w:t>
      </w:r>
      <w:r>
        <w:rPr>
          <w:rFonts w:hint="eastAsia" w:ascii="仿宋" w:hAnsi="仿宋" w:eastAsia="仿宋" w:cs="仿宋_GB2312"/>
          <w:color w:val="auto"/>
          <w:sz w:val="32"/>
          <w:szCs w:val="32"/>
        </w:rPr>
        <w:t>职工</w:t>
      </w:r>
      <w:r>
        <w:rPr>
          <w:rFonts w:hint="eastAsia" w:ascii="仿宋" w:hAnsi="仿宋" w:eastAsia="仿宋" w:cs="仿宋_GB2312"/>
          <w:color w:val="auto"/>
          <w:sz w:val="32"/>
          <w:szCs w:val="32"/>
          <w:lang w:val="en-US" w:eastAsia="zh-CN"/>
        </w:rPr>
        <w:t>76</w:t>
      </w:r>
      <w:r>
        <w:rPr>
          <w:rFonts w:hint="eastAsia" w:ascii="仿宋" w:hAnsi="仿宋" w:eastAsia="仿宋" w:cs="仿宋_GB2312"/>
          <w:color w:val="auto"/>
          <w:sz w:val="32"/>
          <w:szCs w:val="32"/>
        </w:rPr>
        <w:t>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食堂工人9人，保安3人，临聘教师5人</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contextualSpacing/>
        <w:jc w:val="both"/>
        <w:textAlignment w:val="auto"/>
        <w:outlineLvl w:val="1"/>
        <w:rPr>
          <w:rFonts w:hint="eastAsia" w:ascii="方正黑体简体" w:hAnsi="宋体" w:eastAsia="方正黑体简体" w:cs="宋体"/>
          <w:color w:val="auto"/>
          <w:kern w:val="0"/>
          <w:sz w:val="32"/>
          <w:szCs w:val="32"/>
          <w:shd w:val="clear" w:color="auto" w:fill="FFFFFF"/>
        </w:rPr>
      </w:pPr>
      <w:bookmarkStart w:id="72" w:name="_Toc27776"/>
      <w:r>
        <w:rPr>
          <w:rFonts w:hint="eastAsia" w:ascii="方正黑体简体" w:hAnsi="宋体" w:eastAsia="方正黑体简体" w:cs="宋体"/>
          <w:color w:val="auto"/>
          <w:kern w:val="0"/>
          <w:sz w:val="32"/>
          <w:szCs w:val="32"/>
          <w:shd w:val="clear" w:color="auto" w:fill="FFFFFF"/>
        </w:rPr>
        <w:t>二、部门财政资金收支情况</w:t>
      </w:r>
      <w:bookmarkEnd w:id="72"/>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（一）部门财政资金收入情况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度</w:t>
      </w:r>
      <w:r>
        <w:rPr>
          <w:rFonts w:hint="eastAsia" w:ascii="仿宋" w:hAnsi="仿宋" w:eastAsia="仿宋" w:cs="仿宋_GB2312"/>
          <w:color w:val="auto"/>
          <w:sz w:val="32"/>
          <w:szCs w:val="32"/>
        </w:rPr>
        <w:t>利州区</w:t>
      </w:r>
      <w:r>
        <w:rPr>
          <w:rFonts w:hint="eastAsia" w:ascii="仿宋" w:hAnsi="仿宋" w:eastAsia="仿宋" w:cs="仿宋_GB2312"/>
          <w:color w:val="auto"/>
          <w:sz w:val="32"/>
          <w:szCs w:val="32"/>
          <w:lang w:val="en-US" w:eastAsia="zh-CN"/>
        </w:rPr>
        <w:t>宝轮第一小学</w:t>
      </w:r>
      <w:r>
        <w:rPr>
          <w:rFonts w:hint="eastAsia" w:ascii="仿宋" w:hAnsi="仿宋" w:eastAsia="仿宋" w:cs="仿宋_GB2312"/>
          <w:color w:val="auto"/>
          <w:sz w:val="32"/>
          <w:szCs w:val="32"/>
        </w:rPr>
        <w:t>本年一般公共预算财政拨款收2605.27</w:t>
      </w:r>
      <w:r>
        <w:rPr>
          <w:rFonts w:hint="eastAsia" w:ascii="仿宋" w:hAnsi="仿宋" w:eastAsia="仿宋" w:cs="仿宋_GB2312"/>
          <w:color w:val="auto"/>
          <w:sz w:val="32"/>
          <w:szCs w:val="32"/>
          <w:lang w:eastAsia="zh-CN"/>
        </w:rPr>
        <w:t>万元。</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（二）部门财政资金支出情况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rPr>
        <w:t>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lang w:val="zh-CN"/>
        </w:rPr>
        <w:t>年度利州区</w:t>
      </w:r>
      <w:r>
        <w:rPr>
          <w:rFonts w:hint="eastAsia" w:ascii="仿宋" w:hAnsi="仿宋" w:eastAsia="仿宋" w:cs="仿宋_GB2312"/>
          <w:color w:val="auto"/>
          <w:sz w:val="32"/>
          <w:szCs w:val="32"/>
          <w:lang w:val="en-US" w:eastAsia="zh-CN"/>
        </w:rPr>
        <w:t>宝轮第一小学</w:t>
      </w:r>
      <w:r>
        <w:rPr>
          <w:rFonts w:hint="eastAsia" w:ascii="仿宋" w:hAnsi="仿宋" w:eastAsia="仿宋" w:cs="仿宋_GB2312"/>
          <w:color w:val="auto"/>
          <w:sz w:val="32"/>
          <w:szCs w:val="32"/>
          <w:lang w:val="zh-CN"/>
        </w:rPr>
        <w:t>本年一般公共预算财政拨款支出</w:t>
      </w:r>
      <w:r>
        <w:rPr>
          <w:rFonts w:hint="eastAsia" w:ascii="仿宋" w:hAnsi="仿宋" w:eastAsia="仿宋" w:cs="仿宋_GB2312"/>
          <w:color w:val="auto"/>
          <w:sz w:val="32"/>
          <w:szCs w:val="32"/>
        </w:rPr>
        <w:t>2605.27</w:t>
      </w:r>
      <w:r>
        <w:rPr>
          <w:rFonts w:hint="eastAsia" w:ascii="仿宋" w:hAnsi="仿宋" w:eastAsia="仿宋" w:cs="仿宋_GB2312"/>
          <w:color w:val="auto"/>
          <w:sz w:val="32"/>
          <w:szCs w:val="32"/>
          <w:lang w:val="en-US" w:eastAsia="zh-CN"/>
        </w:rPr>
        <w:t>万元。其中人员经费支出1225.97万元；公用经费支出140.77万元；项目支出1238.53万元。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contextualSpacing/>
        <w:jc w:val="both"/>
        <w:textAlignment w:val="auto"/>
        <w:outlineLvl w:val="1"/>
        <w:rPr>
          <w:rFonts w:hint="eastAsia" w:ascii="方正仿宋简体" w:hAnsi="宋体" w:eastAsia="方正仿宋简体" w:cs="宋体"/>
          <w:color w:val="auto"/>
          <w:kern w:val="0"/>
          <w:sz w:val="32"/>
          <w:szCs w:val="32"/>
          <w:shd w:val="clear" w:color="auto" w:fill="FFFFFF"/>
        </w:rPr>
      </w:pPr>
      <w:bookmarkStart w:id="73" w:name="_Toc23895"/>
      <w:r>
        <w:rPr>
          <w:rFonts w:hint="eastAsia" w:ascii="方正黑体简体" w:hAnsi="宋体" w:eastAsia="方正黑体简体" w:cs="宋体"/>
          <w:color w:val="auto"/>
          <w:kern w:val="0"/>
          <w:sz w:val="32"/>
          <w:szCs w:val="32"/>
          <w:shd w:val="clear" w:color="auto" w:fill="FFFFFF"/>
          <w:lang w:eastAsia="zh-CN"/>
        </w:rPr>
        <w:t>三、</w:t>
      </w:r>
      <w:r>
        <w:rPr>
          <w:rFonts w:hint="eastAsia" w:ascii="方正黑体简体" w:hAnsi="宋体" w:eastAsia="方正黑体简体" w:cs="宋体"/>
          <w:color w:val="auto"/>
          <w:kern w:val="0"/>
          <w:sz w:val="32"/>
          <w:szCs w:val="32"/>
          <w:shd w:val="clear" w:color="auto" w:fill="FFFFFF"/>
        </w:rPr>
        <w:t>部门整体预算绩效管理情况</w:t>
      </w:r>
      <w:bookmarkEnd w:id="73"/>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rPr>
      </w:pPr>
      <w:r>
        <w:rPr>
          <w:rFonts w:hint="eastAsia" w:ascii="楷体" w:hAnsi="楷体" w:eastAsia="楷体" w:cs="楷体"/>
          <w:color w:val="auto"/>
          <w:sz w:val="32"/>
          <w:szCs w:val="32"/>
        </w:rPr>
        <w:t>（一）部门预算管理</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1.</w:t>
      </w:r>
      <w:r>
        <w:rPr>
          <w:rFonts w:ascii="仿宋" w:hAnsi="仿宋" w:eastAsia="仿宋" w:cs="仿宋_GB2312"/>
          <w:color w:val="auto"/>
          <w:sz w:val="32"/>
          <w:szCs w:val="32"/>
        </w:rPr>
        <w:t>部门绩效目标制定</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（4）绩效目标相关指标设定与预算安排金额相对应，未超预算安排资金。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2.</w:t>
      </w:r>
      <w:r>
        <w:rPr>
          <w:rFonts w:ascii="仿宋" w:hAnsi="仿宋" w:eastAsia="仿宋" w:cs="仿宋_GB2312"/>
          <w:color w:val="auto"/>
          <w:sz w:val="32"/>
          <w:szCs w:val="32"/>
        </w:rPr>
        <w:t>预算编制</w:t>
      </w:r>
      <w:r>
        <w:rPr>
          <w:rFonts w:hint="eastAsia" w:ascii="仿宋" w:hAnsi="仿宋" w:eastAsia="仿宋" w:cs="仿宋_GB2312"/>
          <w:color w:val="auto"/>
          <w:sz w:val="32"/>
          <w:szCs w:val="32"/>
        </w:rPr>
        <w:t>和执行</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auto"/>
          <w:sz w:val="32"/>
          <w:szCs w:val="32"/>
        </w:rPr>
      </w:pPr>
      <w:r>
        <w:rPr>
          <w:rFonts w:hint="eastAsia" w:ascii="仿宋" w:hAnsi="仿宋" w:eastAsia="仿宋" w:cs="仿宋_GB2312"/>
          <w:color w:val="auto"/>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rPr>
      </w:pPr>
      <w:r>
        <w:rPr>
          <w:rFonts w:hint="eastAsia" w:ascii="楷体" w:hAnsi="楷体" w:eastAsia="楷体" w:cs="楷体"/>
          <w:color w:val="auto"/>
          <w:sz w:val="32"/>
          <w:szCs w:val="32"/>
        </w:rPr>
        <w:t>（二）专项预算管理。</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1.专项预算编制情况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各项专项预算的编制严格按照“二上二下”的程序，先学校根据年度工作目标提出当年的专项预算项目建议方案，经分管领导审核后由财务</w:t>
      </w:r>
      <w:r>
        <w:rPr>
          <w:rFonts w:hint="eastAsia" w:ascii="仿宋" w:hAnsi="仿宋" w:eastAsia="仿宋" w:cs="仿宋_GB2312"/>
          <w:color w:val="auto"/>
          <w:sz w:val="32"/>
          <w:szCs w:val="32"/>
          <w:lang w:val="en-US" w:eastAsia="zh-CN"/>
        </w:rPr>
        <w:t>室</w:t>
      </w:r>
      <w:r>
        <w:rPr>
          <w:rFonts w:hint="eastAsia" w:ascii="仿宋" w:hAnsi="仿宋" w:eastAsia="仿宋" w:cs="仿宋_GB2312"/>
          <w:color w:val="auto"/>
          <w:sz w:val="32"/>
          <w:szCs w:val="32"/>
        </w:rPr>
        <w:t>编制并呈</w:t>
      </w:r>
      <w:r>
        <w:rPr>
          <w:rFonts w:hint="eastAsia" w:ascii="仿宋" w:hAnsi="仿宋" w:eastAsia="仿宋" w:cs="仿宋_GB2312"/>
          <w:color w:val="auto"/>
          <w:sz w:val="32"/>
          <w:szCs w:val="32"/>
          <w:lang w:val="en-US" w:eastAsia="zh-CN"/>
        </w:rPr>
        <w:t>党支部</w:t>
      </w:r>
      <w:r>
        <w:rPr>
          <w:rFonts w:hint="eastAsia" w:ascii="仿宋" w:hAnsi="仿宋" w:eastAsia="仿宋" w:cs="仿宋_GB2312"/>
          <w:color w:val="auto"/>
          <w:sz w:val="32"/>
          <w:szCs w:val="32"/>
        </w:rPr>
        <w:t>会批准上报</w:t>
      </w:r>
      <w:r>
        <w:rPr>
          <w:rFonts w:hint="eastAsia" w:ascii="仿宋" w:hAnsi="仿宋" w:eastAsia="仿宋" w:cs="仿宋_GB2312"/>
          <w:color w:val="auto"/>
          <w:sz w:val="32"/>
          <w:szCs w:val="32"/>
          <w:lang w:val="en-US" w:eastAsia="zh-CN"/>
        </w:rPr>
        <w:t>区教育局、</w:t>
      </w:r>
      <w:r>
        <w:rPr>
          <w:rFonts w:hint="eastAsia" w:ascii="仿宋" w:hAnsi="仿宋" w:eastAsia="仿宋" w:cs="仿宋_GB2312"/>
          <w:color w:val="auto"/>
          <w:sz w:val="32"/>
          <w:szCs w:val="32"/>
        </w:rPr>
        <w:t>区财政。根据区财政</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区教育局</w:t>
      </w:r>
      <w:r>
        <w:rPr>
          <w:rFonts w:hint="eastAsia" w:ascii="仿宋" w:hAnsi="仿宋" w:eastAsia="仿宋" w:cs="仿宋_GB2312"/>
          <w:color w:val="auto"/>
          <w:sz w:val="32"/>
          <w:szCs w:val="32"/>
        </w:rPr>
        <w:t>下达的年度各类专项资金年度预算指标，进一步完善专项预算方案。方案完善后，财务</w:t>
      </w:r>
      <w:r>
        <w:rPr>
          <w:rFonts w:hint="eastAsia" w:ascii="仿宋" w:hAnsi="仿宋" w:eastAsia="仿宋" w:cs="仿宋_GB2312"/>
          <w:color w:val="auto"/>
          <w:sz w:val="32"/>
          <w:szCs w:val="32"/>
          <w:lang w:val="en-US" w:eastAsia="zh-CN"/>
        </w:rPr>
        <w:t>室</w:t>
      </w:r>
      <w:r>
        <w:rPr>
          <w:rFonts w:hint="eastAsia" w:ascii="仿宋" w:hAnsi="仿宋" w:eastAsia="仿宋" w:cs="仿宋_GB2312"/>
          <w:color w:val="auto"/>
          <w:sz w:val="32"/>
          <w:szCs w:val="32"/>
        </w:rPr>
        <w:t>再次上报</w:t>
      </w:r>
      <w:r>
        <w:rPr>
          <w:rFonts w:hint="eastAsia" w:ascii="仿宋" w:hAnsi="仿宋" w:eastAsia="仿宋" w:cs="仿宋_GB2312"/>
          <w:color w:val="auto"/>
          <w:sz w:val="32"/>
          <w:szCs w:val="32"/>
          <w:lang w:val="en-US" w:eastAsia="zh-CN"/>
        </w:rPr>
        <w:t>区教育局、</w:t>
      </w:r>
      <w:r>
        <w:rPr>
          <w:rFonts w:hint="eastAsia" w:ascii="仿宋" w:hAnsi="仿宋" w:eastAsia="仿宋" w:cs="仿宋_GB2312"/>
          <w:color w:val="auto"/>
          <w:sz w:val="32"/>
          <w:szCs w:val="32"/>
        </w:rPr>
        <w:t>区财政。财政最终批复后，各类专项预算指标分解下达</w:t>
      </w:r>
      <w:r>
        <w:rPr>
          <w:rFonts w:hint="eastAsia" w:ascii="仿宋" w:hAnsi="仿宋" w:eastAsia="仿宋" w:cs="仿宋_GB2312"/>
          <w:color w:val="auto"/>
          <w:sz w:val="32"/>
          <w:szCs w:val="32"/>
          <w:lang w:val="en-US" w:eastAsia="zh-CN"/>
        </w:rPr>
        <w:t>到</w:t>
      </w:r>
      <w:r>
        <w:rPr>
          <w:rFonts w:hint="eastAsia" w:ascii="仿宋" w:hAnsi="仿宋" w:eastAsia="仿宋" w:cs="仿宋_GB2312"/>
          <w:color w:val="auto"/>
          <w:sz w:val="32"/>
          <w:szCs w:val="32"/>
        </w:rPr>
        <w:t>学校。</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2.专项预算执行</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ascii="仿宋" w:hAnsi="仿宋" w:eastAsia="仿宋" w:cs="仿宋_GB2312"/>
          <w:color w:val="auto"/>
          <w:sz w:val="32"/>
          <w:szCs w:val="32"/>
        </w:rPr>
      </w:pPr>
      <w:r>
        <w:rPr>
          <w:rFonts w:hint="eastAsia" w:ascii="仿宋" w:hAnsi="仿宋" w:eastAsia="仿宋" w:cs="仿宋_GB2312"/>
          <w:color w:val="auto"/>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auto"/>
          <w:sz w:val="32"/>
          <w:szCs w:val="32"/>
          <w:lang w:val="zh-CN"/>
        </w:rPr>
      </w:pPr>
      <w:r>
        <w:rPr>
          <w:rFonts w:hint="eastAsia" w:ascii="仿宋" w:hAnsi="仿宋" w:eastAsia="仿宋" w:cs="仿宋_GB2312"/>
          <w:color w:val="auto"/>
          <w:sz w:val="32"/>
          <w:szCs w:val="32"/>
        </w:rPr>
        <w:t>3.专项预</w:t>
      </w:r>
      <w:r>
        <w:rPr>
          <w:rFonts w:hint="eastAsia" w:ascii="仿宋" w:hAnsi="仿宋" w:eastAsia="仿宋" w:cs="仿宋_GB2312"/>
          <w:color w:val="auto"/>
          <w:sz w:val="32"/>
          <w:szCs w:val="32"/>
          <w:lang w:val="zh-CN"/>
        </w:rPr>
        <w:t>算绩效目标完成情况</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color w:val="auto"/>
        </w:rPr>
      </w:pPr>
      <w:r>
        <w:rPr>
          <w:rFonts w:hint="eastAsia" w:ascii="仿宋" w:hAnsi="仿宋" w:eastAsia="仿宋" w:cs="仿宋_GB2312"/>
          <w:color w:val="auto"/>
          <w:sz w:val="32"/>
          <w:szCs w:val="32"/>
          <w:lang w:val="zh-CN"/>
        </w:rPr>
        <w:t>202</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val="zh-CN"/>
        </w:rPr>
        <w:t>年</w:t>
      </w:r>
      <w:r>
        <w:rPr>
          <w:rFonts w:hint="eastAsia" w:ascii="仿宋" w:hAnsi="仿宋" w:eastAsia="仿宋" w:cs="仿宋_GB2312"/>
          <w:color w:val="auto"/>
          <w:sz w:val="32"/>
          <w:szCs w:val="32"/>
        </w:rPr>
        <w:t>各类财政专项预算支出共2605.27万元，一般公共预算项目完成率均达到</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%以上。</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contextualSpacing/>
        <w:jc w:val="both"/>
        <w:textAlignment w:val="auto"/>
        <w:outlineLvl w:val="1"/>
        <w:rPr>
          <w:rFonts w:hint="eastAsia" w:ascii="方正黑体简体" w:hAnsi="宋体" w:eastAsia="方正黑体简体" w:cs="宋体"/>
          <w:color w:val="auto"/>
          <w:kern w:val="0"/>
          <w:sz w:val="32"/>
          <w:szCs w:val="32"/>
          <w:shd w:val="clear" w:color="auto" w:fill="FFFFFF"/>
        </w:rPr>
      </w:pPr>
      <w:bookmarkStart w:id="74" w:name="_Toc12190"/>
      <w:r>
        <w:rPr>
          <w:rFonts w:hint="eastAsia" w:ascii="方正黑体简体" w:hAnsi="宋体" w:eastAsia="方正黑体简体" w:cs="宋体"/>
          <w:color w:val="auto"/>
          <w:kern w:val="0"/>
          <w:sz w:val="32"/>
          <w:szCs w:val="32"/>
          <w:shd w:val="clear" w:color="auto" w:fill="FFFFFF"/>
        </w:rPr>
        <w:t>四、评价结论及建议</w:t>
      </w:r>
      <w:bookmarkEnd w:id="74"/>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（一）评价结论</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rPr>
        <w:t>经过202</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val="zh-CN"/>
        </w:rPr>
        <w:t>年部门整体支出绩效自我评价，综合得分为</w:t>
      </w:r>
      <w:r>
        <w:rPr>
          <w:rFonts w:hint="eastAsia" w:ascii="仿宋" w:hAnsi="仿宋" w:eastAsia="仿宋" w:cs="仿宋_GB2312"/>
          <w:color w:val="auto"/>
          <w:sz w:val="32"/>
          <w:szCs w:val="32"/>
          <w:lang w:val="en-US" w:eastAsia="zh-CN"/>
        </w:rPr>
        <w:t>98分。</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（二）存在问题</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auto"/>
          <w:sz w:val="32"/>
          <w:szCs w:val="32"/>
          <w:lang w:val="zh-CN"/>
        </w:rPr>
      </w:pPr>
      <w:r>
        <w:rPr>
          <w:rFonts w:hint="eastAsia" w:ascii="仿宋" w:hAnsi="仿宋" w:eastAsia="仿宋" w:cs="仿宋_GB2312"/>
          <w:color w:val="auto"/>
          <w:sz w:val="32"/>
          <w:szCs w:val="32"/>
          <w:lang w:val="zh-CN" w:eastAsia="zh-CN"/>
        </w:rPr>
        <w:t>经过</w:t>
      </w:r>
      <w:r>
        <w:rPr>
          <w:rFonts w:hint="eastAsia" w:ascii="仿宋" w:hAnsi="仿宋" w:eastAsia="仿宋" w:cs="仿宋_GB2312"/>
          <w:color w:val="auto"/>
          <w:sz w:val="32"/>
          <w:szCs w:val="32"/>
          <w:lang w:val="zh-CN"/>
        </w:rPr>
        <w:t>部门整体支出绩效自评，发现存在一些问题：</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仿宋" w:hAnsi="仿宋" w:eastAsia="仿宋" w:cs="仿宋_GB2312"/>
          <w:color w:val="auto"/>
          <w:sz w:val="32"/>
          <w:szCs w:val="32"/>
          <w:lang w:val="zh-CN"/>
        </w:rPr>
      </w:pPr>
      <w:r>
        <w:rPr>
          <w:rFonts w:hint="eastAsia" w:ascii="仿宋" w:hAnsi="仿宋" w:eastAsia="仿宋" w:cs="仿宋_GB2312"/>
          <w:color w:val="auto"/>
          <w:sz w:val="32"/>
          <w:szCs w:val="32"/>
          <w:lang w:val="zh-CN"/>
        </w:rPr>
        <w:t>评价部门绩效目标未纳入部门党组（委）会（办公会）集体决策范围；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val="zh-CN"/>
        </w:rPr>
        <w:t>部门日常公用经费、项目支出中“办公费、印刷费、水费、电费、物业管理费”等科目年初预算数与决算数偏差程度</w:t>
      </w:r>
      <w:r>
        <w:rPr>
          <w:rFonts w:hint="eastAsia" w:ascii="仿宋" w:hAnsi="仿宋" w:eastAsia="仿宋" w:cs="仿宋_GB2312"/>
          <w:color w:val="auto"/>
          <w:sz w:val="32"/>
          <w:szCs w:val="32"/>
          <w:lang w:val="zh-CN" w:eastAsia="zh-CN"/>
        </w:rPr>
        <w:t>在</w:t>
      </w:r>
      <w:r>
        <w:rPr>
          <w:rFonts w:hint="eastAsia" w:ascii="仿宋" w:hAnsi="仿宋" w:eastAsia="仿宋" w:cs="仿宋_GB2312"/>
          <w:color w:val="auto"/>
          <w:sz w:val="32"/>
          <w:szCs w:val="32"/>
          <w:lang w:val="en-US" w:eastAsia="zh-CN"/>
        </w:rPr>
        <w:t>10%-20%之间；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_GB2312"/>
          <w:color w:val="auto"/>
          <w:sz w:val="32"/>
          <w:szCs w:val="32"/>
          <w:lang w:val="zh-CN" w:eastAsia="zh-CN"/>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val="zh-CN"/>
        </w:rPr>
        <w:t>部门预算项目资金</w:t>
      </w:r>
      <w:r>
        <w:rPr>
          <w:rFonts w:hint="eastAsia" w:ascii="仿宋" w:hAnsi="仿宋" w:eastAsia="仿宋" w:cs="仿宋_GB2312"/>
          <w:color w:val="auto"/>
          <w:sz w:val="32"/>
          <w:szCs w:val="32"/>
          <w:lang w:val="zh-CN" w:eastAsia="zh-CN"/>
        </w:rPr>
        <w:t>有</w:t>
      </w:r>
      <w:r>
        <w:rPr>
          <w:rFonts w:hint="eastAsia" w:ascii="仿宋" w:hAnsi="仿宋" w:eastAsia="仿宋" w:cs="仿宋_GB2312"/>
          <w:color w:val="auto"/>
          <w:sz w:val="32"/>
          <w:szCs w:val="32"/>
          <w:lang w:val="zh-CN"/>
        </w:rPr>
        <w:t>结余</w:t>
      </w:r>
      <w:r>
        <w:rPr>
          <w:rFonts w:hint="eastAsia" w:ascii="仿宋" w:hAnsi="仿宋" w:eastAsia="仿宋" w:cs="仿宋_GB2312"/>
          <w:color w:val="auto"/>
          <w:sz w:val="32"/>
          <w:szCs w:val="32"/>
          <w:lang w:val="zh-CN" w:eastAsia="zh-CN"/>
        </w:rPr>
        <w:t>率较大；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方正仿宋简体" w:hAnsi="宋体" w:eastAsia="方正仿宋简体" w:cs="宋体"/>
          <w:color w:val="auto"/>
          <w:kern w:val="0"/>
          <w:sz w:val="32"/>
          <w:szCs w:val="32"/>
          <w:shd w:val="clear" w:color="auto" w:fill="FFFFFF"/>
          <w:lang w:val="en-US"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lang w:val="zh-CN"/>
        </w:rPr>
        <w:t>部门</w:t>
      </w:r>
      <w:r>
        <w:rPr>
          <w:rFonts w:hint="eastAsia" w:ascii="仿宋" w:hAnsi="仿宋" w:eastAsia="仿宋" w:cs="仿宋_GB2312"/>
          <w:color w:val="auto"/>
          <w:sz w:val="32"/>
          <w:szCs w:val="32"/>
          <w:lang w:val="zh-CN" w:eastAsia="zh-CN"/>
        </w:rPr>
        <w:t>未</w:t>
      </w:r>
      <w:r>
        <w:rPr>
          <w:rFonts w:hint="eastAsia" w:ascii="仿宋" w:hAnsi="仿宋" w:eastAsia="仿宋" w:cs="仿宋_GB2312"/>
          <w:color w:val="auto"/>
          <w:sz w:val="32"/>
          <w:szCs w:val="32"/>
          <w:lang w:val="zh-CN"/>
        </w:rPr>
        <w:t>按要求将部门整体绩效自评情况和自行组织的评价情况向社会公开</w:t>
      </w:r>
      <w:r>
        <w:rPr>
          <w:rFonts w:hint="eastAsia" w:ascii="方正仿宋简体" w:hAnsi="宋体" w:eastAsia="方正仿宋简体" w:cs="宋体"/>
          <w:color w:val="auto"/>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snapToGrid w:val="0"/>
        <w:spacing w:line="540" w:lineRule="exact"/>
        <w:ind w:left="0" w:firstLine="640" w:firstLineChars="200"/>
        <w:jc w:val="both"/>
        <w:textAlignment w:val="auto"/>
        <w:outlineLvl w:val="2"/>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（三）改进建议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shd w:val="clear" w:color="auto" w:fill="FFFFFF"/>
          <w:lang w:val="zh-CN"/>
        </w:rPr>
        <w:t>评价部门绩效目标纳入部门党组（委）会（办公会）集体决策范围；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2.严格执行预算，减小</w:t>
      </w:r>
      <w:r>
        <w:rPr>
          <w:rFonts w:hint="eastAsia" w:ascii="仿宋" w:hAnsi="仿宋" w:eastAsia="仿宋" w:cs="仿宋"/>
          <w:color w:val="auto"/>
          <w:kern w:val="0"/>
          <w:sz w:val="32"/>
          <w:szCs w:val="32"/>
          <w:shd w:val="clear" w:color="auto" w:fill="FFFFFF"/>
          <w:lang w:val="zh-CN"/>
        </w:rPr>
        <w:t>部门日常公用经费、项目支出中“办公费、印刷费、水费、电费、物业管理费”等科目年初预算数与决算数偏差程度</w:t>
      </w:r>
      <w:r>
        <w:rPr>
          <w:rFonts w:hint="eastAsia" w:ascii="仿宋" w:hAnsi="仿宋" w:eastAsia="仿宋" w:cs="仿宋"/>
          <w:color w:val="auto"/>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eastAsia="zh-CN"/>
        </w:rPr>
      </w:pPr>
      <w:r>
        <w:rPr>
          <w:rFonts w:hint="eastAsia" w:ascii="仿宋" w:hAnsi="仿宋" w:eastAsia="仿宋" w:cs="仿宋"/>
          <w:color w:val="auto"/>
          <w:kern w:val="0"/>
          <w:sz w:val="32"/>
          <w:szCs w:val="32"/>
          <w:shd w:val="clear" w:color="auto" w:fill="FFFFFF"/>
          <w:lang w:val="en-US" w:eastAsia="zh-CN"/>
        </w:rPr>
        <w:t>3.</w:t>
      </w:r>
      <w:r>
        <w:rPr>
          <w:rFonts w:hint="eastAsia" w:ascii="仿宋" w:hAnsi="仿宋" w:eastAsia="仿宋" w:cs="仿宋"/>
          <w:color w:val="auto"/>
          <w:kern w:val="0"/>
          <w:sz w:val="32"/>
          <w:szCs w:val="32"/>
          <w:shd w:val="clear" w:color="auto" w:fill="FFFFFF"/>
          <w:lang w:val="zh-CN"/>
        </w:rPr>
        <w:t>合理安排资金使用进度，减小部门预算项目资金结余</w:t>
      </w:r>
      <w:r>
        <w:rPr>
          <w:rFonts w:hint="eastAsia" w:ascii="仿宋" w:hAnsi="仿宋" w:eastAsia="仿宋" w:cs="仿宋"/>
          <w:color w:val="auto"/>
          <w:kern w:val="0"/>
          <w:sz w:val="32"/>
          <w:szCs w:val="32"/>
          <w:shd w:val="clear" w:color="auto" w:fill="FFFFFF"/>
          <w:lang w:val="zh-CN" w:eastAsia="zh-CN"/>
        </w:rPr>
        <w:t>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w:t>
      </w:r>
      <w:r>
        <w:rPr>
          <w:rFonts w:hint="eastAsia" w:ascii="仿宋" w:hAnsi="仿宋" w:eastAsia="仿宋" w:cs="仿宋"/>
          <w:color w:val="auto"/>
          <w:kern w:val="0"/>
          <w:sz w:val="32"/>
          <w:szCs w:val="32"/>
          <w:shd w:val="clear" w:color="auto" w:fill="FFFFFF"/>
          <w:lang w:val="zh-CN"/>
        </w:rPr>
        <w:t>部门按要求将部门整体绩效自评情况和自行组织的评价情况向社会公开。</w:t>
      </w:r>
    </w:p>
    <w:p>
      <w:pPr>
        <w:pStyle w:val="5"/>
        <w:numPr>
          <w:ilvl w:val="0"/>
          <w:numId w:val="0"/>
        </w:numPr>
        <w:ind w:leftChars="150"/>
        <w:outlineLvl w:val="9"/>
        <w:rPr>
          <w:color w:val="auto"/>
        </w:rPr>
      </w:pPr>
    </w:p>
    <w:p>
      <w:pPr>
        <w:pStyle w:val="5"/>
        <w:numPr>
          <w:ilvl w:val="0"/>
          <w:numId w:val="0"/>
        </w:numPr>
        <w:ind w:leftChars="150"/>
        <w:outlineLvl w:val="9"/>
        <w:rPr>
          <w:color w:val="auto"/>
        </w:rPr>
      </w:pPr>
    </w:p>
    <w:p>
      <w:pPr>
        <w:outlineLvl w:val="9"/>
        <w:rPr>
          <w:rFonts w:hint="eastAsia"/>
          <w:color w:val="auto"/>
          <w:lang w:val="en-US" w:eastAsia="zh-CN"/>
        </w:rPr>
      </w:pPr>
      <w:r>
        <w:rPr>
          <w:rFonts w:hint="eastAsia"/>
          <w:color w:val="auto"/>
          <w:lang w:val="en-US" w:eastAsia="zh-CN"/>
        </w:rPr>
        <w:br w:type="page"/>
      </w:r>
    </w:p>
    <w:p>
      <w:pPr>
        <w:pStyle w:val="5"/>
        <w:outlineLvl w:val="1"/>
        <w:rPr>
          <w:rFonts w:hint="eastAsia" w:ascii="黑体" w:hAnsi="黑体" w:eastAsia="黑体" w:cs="黑体"/>
          <w:b/>
          <w:bCs/>
          <w:color w:val="auto"/>
          <w:sz w:val="36"/>
          <w:szCs w:val="36"/>
          <w:lang w:val="en-US" w:eastAsia="zh-CN"/>
        </w:rPr>
      </w:pPr>
      <w:bookmarkStart w:id="75" w:name="_Toc28689"/>
      <w:r>
        <w:rPr>
          <w:rFonts w:hint="eastAsia" w:ascii="黑体" w:hAnsi="黑体" w:eastAsia="黑体" w:cs="黑体"/>
          <w:b/>
          <w:bCs/>
          <w:color w:val="auto"/>
          <w:sz w:val="36"/>
          <w:szCs w:val="36"/>
          <w:lang w:val="en-US" w:eastAsia="zh-CN"/>
        </w:rPr>
        <w:t>附件二：</w:t>
      </w:r>
      <w:r>
        <w:rPr>
          <w:rFonts w:hint="eastAsia" w:ascii="黑体" w:hAnsi="黑体" w:eastAsia="黑体" w:cs="黑体"/>
          <w:b/>
          <w:bCs/>
          <w:color w:val="auto"/>
          <w:sz w:val="36"/>
          <w:szCs w:val="36"/>
          <w:highlight w:val="none"/>
          <w:lang w:val="en-US" w:eastAsia="zh-CN"/>
        </w:rPr>
        <w:t>2021年</w:t>
      </w:r>
      <w:r>
        <w:rPr>
          <w:rFonts w:hint="eastAsia" w:ascii="黑体" w:hAnsi="黑体" w:eastAsia="黑体" w:cs="黑体"/>
          <w:b/>
          <w:bCs/>
          <w:color w:val="auto"/>
          <w:sz w:val="36"/>
          <w:szCs w:val="36"/>
          <w:highlight w:val="none"/>
          <w:lang w:val="zh-CN" w:eastAsia="zh-CN"/>
        </w:rPr>
        <w:t>专项预算项目支出绩效自评报告</w:t>
      </w:r>
    </w:p>
    <w:p>
      <w:pPr>
        <w:keepNext w:val="0"/>
        <w:keepLines w:val="0"/>
        <w:pageBreakBefore w:val="0"/>
        <w:widowControl/>
        <w:kinsoku w:val="0"/>
        <w:wordWrap/>
        <w:overflowPunct/>
        <w:topLinePunct w:val="0"/>
        <w:autoSpaceDE w:val="0"/>
        <w:autoSpaceDN w:val="0"/>
        <w:bidi w:val="0"/>
        <w:adjustRightInd w:val="0"/>
        <w:snapToGrid w:val="0"/>
        <w:spacing w:before="21" w:line="576" w:lineRule="exact"/>
        <w:ind w:left="1758" w:leftChars="418" w:hanging="880" w:hangingChars="200"/>
        <w:jc w:val="left"/>
        <w:textAlignment w:val="baseline"/>
        <w:rPr>
          <w:rFonts w:hint="eastAsia" w:ascii="方正仿宋简体" w:hAnsi="方正仿宋简体" w:eastAsia="方正仿宋简体" w:cs="方正仿宋简体"/>
          <w:sz w:val="28"/>
          <w:szCs w:val="28"/>
        </w:rPr>
      </w:pPr>
      <w:r>
        <w:rPr>
          <w:rFonts w:hint="eastAsia" w:ascii="方正小标宋简体" w:hAnsi="方正小标宋简体" w:eastAsia="方正小标宋简体" w:cs="方正小标宋简体"/>
          <w:color w:val="000000"/>
          <w:kern w:val="0"/>
          <w:sz w:val="44"/>
          <w:szCs w:val="44"/>
          <w:lang w:val="en-US" w:eastAsia="zh-CN"/>
        </w:rPr>
        <w:t>2.1</w:t>
      </w:r>
      <w:bookmarkEnd w:id="75"/>
      <w:bookmarkStart w:id="76" w:name="_Toc22484"/>
      <w:r>
        <w:rPr>
          <w:rFonts w:hint="eastAsia"/>
          <w:color w:val="auto"/>
          <w:lang w:val="en-US" w:eastAsia="zh-CN"/>
        </w:rPr>
        <w:t xml:space="preserve">  </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w:t>
      </w:r>
      <w:r>
        <w:rPr>
          <w:rFonts w:hint="eastAsia" w:ascii="方正黑体简体" w:hAnsi="方正黑体简体" w:eastAsia="方正黑体简体" w:cs="方正黑体简体"/>
          <w:spacing w:val="10"/>
          <w:sz w:val="40"/>
          <w:szCs w:val="40"/>
          <w:lang w:eastAsia="zh-CN"/>
        </w:rPr>
        <w:t>义务教育薄弱环节改善与能力提升中央补助资金</w:t>
      </w:r>
      <w:r>
        <w:rPr>
          <w:rFonts w:hint="eastAsia" w:ascii="方正黑体简体" w:hAnsi="方正黑体简体" w:eastAsia="方正黑体简体" w:cs="方正黑体简体"/>
          <w:spacing w:val="9"/>
          <w:sz w:val="40"/>
          <w:szCs w:val="40"/>
        </w:rPr>
        <w:t>绩效评估</w:t>
      </w:r>
      <w:r>
        <w:rPr>
          <w:rFonts w:hint="eastAsia" w:ascii="方正黑体简体" w:hAnsi="方正黑体简体" w:eastAsia="方正黑体简体" w:cs="方正黑体简体"/>
          <w:spacing w:val="6"/>
          <w:sz w:val="40"/>
          <w:szCs w:val="40"/>
        </w:rPr>
        <w:t>报告</w:t>
      </w:r>
    </w:p>
    <w:bookmarkEnd w:id="76"/>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bookmarkStart w:id="77" w:name="_Toc7532"/>
      <w:r>
        <w:rPr>
          <w:rFonts w:hint="eastAsia" w:ascii="仿宋" w:hAnsi="仿宋" w:eastAsia="仿宋" w:cs="仿宋"/>
          <w:color w:val="auto"/>
          <w:kern w:val="0"/>
          <w:sz w:val="32"/>
          <w:szCs w:val="32"/>
          <w:shd w:val="clear" w:color="auto" w:fill="FFFFFF"/>
          <w:lang w:val="en-US" w:eastAsia="zh-CN"/>
        </w:rPr>
        <w:t>一、</w:t>
      </w:r>
      <w:r>
        <w:rPr>
          <w:rFonts w:hint="eastAsia" w:ascii="仿宋" w:hAnsi="仿宋" w:eastAsia="仿宋" w:cs="仿宋"/>
          <w:color w:val="auto"/>
          <w:kern w:val="0"/>
          <w:sz w:val="32"/>
          <w:szCs w:val="32"/>
          <w:shd w:val="clear" w:color="auto" w:fill="FFFFFF"/>
          <w:lang w:val="zh-CN"/>
        </w:rPr>
        <w:t>重大政策或项目基本情况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zh-CN"/>
        </w:rPr>
        <w:t>项目建设内容及规模:(1本次新征用地2.57亩，新建附属幼儿园（4个教学班）和教学综合功能用房1栋共6层（含地下负一层约1109.60 m2），预计建筑面积为4370.40m2，（2.多功能室装修改造为教室4间320 m2，预计20万元；3.其他需改造内容： （1）改旧教学：更换整体塑钢窗为铝合金窗约455M2 约19.5万元；灾后重建教学楼外墙真石漆约990 M2约13.4万元，一楼天花板涂料约854 M2约9万元；改造一楼3处图书角约7.5 M2约0.7万元；加装2处楼梯口塑脂瓦雨棚约42 M2 约1.2万元；措施费0.85万元；税费1.3万元，合计45.95万元。（2）地下污水管网100M、雨水管网100M改造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en-US" w:eastAsia="zh-CN"/>
        </w:rPr>
        <w:t>二、</w:t>
      </w:r>
      <w:r>
        <w:rPr>
          <w:rFonts w:hint="eastAsia" w:ascii="仿宋" w:hAnsi="仿宋" w:eastAsia="仿宋" w:cs="仿宋"/>
          <w:color w:val="auto"/>
          <w:kern w:val="0"/>
          <w:sz w:val="32"/>
          <w:szCs w:val="32"/>
          <w:shd w:val="clear" w:color="auto" w:fill="FFFFFF"/>
          <w:lang w:val="zh-CN"/>
        </w:rPr>
        <w:t>立项必要性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zh-CN"/>
        </w:rPr>
        <w:t>宝轮第一小学建于1977年，位于宝轮镇三江大道西段98号，主要负责宝轮4个社区（新街社区、花园社区、爱国社区、石桥社区）和2个村（老林村、梨源村）区域适龄儿童小学普及教育，覆盖人口4万余人。占地面积4700㎡,校舍及教辅用房建筑面积6430㎡，体育运动场地900㎡，规划教学班20个，学位1000个。学校现有学生1504人，教学班26个，其中50%班级超过56人。在编教职工72人，核定编制75人。近年来，随着三江新区建设步伐的加快和二胎政策的全面放开，宝轮第一小学学生急剧增加，学校在发展方面存在学位、活动场地严重不足及单消防通道等问题。为此，学校请示区教育局，报告区委区政府，拟决定实施学校扩建项目，即征用学校西侧空置国有储备土地约3亩，新建1栋教学综合楼及消防应急通道，以解决制约发展的瓶颈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三、投入经济性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（一）该项目投资估算原则及依据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 实事求是，从实际出发，深入开展调查研究，掌握第一手 资料，不弄虚作假。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2. 合理利用资源，达到效益最高，利用有限经费，有限的资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源，尽可能满足需要。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3. 能适应现代高科技发展的需要。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4. 达到功能齐全，与周边建筑物及配套设施相互协调，满足 使用年限的需求。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（二）估算依据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根据国家发改委、建设部《建设项目经济评价方法与参数》第 三版对可研究报告编制要求，按照项目业主单位提供的规划范围中 的工程规模和内容，结合工程现有的实际情况编制投资估算。该 投 资 估 算 采 用 《建设工程工程量清单计价规范》GB50500-2013、 2015 年《四川省建设工程工程量清单计价定额》及配套文件。材 料价格参照《四川工程造价信息》中广元市的材料价格及其他市场 价格，采用分类估算法进行估算。根据国家发展改革委员会《关于 进一步放开建设项目专业服务价格的通知》要求（发改价格〔2015〕 299 号），本项目工程建设其他费用，包括建设项目前期咨询费</w:t>
      </w:r>
      <w:r>
        <w:rPr>
          <w:rFonts w:hint="eastAsia" w:ascii="仿宋" w:hAnsi="仿宋" w:eastAsia="仿宋" w:cs="仿宋"/>
          <w:color w:val="auto"/>
          <w:kern w:val="0"/>
          <w:sz w:val="32"/>
          <w:szCs w:val="32"/>
          <w:shd w:val="clear" w:color="auto" w:fill="FFFFFF"/>
          <w:lang w:val="zh-CN" w:eastAsia="zh-CN"/>
        </w:rPr>
        <w:t>、</w:t>
      </w:r>
      <w:r>
        <w:rPr>
          <w:rFonts w:hint="eastAsia" w:ascii="仿宋" w:hAnsi="仿宋" w:eastAsia="仿宋" w:cs="仿宋"/>
          <w:color w:val="auto"/>
          <w:kern w:val="0"/>
          <w:sz w:val="32"/>
          <w:szCs w:val="32"/>
          <w:shd w:val="clear" w:color="auto" w:fill="FFFFFF"/>
          <w:lang w:val="zh-CN"/>
        </w:rPr>
        <w:t>工程勘察设计费、工程招标代理费、工程监理费、环境影响咨询费 按当地类似工程市场价进行估算；建设单位管理费按财政部《基本 建设项目建设成本管理规定》（财建〔2016〕504 号）估算；施工 图审查费按川发改价格〔2011〕323 号文件估算；工程量清单及控 制价编制、工程审计费按《工程造价咨询服务收费标准》（川价发 〔2008〕141 号）估算。预备费按（工程费用+工程建设其他费用</w:t>
      </w:r>
      <w:r>
        <w:rPr>
          <w:rFonts w:hint="eastAsia" w:ascii="仿宋" w:hAnsi="仿宋" w:eastAsia="仿宋" w:cs="仿宋"/>
          <w:color w:val="auto"/>
          <w:kern w:val="0"/>
          <w:sz w:val="32"/>
          <w:szCs w:val="32"/>
          <w:shd w:val="clear" w:color="auto" w:fill="FFFFFF"/>
          <w:lang w:val="zh-CN" w:eastAsia="zh-CN"/>
        </w:rPr>
        <w:t>）</w:t>
      </w:r>
      <w:r>
        <w:rPr>
          <w:rFonts w:hint="eastAsia" w:ascii="仿宋" w:hAnsi="仿宋" w:eastAsia="仿宋" w:cs="仿宋"/>
          <w:color w:val="auto"/>
          <w:kern w:val="0"/>
          <w:sz w:val="32"/>
          <w:szCs w:val="32"/>
          <w:shd w:val="clear" w:color="auto" w:fill="FFFFFF"/>
          <w:lang w:val="zh-CN"/>
        </w:rPr>
        <w:t>的 3%计取。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四、绩效目标合理性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（一）绩效目标设置情况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绩效评价指标是指衡量绩效目标实现程度的考核工具。绩效评 价指标的确定应当遵循以下原则：相关性原则、重要性原则、可比 性原则、系统性原则、经济性原则。绩效评价指标分为共性指标和 个性指标，共性指标由财政部门统一制定，个性指标由财政部门会 同预算部门制定。被评价项目绩效评价指标体系设置 3 个一级指标、 7 个二级指标、24 个三级指标。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 一级指标：设置项目完成、项目效益、满意度指标 3 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2. 二级指标：项目完成设置数量目标、质量指标、时效指标、 成本指标 4 个，项目效益设置社会效益和可持续影响指标 2 个，满 意度指标设置服务对象满意度指标 1 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3. 三级指标：数量指标设置受益学生人数等指标 5 个，质量 指标设置入学率等指标 6 个；时效指标设置资金及时到位指标 2 个；成本指标设置补助标准等指标 3 个；社会效益设置受益学生数 等指标 2 个；可持续影响指标设置政策知晓率、受益年限等指标 3个；社会满意度指标设置家长满意度等指标 3 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（二）绩效指标合理性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该项目绩效评价指标设置完整、科学、合理，各项绩效指标可 量化可考核，契合政策或项目实质，符合部门的长期规划目标和年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度工作目标要求。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五、实施方案可行性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通过对广元市利州区</w:t>
      </w:r>
      <w:r>
        <w:rPr>
          <w:rFonts w:hint="eastAsia" w:ascii="仿宋" w:hAnsi="仿宋" w:eastAsia="仿宋" w:cs="仿宋"/>
          <w:color w:val="auto"/>
          <w:kern w:val="0"/>
          <w:sz w:val="32"/>
          <w:szCs w:val="32"/>
          <w:shd w:val="clear" w:color="auto" w:fill="FFFFFF"/>
          <w:lang w:val="zh-CN" w:eastAsia="zh-CN"/>
        </w:rPr>
        <w:t>宝轮第一小学</w:t>
      </w:r>
      <w:r>
        <w:rPr>
          <w:rFonts w:hint="eastAsia" w:ascii="仿宋" w:hAnsi="仿宋" w:eastAsia="仿宋" w:cs="仿宋"/>
          <w:color w:val="auto"/>
          <w:kern w:val="0"/>
          <w:sz w:val="32"/>
          <w:szCs w:val="32"/>
          <w:shd w:val="clear" w:color="auto" w:fill="FFFFFF"/>
          <w:lang w:val="zh-CN"/>
        </w:rPr>
        <w:t>新建教学楼建设项目的建设工程方案、投资、融资方案、环境影响、社会影响等多方面的分析， 本项目建成以后能改善学校办学环境，有利于稳固生源。本项目是切实可行的。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(一）项目建设应根据学校实际情况确定新建教学楼的位置及结构，确保其教学楼在满足使用功能的基础上还应该与学校总体布局相协调，能更好地从事教育教学活动。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（二）项目投资适当，建议尽快完善前期工作，便于开展项目建设，使项目尽早完工发挥效益。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（三）项目在建设过程中，要加强项目资金管理，确保资金使 用合理，做到专款专用提高资金使用效率。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（四）在施工过程中避免大挖大填对环境、植被等造成破坏， 施工完工后，应及时恢复绿化。同时在施工区域做好标识标记和围 栏，避免师生及学生家长误入施工区域。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六、筹资合规性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广元市利州区</w:t>
      </w:r>
      <w:r>
        <w:rPr>
          <w:rFonts w:hint="eastAsia" w:ascii="仿宋" w:hAnsi="仿宋" w:eastAsia="仿宋" w:cs="仿宋"/>
          <w:color w:val="auto"/>
          <w:kern w:val="0"/>
          <w:sz w:val="32"/>
          <w:szCs w:val="32"/>
          <w:shd w:val="clear" w:color="auto" w:fill="FFFFFF"/>
          <w:lang w:val="zh-CN" w:eastAsia="zh-CN"/>
        </w:rPr>
        <w:t>宝轮第一小学</w:t>
      </w:r>
      <w:r>
        <w:rPr>
          <w:rFonts w:hint="eastAsia" w:ascii="仿宋" w:hAnsi="仿宋" w:eastAsia="仿宋" w:cs="仿宋"/>
          <w:color w:val="auto"/>
          <w:kern w:val="0"/>
          <w:sz w:val="32"/>
          <w:szCs w:val="32"/>
          <w:shd w:val="clear" w:color="auto" w:fill="FFFFFF"/>
          <w:lang w:val="zh-CN"/>
        </w:rPr>
        <w:t>新建教学楼建设项目估算总投资</w:t>
      </w:r>
      <w:r>
        <w:rPr>
          <w:rFonts w:hint="eastAsia" w:ascii="仿宋" w:hAnsi="仿宋" w:eastAsia="仿宋" w:cs="仿宋"/>
          <w:color w:val="auto"/>
          <w:kern w:val="0"/>
          <w:sz w:val="32"/>
          <w:szCs w:val="32"/>
          <w:shd w:val="clear" w:color="auto" w:fill="FFFFFF"/>
          <w:lang w:val="en-US" w:eastAsia="zh-CN"/>
        </w:rPr>
        <w:t>3048</w:t>
      </w:r>
      <w:r>
        <w:rPr>
          <w:rFonts w:hint="eastAsia" w:ascii="仿宋" w:hAnsi="仿宋" w:eastAsia="仿宋" w:cs="仿宋"/>
          <w:color w:val="auto"/>
          <w:kern w:val="0"/>
          <w:sz w:val="32"/>
          <w:szCs w:val="32"/>
          <w:shd w:val="clear" w:color="auto" w:fill="FFFFFF"/>
          <w:lang w:val="zh-CN"/>
        </w:rPr>
        <w:t xml:space="preserve">.00 万元。资金来源为专项债券资金 </w:t>
      </w:r>
      <w:r>
        <w:rPr>
          <w:rFonts w:hint="eastAsia" w:ascii="仿宋" w:hAnsi="仿宋" w:eastAsia="仿宋" w:cs="仿宋"/>
          <w:color w:val="auto"/>
          <w:kern w:val="0"/>
          <w:sz w:val="32"/>
          <w:szCs w:val="32"/>
          <w:shd w:val="clear" w:color="auto" w:fill="FFFFFF"/>
          <w:lang w:val="en-US" w:eastAsia="zh-CN"/>
        </w:rPr>
        <w:t>20</w:t>
      </w:r>
      <w:r>
        <w:rPr>
          <w:rFonts w:hint="eastAsia" w:ascii="仿宋" w:hAnsi="仿宋" w:eastAsia="仿宋" w:cs="仿宋"/>
          <w:color w:val="auto"/>
          <w:kern w:val="0"/>
          <w:sz w:val="32"/>
          <w:szCs w:val="32"/>
          <w:shd w:val="clear" w:color="auto" w:fill="FFFFFF"/>
          <w:lang w:val="zh-CN"/>
        </w:rPr>
        <w:t>00.00 万元及</w:t>
      </w:r>
      <w:r>
        <w:rPr>
          <w:rFonts w:hint="eastAsia" w:ascii="仿宋" w:hAnsi="仿宋" w:eastAsia="仿宋" w:cs="仿宋"/>
          <w:color w:val="auto"/>
          <w:kern w:val="0"/>
          <w:sz w:val="32"/>
          <w:szCs w:val="32"/>
          <w:shd w:val="clear" w:color="auto" w:fill="FFFFFF"/>
          <w:lang w:val="zh-CN" w:eastAsia="zh-CN"/>
        </w:rPr>
        <w:t>义务教育薄弱环节改善与能力提升中央补助资金</w:t>
      </w:r>
      <w:r>
        <w:rPr>
          <w:rFonts w:hint="eastAsia" w:ascii="仿宋" w:hAnsi="仿宋" w:eastAsia="仿宋" w:cs="仿宋"/>
          <w:color w:val="auto"/>
          <w:kern w:val="0"/>
          <w:sz w:val="32"/>
          <w:szCs w:val="32"/>
          <w:shd w:val="clear" w:color="auto" w:fill="FFFFFF"/>
          <w:lang w:val="en-US" w:eastAsia="zh-CN"/>
        </w:rPr>
        <w:t>1048</w:t>
      </w:r>
      <w:r>
        <w:rPr>
          <w:rFonts w:hint="eastAsia" w:ascii="仿宋" w:hAnsi="仿宋" w:eastAsia="仿宋" w:cs="仿宋"/>
          <w:color w:val="auto"/>
          <w:kern w:val="0"/>
          <w:sz w:val="32"/>
          <w:szCs w:val="32"/>
          <w:shd w:val="clear" w:color="auto" w:fill="FFFFFF"/>
          <w:lang w:val="zh-CN"/>
        </w:rPr>
        <w:t>.00 万元。本项目应严格按照国家财政资金有关规定进行工程建设管理，并接受国家、四川省、地方有关部门的监督、 审计、稽查。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（一）严格项目建设资金管理，实行专款专用。本项目应严格 按照国家有关规定进行工程建设管理，并接受国家、四川省、地方 有关部门的监督、审计、稽查。做到专款专用，专项管理，建立资 金使用审批制度，设立规范的基本建设财务账簿，编制用款计划和 定期上报工程进展情况统计表。按项目进度拨付，严格财务制度， 定期对资金的拨付、到位、使用情况进行检查。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（二）项目资金的检查和审计。加强对资金的拨付、使用和效 果的全过程跟踪审计，定期公布审计结果，确保资金的专款专用， 不被侵占、截留或挪用。对查出的违规、违纪问题，政府要及时纠 正、严肃处理。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七、可持续性分析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（一）项目社会影响分析。广元市利州区</w:t>
      </w:r>
      <w:r>
        <w:rPr>
          <w:rFonts w:hint="eastAsia" w:ascii="仿宋" w:hAnsi="仿宋" w:eastAsia="仿宋" w:cs="仿宋"/>
          <w:color w:val="auto"/>
          <w:kern w:val="0"/>
          <w:sz w:val="32"/>
          <w:szCs w:val="32"/>
          <w:shd w:val="clear" w:color="auto" w:fill="FFFFFF"/>
          <w:lang w:val="zh-CN" w:eastAsia="zh-CN"/>
        </w:rPr>
        <w:t>宝轮第一小学</w:t>
      </w:r>
      <w:r>
        <w:rPr>
          <w:rFonts w:hint="eastAsia" w:ascii="仿宋" w:hAnsi="仿宋" w:eastAsia="仿宋" w:cs="仿宋"/>
          <w:color w:val="auto"/>
          <w:kern w:val="0"/>
          <w:sz w:val="32"/>
          <w:szCs w:val="32"/>
          <w:shd w:val="clear" w:color="auto" w:fill="FFFFFF"/>
          <w:lang w:val="zh-CN"/>
        </w:rPr>
        <w:t>新建教学楼建设项目实施后对社会影响的正面效益包括以下几个方面：一是 项目建设有利于满足辖区</w:t>
      </w:r>
      <w:r>
        <w:rPr>
          <w:rFonts w:hint="eastAsia" w:ascii="仿宋" w:hAnsi="仿宋" w:eastAsia="仿宋" w:cs="仿宋"/>
          <w:color w:val="auto"/>
          <w:kern w:val="0"/>
          <w:sz w:val="32"/>
          <w:szCs w:val="32"/>
          <w:shd w:val="clear" w:color="auto" w:fill="FFFFFF"/>
          <w:lang w:val="zh-CN" w:eastAsia="zh-CN"/>
        </w:rPr>
        <w:t>小学学位</w:t>
      </w:r>
      <w:r>
        <w:rPr>
          <w:rFonts w:hint="eastAsia" w:ascii="仿宋" w:hAnsi="仿宋" w:eastAsia="仿宋" w:cs="仿宋"/>
          <w:color w:val="auto"/>
          <w:kern w:val="0"/>
          <w:sz w:val="32"/>
          <w:szCs w:val="32"/>
          <w:shd w:val="clear" w:color="auto" w:fill="FFFFFF"/>
          <w:lang w:val="zh-CN"/>
        </w:rPr>
        <w:t>需求；二是项目建设有利于加快学校标准化建设进程；三是项目建设有利于提升学校办学条件，吸引更多生源；四是项目建设有利于促进当地教育事业的发展；五是项目建设有利于解决“入</w:t>
      </w:r>
      <w:r>
        <w:rPr>
          <w:rFonts w:hint="eastAsia" w:ascii="仿宋" w:hAnsi="仿宋" w:eastAsia="仿宋" w:cs="仿宋"/>
          <w:color w:val="auto"/>
          <w:kern w:val="0"/>
          <w:sz w:val="32"/>
          <w:szCs w:val="32"/>
          <w:shd w:val="clear" w:color="auto" w:fill="FFFFFF"/>
          <w:lang w:val="zh-CN" w:eastAsia="zh-CN"/>
        </w:rPr>
        <w:t>校</w:t>
      </w:r>
      <w:r>
        <w:rPr>
          <w:rFonts w:hint="eastAsia" w:ascii="仿宋" w:hAnsi="仿宋" w:eastAsia="仿宋" w:cs="仿宋"/>
          <w:color w:val="auto"/>
          <w:kern w:val="0"/>
          <w:sz w:val="32"/>
          <w:szCs w:val="32"/>
          <w:shd w:val="clear" w:color="auto" w:fill="FFFFFF"/>
          <w:lang w:val="zh-CN"/>
        </w:rPr>
        <w:t>难”</w:t>
      </w:r>
      <w:r>
        <w:rPr>
          <w:rFonts w:hint="eastAsia" w:ascii="仿宋" w:hAnsi="仿宋" w:eastAsia="仿宋" w:cs="仿宋"/>
          <w:color w:val="auto"/>
          <w:kern w:val="0"/>
          <w:sz w:val="32"/>
          <w:szCs w:val="32"/>
          <w:shd w:val="clear" w:color="auto" w:fill="FFFFFF"/>
          <w:lang w:val="zh-CN" w:eastAsia="zh-CN"/>
        </w:rPr>
        <w:t>的</w:t>
      </w:r>
      <w:r>
        <w:rPr>
          <w:rFonts w:hint="eastAsia" w:ascii="仿宋" w:hAnsi="仿宋" w:eastAsia="仿宋" w:cs="仿宋"/>
          <w:color w:val="auto"/>
          <w:kern w:val="0"/>
          <w:sz w:val="32"/>
          <w:szCs w:val="32"/>
          <w:shd w:val="clear" w:color="auto" w:fill="FFFFFF"/>
          <w:lang w:val="zh-CN"/>
        </w:rPr>
        <w:t>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（二）项目与所在地互适性分析。为了缓解学校大班额问题， 解决辖区</w:t>
      </w:r>
      <w:r>
        <w:rPr>
          <w:rFonts w:hint="eastAsia" w:ascii="仿宋" w:hAnsi="仿宋" w:eastAsia="仿宋" w:cs="仿宋"/>
          <w:color w:val="auto"/>
          <w:kern w:val="0"/>
          <w:sz w:val="32"/>
          <w:szCs w:val="32"/>
          <w:shd w:val="clear" w:color="auto" w:fill="FFFFFF"/>
          <w:lang w:val="zh-CN" w:eastAsia="zh-CN"/>
        </w:rPr>
        <w:t>学生</w:t>
      </w:r>
      <w:r>
        <w:rPr>
          <w:rFonts w:hint="eastAsia" w:ascii="仿宋" w:hAnsi="仿宋" w:eastAsia="仿宋" w:cs="仿宋"/>
          <w:color w:val="auto"/>
          <w:kern w:val="0"/>
          <w:sz w:val="32"/>
          <w:szCs w:val="32"/>
          <w:shd w:val="clear" w:color="auto" w:fill="FFFFFF"/>
          <w:lang w:val="zh-CN"/>
        </w:rPr>
        <w:t>需求、学校户外活动场所不足问题，给当地</w:t>
      </w:r>
      <w:r>
        <w:rPr>
          <w:rFonts w:hint="eastAsia" w:ascii="仿宋" w:hAnsi="仿宋" w:eastAsia="仿宋" w:cs="仿宋"/>
          <w:color w:val="auto"/>
          <w:kern w:val="0"/>
          <w:sz w:val="32"/>
          <w:szCs w:val="32"/>
          <w:shd w:val="clear" w:color="auto" w:fill="FFFFFF"/>
          <w:lang w:val="zh-CN" w:eastAsia="zh-CN"/>
        </w:rPr>
        <w:t>学生</w:t>
      </w:r>
      <w:r>
        <w:rPr>
          <w:rFonts w:hint="eastAsia" w:ascii="仿宋" w:hAnsi="仿宋" w:eastAsia="仿宋" w:cs="仿宋"/>
          <w:color w:val="auto"/>
          <w:kern w:val="0"/>
          <w:sz w:val="32"/>
          <w:szCs w:val="32"/>
          <w:shd w:val="clear" w:color="auto" w:fill="FFFFFF"/>
          <w:lang w:val="zh-CN"/>
        </w:rPr>
        <w:t>提供优质的教育，广元市利州区</w:t>
      </w:r>
      <w:r>
        <w:rPr>
          <w:rFonts w:hint="eastAsia" w:ascii="仿宋" w:hAnsi="仿宋" w:eastAsia="仿宋" w:cs="仿宋"/>
          <w:color w:val="auto"/>
          <w:kern w:val="0"/>
          <w:sz w:val="32"/>
          <w:szCs w:val="32"/>
          <w:shd w:val="clear" w:color="auto" w:fill="FFFFFF"/>
          <w:lang w:val="zh-CN" w:eastAsia="zh-CN"/>
        </w:rPr>
        <w:t>宝轮第一小学</w:t>
      </w:r>
      <w:r>
        <w:rPr>
          <w:rFonts w:hint="eastAsia" w:ascii="仿宋" w:hAnsi="仿宋" w:eastAsia="仿宋" w:cs="仿宋"/>
          <w:color w:val="auto"/>
          <w:kern w:val="0"/>
          <w:sz w:val="32"/>
          <w:szCs w:val="32"/>
          <w:shd w:val="clear" w:color="auto" w:fill="FFFFFF"/>
          <w:lang w:val="zh-CN"/>
        </w:rPr>
        <w:t>新建教学楼建设项目势 在必行。项目建成后，能够让</w:t>
      </w:r>
      <w:r>
        <w:rPr>
          <w:rFonts w:hint="eastAsia" w:ascii="仿宋" w:hAnsi="仿宋" w:eastAsia="仿宋" w:cs="仿宋"/>
          <w:color w:val="auto"/>
          <w:kern w:val="0"/>
          <w:sz w:val="32"/>
          <w:szCs w:val="32"/>
          <w:shd w:val="clear" w:color="auto" w:fill="FFFFFF"/>
          <w:lang w:val="zh-CN" w:eastAsia="zh-CN"/>
        </w:rPr>
        <w:t>义务教育学生</w:t>
      </w:r>
      <w:r>
        <w:rPr>
          <w:rFonts w:hint="eastAsia" w:ascii="仿宋" w:hAnsi="仿宋" w:eastAsia="仿宋" w:cs="仿宋"/>
          <w:color w:val="auto"/>
          <w:kern w:val="0"/>
          <w:sz w:val="32"/>
          <w:szCs w:val="32"/>
          <w:shd w:val="clear" w:color="auto" w:fill="FFFFFF"/>
          <w:lang w:val="zh-CN"/>
        </w:rPr>
        <w:t>享有更加优质的教育，学校学生、 家长、教师都迫切希望该项目早日完成好让新时代</w:t>
      </w:r>
      <w:r>
        <w:rPr>
          <w:rFonts w:hint="eastAsia" w:ascii="仿宋" w:hAnsi="仿宋" w:eastAsia="仿宋" w:cs="仿宋"/>
          <w:color w:val="auto"/>
          <w:kern w:val="0"/>
          <w:sz w:val="32"/>
          <w:szCs w:val="32"/>
          <w:shd w:val="clear" w:color="auto" w:fill="FFFFFF"/>
          <w:lang w:val="zh-CN" w:eastAsia="zh-CN"/>
        </w:rPr>
        <w:t>少年</w:t>
      </w:r>
      <w:r>
        <w:rPr>
          <w:rFonts w:hint="eastAsia" w:ascii="仿宋" w:hAnsi="仿宋" w:eastAsia="仿宋" w:cs="仿宋"/>
          <w:color w:val="auto"/>
          <w:kern w:val="0"/>
          <w:sz w:val="32"/>
          <w:szCs w:val="32"/>
          <w:shd w:val="clear" w:color="auto" w:fill="FFFFFF"/>
          <w:lang w:val="zh-CN"/>
        </w:rPr>
        <w:t>儿童的身心能够 全面茁壮成长。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八、其他需要说明的内容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eastAsia="zh-CN"/>
        </w:rPr>
      </w:pPr>
      <w:r>
        <w:rPr>
          <w:rFonts w:hint="eastAsia" w:ascii="仿宋" w:hAnsi="仿宋" w:eastAsia="仿宋" w:cs="仿宋"/>
          <w:color w:val="auto"/>
          <w:kern w:val="0"/>
          <w:sz w:val="32"/>
          <w:szCs w:val="32"/>
          <w:shd w:val="clear" w:color="auto" w:fill="FFFFFF"/>
          <w:lang w:val="zh-CN" w:eastAsia="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九、综合评估结论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outlineLvl w:val="2"/>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该项目总体评价得分为 8</w:t>
      </w:r>
      <w:r>
        <w:rPr>
          <w:rFonts w:hint="eastAsia" w:ascii="仿宋" w:hAnsi="仿宋" w:eastAsia="仿宋" w:cs="仿宋"/>
          <w:color w:val="auto"/>
          <w:kern w:val="0"/>
          <w:sz w:val="32"/>
          <w:szCs w:val="32"/>
          <w:shd w:val="clear" w:color="auto" w:fill="FFFFFF"/>
          <w:lang w:val="en-US" w:eastAsia="zh-CN"/>
        </w:rPr>
        <w:t>9</w:t>
      </w:r>
      <w:r>
        <w:rPr>
          <w:rFonts w:hint="eastAsia" w:ascii="仿宋" w:hAnsi="仿宋" w:eastAsia="仿宋" w:cs="仿宋"/>
          <w:color w:val="auto"/>
          <w:kern w:val="0"/>
          <w:sz w:val="32"/>
          <w:szCs w:val="32"/>
          <w:shd w:val="clear" w:color="auto" w:fill="FFFFFF"/>
          <w:lang w:val="zh-CN"/>
        </w:rPr>
        <w:t xml:space="preserve"> 分，评估等级为“良”。预期产出和 效果充分满足利州区</w:t>
      </w:r>
      <w:r>
        <w:rPr>
          <w:rFonts w:hint="eastAsia" w:ascii="仿宋" w:hAnsi="仿宋" w:eastAsia="仿宋" w:cs="仿宋"/>
          <w:color w:val="auto"/>
          <w:kern w:val="0"/>
          <w:sz w:val="32"/>
          <w:szCs w:val="32"/>
          <w:shd w:val="clear" w:color="auto" w:fill="FFFFFF"/>
          <w:lang w:val="zh-CN" w:eastAsia="zh-CN"/>
        </w:rPr>
        <w:t>义务教育</w:t>
      </w:r>
      <w:r>
        <w:rPr>
          <w:rFonts w:hint="eastAsia" w:ascii="仿宋" w:hAnsi="仿宋" w:eastAsia="仿宋" w:cs="仿宋"/>
          <w:color w:val="auto"/>
          <w:kern w:val="0"/>
          <w:sz w:val="32"/>
          <w:szCs w:val="32"/>
          <w:shd w:val="clear" w:color="auto" w:fill="FFFFFF"/>
          <w:lang w:val="zh-CN"/>
        </w:rPr>
        <w:t>教育发展的相关需求。</w:t>
      </w:r>
    </w:p>
    <w:p>
      <w:pPr>
        <w:pStyle w:val="5"/>
        <w:numPr>
          <w:ilvl w:val="0"/>
          <w:numId w:val="0"/>
        </w:numPr>
        <w:outlineLvl w:val="1"/>
        <w:rPr>
          <w:rFonts w:hint="eastAsia" w:ascii="仿宋" w:hAnsi="仿宋" w:eastAsia="仿宋" w:cs="仿宋_GB2312"/>
          <w:b w:val="0"/>
          <w:bCs w:val="0"/>
          <w:color w:val="auto"/>
          <w:sz w:val="32"/>
          <w:szCs w:val="32"/>
          <w:lang w:val="en-US" w:eastAsia="zh-CN"/>
        </w:rPr>
      </w:pPr>
    </w:p>
    <w:p>
      <w:pPr>
        <w:pStyle w:val="5"/>
        <w:numPr>
          <w:ilvl w:val="0"/>
          <w:numId w:val="0"/>
        </w:numPr>
        <w:outlineLvl w:val="1"/>
        <w:rPr>
          <w:rFonts w:hint="eastAsia" w:ascii="仿宋" w:hAnsi="仿宋" w:eastAsia="仿宋" w:cs="仿宋_GB2312"/>
          <w:b w:val="0"/>
          <w:bCs w:val="0"/>
          <w:color w:val="auto"/>
          <w:sz w:val="32"/>
          <w:szCs w:val="32"/>
          <w:lang w:val="en-US" w:eastAsia="zh-CN"/>
        </w:rPr>
      </w:pPr>
    </w:p>
    <w:p>
      <w:pPr>
        <w:pStyle w:val="5"/>
        <w:numPr>
          <w:ilvl w:val="0"/>
          <w:numId w:val="0"/>
        </w:numPr>
        <w:outlineLvl w:val="1"/>
        <w:rPr>
          <w:rFonts w:hint="eastAsia" w:ascii="仿宋" w:hAnsi="仿宋" w:eastAsia="仿宋" w:cs="仿宋_GB2312"/>
          <w:b w:val="0"/>
          <w:bCs w:val="0"/>
          <w:color w:val="auto"/>
          <w:sz w:val="32"/>
          <w:szCs w:val="32"/>
          <w:lang w:val="en-US" w:eastAsia="zh-CN"/>
        </w:rPr>
      </w:pPr>
      <w:r>
        <w:rPr>
          <w:rFonts w:hint="eastAsia" w:ascii="仿宋" w:hAnsi="仿宋" w:eastAsia="仿宋" w:cs="仿宋_GB2312"/>
          <w:b w:val="0"/>
          <w:bCs w:val="0"/>
          <w:color w:val="auto"/>
          <w:sz w:val="32"/>
          <w:szCs w:val="32"/>
          <w:lang w:val="en-US" w:eastAsia="zh-CN"/>
        </w:rPr>
        <w:t>附件2.2：</w:t>
      </w:r>
      <w:bookmarkEnd w:id="77"/>
    </w:p>
    <w:p>
      <w:pPr>
        <w:pStyle w:val="5"/>
        <w:numPr>
          <w:ilvl w:val="0"/>
          <w:numId w:val="0"/>
        </w:numPr>
        <w:ind w:firstLine="1760" w:firstLineChars="400"/>
        <w:outlineLvl w:val="1"/>
        <w:rPr>
          <w:rFonts w:hint="eastAsia" w:ascii="仿宋" w:hAnsi="仿宋" w:eastAsia="仿宋" w:cs="仿宋"/>
          <w:color w:val="auto"/>
          <w:kern w:val="2"/>
          <w:sz w:val="44"/>
          <w:szCs w:val="44"/>
          <w:lang w:val="en-US" w:eastAsia="zh-CN" w:bidi="ar-SA"/>
        </w:rPr>
      </w:pPr>
      <w:r>
        <w:rPr>
          <w:rFonts w:hint="eastAsia" w:ascii="仿宋" w:hAnsi="仿宋" w:eastAsia="仿宋" w:cs="仿宋"/>
          <w:color w:val="auto"/>
          <w:kern w:val="2"/>
          <w:sz w:val="44"/>
          <w:szCs w:val="44"/>
          <w:lang w:val="en-US" w:eastAsia="zh-CN" w:bidi="ar-SA"/>
        </w:rPr>
        <w:t>广元市利州区宝轮第一小学</w:t>
      </w:r>
    </w:p>
    <w:p>
      <w:pPr>
        <w:jc w:val="center"/>
        <w:rPr>
          <w:rFonts w:hint="eastAsia" w:ascii="仿宋" w:hAnsi="仿宋" w:eastAsia="仿宋" w:cs="仿宋"/>
          <w:sz w:val="36"/>
          <w:szCs w:val="36"/>
          <w:lang w:val="en-US" w:eastAsia="zh-CN"/>
        </w:rPr>
      </w:pPr>
      <w:bookmarkStart w:id="78" w:name="_Toc15396618"/>
      <w:r>
        <w:rPr>
          <w:rFonts w:hint="eastAsia" w:ascii="仿宋" w:hAnsi="仿宋" w:eastAsia="仿宋" w:cs="仿宋"/>
          <w:sz w:val="36"/>
          <w:szCs w:val="36"/>
          <w:lang w:val="en-US" w:eastAsia="zh-CN"/>
        </w:rPr>
        <w:t>对家庭经济困难寄宿学生生活补助绩效评估报告</w:t>
      </w:r>
    </w:p>
    <w:p>
      <w:pPr>
        <w:adjustRightInd w:val="0"/>
        <w:snapToGrid w:val="0"/>
        <w:spacing w:line="520" w:lineRule="exact"/>
        <w:rPr>
          <w:rFonts w:hint="eastAsia"/>
          <w:sz w:val="28"/>
        </w:rPr>
      </w:pPr>
    </w:p>
    <w:p>
      <w:pPr>
        <w:numPr>
          <w:ilvl w:val="0"/>
          <w:numId w:val="0"/>
        </w:numPr>
        <w:tabs>
          <w:tab w:val="left" w:pos="0"/>
        </w:tabs>
        <w:adjustRightInd w:val="0"/>
        <w:snapToGrid w:val="0"/>
        <w:spacing w:line="520" w:lineRule="exact"/>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b/>
          <w:bCs/>
          <w:sz w:val="32"/>
          <w:szCs w:val="32"/>
          <w:lang w:eastAsia="zh-CN"/>
        </w:rPr>
        <w:t>一、</w:t>
      </w:r>
      <w:r>
        <w:rPr>
          <w:rFonts w:hint="eastAsia" w:ascii="仿宋_GB2312" w:hAnsi="宋体" w:eastAsia="仿宋_GB2312"/>
          <w:b/>
          <w:bCs/>
          <w:sz w:val="32"/>
          <w:szCs w:val="32"/>
        </w:rPr>
        <w:t>重大政策</w:t>
      </w:r>
      <w:r>
        <w:rPr>
          <w:rFonts w:hint="eastAsia" w:ascii="仿宋_GB2312" w:hAnsi="宋体" w:eastAsia="仿宋_GB2312"/>
          <w:b/>
          <w:bCs/>
          <w:sz w:val="32"/>
          <w:szCs w:val="32"/>
          <w:lang w:eastAsia="zh-CN"/>
        </w:rPr>
        <w:t>或</w:t>
      </w:r>
      <w:r>
        <w:rPr>
          <w:rFonts w:hint="eastAsia" w:ascii="仿宋_GB2312" w:hAnsi="宋体" w:eastAsia="仿宋_GB2312"/>
          <w:b/>
          <w:bCs/>
          <w:sz w:val="32"/>
          <w:szCs w:val="32"/>
        </w:rPr>
        <w:t>项目基本情况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 w:hAnsi="仿宋" w:eastAsia="仿宋" w:cs="仿宋"/>
          <w:color w:val="000000"/>
          <w:sz w:val="32"/>
          <w:szCs w:val="32"/>
          <w:shd w:val="clear" w:color="auto" w:fill="FFFFFF"/>
        </w:rPr>
        <w:t>广元市人民政府关于进一步完善城乡义务教育经费保障机制的实施意见广府办发（2017）36号</w:t>
      </w:r>
      <w:r>
        <w:rPr>
          <w:rFonts w:hint="eastAsia" w:ascii="仿宋_GB2312" w:hAnsi="宋体" w:eastAsia="仿宋_GB2312"/>
          <w:sz w:val="32"/>
          <w:szCs w:val="32"/>
        </w:rPr>
        <w:t>的要求，</w:t>
      </w:r>
      <w:r>
        <w:rPr>
          <w:rFonts w:hint="eastAsia" w:ascii="仿宋_GB2312" w:hAnsi="宋体" w:eastAsia="仿宋_GB2312"/>
          <w:sz w:val="32"/>
          <w:szCs w:val="32"/>
          <w:lang w:val="en-US" w:eastAsia="zh-CN"/>
        </w:rPr>
        <w:t>利州区</w:t>
      </w:r>
      <w:r>
        <w:rPr>
          <w:rFonts w:hint="eastAsia" w:ascii="仿宋_GB2312" w:hAnsi="宋体" w:eastAsia="仿宋_GB2312"/>
          <w:sz w:val="32"/>
          <w:szCs w:val="32"/>
        </w:rPr>
        <w:t>全面推行“三免一补政策”，更好的满足社会需求，</w:t>
      </w:r>
      <w:r>
        <w:rPr>
          <w:rFonts w:hint="eastAsia" w:ascii="仿宋" w:hAnsi="仿宋" w:eastAsia="仿宋" w:cs="仿宋_GB2312"/>
          <w:sz w:val="32"/>
          <w:szCs w:val="32"/>
        </w:rPr>
        <w:t>减轻</w:t>
      </w:r>
      <w:r>
        <w:rPr>
          <w:rFonts w:hint="eastAsia" w:ascii="仿宋" w:hAnsi="仿宋" w:eastAsia="仿宋" w:cs="仿宋_GB2312"/>
          <w:sz w:val="32"/>
          <w:szCs w:val="32"/>
          <w:lang w:eastAsia="zh-CN"/>
        </w:rPr>
        <w:t>家庭</w:t>
      </w:r>
      <w:r>
        <w:rPr>
          <w:rFonts w:hint="eastAsia" w:ascii="仿宋" w:hAnsi="仿宋" w:eastAsia="仿宋" w:cs="仿宋_GB2312"/>
          <w:sz w:val="32"/>
          <w:szCs w:val="32"/>
        </w:rPr>
        <w:t>经济负担，保障</w:t>
      </w:r>
      <w:r>
        <w:rPr>
          <w:rFonts w:hint="eastAsia" w:ascii="仿宋" w:hAnsi="仿宋" w:eastAsia="仿宋" w:cs="仿宋_GB2312"/>
          <w:sz w:val="32"/>
          <w:szCs w:val="32"/>
          <w:lang w:eastAsia="zh-CN"/>
        </w:rPr>
        <w:t>家庭经济困难</w:t>
      </w:r>
      <w:r>
        <w:rPr>
          <w:rFonts w:hint="eastAsia" w:ascii="仿宋" w:hAnsi="仿宋" w:eastAsia="仿宋" w:cs="仿宋_GB2312"/>
          <w:sz w:val="32"/>
          <w:szCs w:val="32"/>
        </w:rPr>
        <w:t>学生能够顺利完成</w:t>
      </w:r>
      <w:r>
        <w:rPr>
          <w:rFonts w:hint="eastAsia" w:ascii="仿宋" w:hAnsi="仿宋" w:eastAsia="仿宋" w:cs="仿宋_GB2312"/>
          <w:sz w:val="32"/>
          <w:szCs w:val="32"/>
          <w:lang w:eastAsia="zh-CN"/>
        </w:rPr>
        <w:t>义务教育</w:t>
      </w:r>
      <w:r>
        <w:rPr>
          <w:rFonts w:hint="eastAsia" w:ascii="仿宋" w:hAnsi="仿宋" w:eastAsia="仿宋" w:cs="仿宋_GB2312"/>
          <w:sz w:val="32"/>
          <w:szCs w:val="32"/>
        </w:rPr>
        <w:t>。</w:t>
      </w:r>
    </w:p>
    <w:p>
      <w:pPr>
        <w:numPr>
          <w:ilvl w:val="0"/>
          <w:numId w:val="4"/>
        </w:numPr>
        <w:adjustRightInd w:val="0"/>
        <w:snapToGrid w:val="0"/>
        <w:spacing w:line="520" w:lineRule="exact"/>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立项必要性</w:t>
      </w:r>
    </w:p>
    <w:p>
      <w:pPr>
        <w:numPr>
          <w:ilvl w:val="0"/>
          <w:numId w:val="0"/>
        </w:numPr>
        <w:adjustRightInd w:val="0"/>
        <w:snapToGrid w:val="0"/>
        <w:spacing w:line="520" w:lineRule="exact"/>
        <w:ind w:firstLine="640" w:firstLineChars="200"/>
        <w:rPr>
          <w:rFonts w:hint="eastAsia" w:ascii="仿宋_GB2312" w:hAnsi="宋体" w:eastAsia="仿宋_GB2312"/>
          <w:sz w:val="32"/>
          <w:szCs w:val="32"/>
        </w:rPr>
      </w:pPr>
      <w:r>
        <w:rPr>
          <w:rFonts w:hint="eastAsia" w:ascii="仿宋" w:hAnsi="仿宋" w:eastAsia="仿宋" w:cs="仿宋"/>
          <w:color w:val="000000"/>
          <w:sz w:val="32"/>
          <w:szCs w:val="32"/>
          <w:shd w:val="clear" w:color="auto" w:fill="FFFFFF"/>
        </w:rPr>
        <w:t>利州区学前教育以“乡镇公办为主，城区公民办并举，分类规划，分层建设，同步推进”的发展思路，切实规范办学行为，提高教育质量，逐步形成了覆盖城乡、群众满意的教育公共服务体系。按照中央、省、市的相关政策,</w:t>
      </w:r>
      <w:r>
        <w:rPr>
          <w:rFonts w:hint="eastAsia" w:ascii="仿宋" w:hAnsi="仿宋" w:eastAsia="仿宋" w:cs="仿宋"/>
          <w:color w:val="000000"/>
          <w:sz w:val="32"/>
          <w:szCs w:val="32"/>
          <w:shd w:val="clear" w:color="auto" w:fill="FFFFFF"/>
          <w:lang w:val="en-US" w:eastAsia="zh-CN"/>
        </w:rPr>
        <w:t>义务教育家庭经济困难学生</w:t>
      </w:r>
      <w:r>
        <w:rPr>
          <w:rFonts w:hint="eastAsia" w:ascii="仿宋" w:hAnsi="仿宋" w:eastAsia="仿宋" w:cs="仿宋"/>
          <w:color w:val="000000"/>
          <w:sz w:val="32"/>
          <w:szCs w:val="32"/>
          <w:shd w:val="clear" w:color="auto" w:fill="FFFFFF"/>
        </w:rPr>
        <w:t>享受</w:t>
      </w:r>
      <w:r>
        <w:rPr>
          <w:rFonts w:hint="eastAsia" w:ascii="仿宋" w:hAnsi="仿宋" w:eastAsia="仿宋" w:cs="仿宋"/>
          <w:color w:val="000000"/>
          <w:sz w:val="32"/>
          <w:szCs w:val="32"/>
          <w:shd w:val="clear" w:color="auto" w:fill="FFFFFF"/>
          <w:lang w:val="en-US" w:eastAsia="zh-CN"/>
        </w:rPr>
        <w:t>寄宿生活</w:t>
      </w:r>
      <w:r>
        <w:rPr>
          <w:rFonts w:hint="eastAsia" w:ascii="仿宋" w:hAnsi="仿宋" w:eastAsia="仿宋" w:cs="仿宋"/>
          <w:color w:val="000000"/>
          <w:sz w:val="32"/>
          <w:szCs w:val="32"/>
          <w:shd w:val="clear" w:color="auto" w:fill="FFFFFF"/>
        </w:rPr>
        <w:t>补助。区教育局和县财政局密切配合,对</w:t>
      </w:r>
      <w:r>
        <w:rPr>
          <w:rFonts w:hint="eastAsia" w:ascii="仿宋" w:hAnsi="仿宋" w:eastAsia="仿宋" w:cs="仿宋"/>
          <w:color w:val="000000"/>
          <w:sz w:val="32"/>
          <w:szCs w:val="32"/>
          <w:shd w:val="clear" w:color="auto" w:fill="FFFFFF"/>
          <w:lang w:val="en-US" w:eastAsia="zh-CN"/>
        </w:rPr>
        <w:t>补助</w:t>
      </w:r>
      <w:r>
        <w:rPr>
          <w:rFonts w:hint="eastAsia" w:ascii="仿宋" w:hAnsi="仿宋" w:eastAsia="仿宋" w:cs="仿宋"/>
          <w:color w:val="000000"/>
          <w:sz w:val="32"/>
          <w:szCs w:val="32"/>
          <w:shd w:val="clear" w:color="auto" w:fill="FFFFFF"/>
        </w:rPr>
        <w:t>人数进行核实,并落实到具体学校，同时做好</w:t>
      </w:r>
      <w:r>
        <w:rPr>
          <w:rFonts w:hint="eastAsia" w:ascii="仿宋_GB2312" w:hAnsi="宋体" w:eastAsia="仿宋_GB2312"/>
          <w:sz w:val="32"/>
          <w:szCs w:val="32"/>
        </w:rPr>
        <w:t>“三免一补政策”</w:t>
      </w:r>
      <w:r>
        <w:rPr>
          <w:rFonts w:hint="eastAsia" w:ascii="仿宋" w:hAnsi="仿宋" w:eastAsia="仿宋" w:cs="仿宋"/>
          <w:color w:val="000000"/>
          <w:sz w:val="32"/>
          <w:szCs w:val="32"/>
          <w:shd w:val="clear" w:color="auto" w:fill="FFFFFF"/>
        </w:rPr>
        <w:t>资金的发放工作，确保</w:t>
      </w:r>
      <w:r>
        <w:rPr>
          <w:rFonts w:hint="eastAsia" w:ascii="仿宋" w:hAnsi="仿宋" w:eastAsia="仿宋" w:cs="仿宋"/>
          <w:color w:val="000000"/>
          <w:sz w:val="32"/>
          <w:szCs w:val="32"/>
          <w:shd w:val="clear" w:color="auto" w:fill="FFFFFF"/>
          <w:lang w:val="en-US" w:eastAsia="zh-CN"/>
        </w:rPr>
        <w:t>义务</w:t>
      </w:r>
      <w:r>
        <w:rPr>
          <w:rFonts w:hint="eastAsia" w:ascii="仿宋" w:hAnsi="仿宋" w:eastAsia="仿宋" w:cs="仿宋"/>
          <w:color w:val="000000"/>
          <w:sz w:val="32"/>
          <w:szCs w:val="32"/>
          <w:shd w:val="clear" w:color="auto" w:fill="FFFFFF"/>
        </w:rPr>
        <w:t>教育</w:t>
      </w:r>
      <w:r>
        <w:rPr>
          <w:rFonts w:hint="eastAsia" w:ascii="仿宋" w:hAnsi="仿宋" w:eastAsia="仿宋" w:cs="仿宋"/>
          <w:color w:val="000000"/>
          <w:sz w:val="32"/>
          <w:szCs w:val="32"/>
          <w:shd w:val="clear" w:color="auto" w:fill="FFFFFF"/>
          <w:lang w:val="en-US" w:eastAsia="zh-CN"/>
        </w:rPr>
        <w:t>学生</w:t>
      </w:r>
      <w:r>
        <w:rPr>
          <w:rFonts w:hint="eastAsia" w:ascii="仿宋" w:hAnsi="仿宋" w:eastAsia="仿宋" w:cs="仿宋"/>
          <w:color w:val="000000"/>
          <w:sz w:val="32"/>
          <w:szCs w:val="32"/>
          <w:shd w:val="clear" w:color="auto" w:fill="FFFFFF"/>
        </w:rPr>
        <w:t>及时获得补助。</w:t>
      </w:r>
    </w:p>
    <w:p>
      <w:pPr>
        <w:numPr>
          <w:ilvl w:val="0"/>
          <w:numId w:val="4"/>
        </w:numPr>
        <w:adjustRightInd w:val="0"/>
        <w:snapToGrid w:val="0"/>
        <w:spacing w:line="520" w:lineRule="exact"/>
        <w:ind w:left="0" w:leftChars="0"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投入经济性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“三免一补政策”执行标准：1、寄宿生小学1000元/生、年、初中：1250元/生、年。2、非寄宿学生标准减半执行</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该项目已实施多年，</w:t>
      </w:r>
      <w:r>
        <w:rPr>
          <w:rFonts w:hint="eastAsia" w:ascii="仿宋" w:hAnsi="仿宋" w:eastAsia="仿宋" w:cs="仿宋"/>
          <w:color w:val="000000"/>
          <w:sz w:val="32"/>
          <w:szCs w:val="32"/>
          <w:shd w:val="clear" w:color="auto" w:fill="FFFFFF"/>
        </w:rPr>
        <w:t>在经费使用过程中，我们严格按照预算批复拨付经费。项目学校严格执行国家、省和市、区教育经费开支的范围和标准，经费支出规范、合理，无虚列、虚报冒领和挤占挪用现象，票据规范、合法有效。财务信息公开透明，对预算批复，主动公示并接受师生和群众监督。在区财政和教育主管部门定期组织对学校经费使用情况的检查、审计中未发现重大违规、违纪现象。</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lang w:eastAsia="zh-CN"/>
        </w:rPr>
        <w:t>四、</w:t>
      </w:r>
      <w:r>
        <w:rPr>
          <w:rFonts w:hint="eastAsia" w:ascii="仿宋_GB2312" w:hAnsi="宋体" w:eastAsia="仿宋_GB2312"/>
          <w:b/>
          <w:bCs/>
          <w:sz w:val="32"/>
          <w:szCs w:val="32"/>
        </w:rPr>
        <w:t>绩效目标合理性</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一</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绩效目标设置情况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被评价项目绩效评价指标体系设置</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个一级指标、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个二级指标、</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个三级指标。</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（1）一级指标：设置</w:t>
      </w:r>
      <w:r>
        <w:rPr>
          <w:rFonts w:hint="eastAsia" w:ascii="仿宋" w:hAnsi="仿宋" w:eastAsia="仿宋" w:cs="仿宋_GB2312"/>
          <w:sz w:val="32"/>
          <w:szCs w:val="32"/>
          <w:lang w:val="en-US" w:eastAsia="zh-CN"/>
        </w:rPr>
        <w:t>项目完成</w:t>
      </w:r>
      <w:r>
        <w:rPr>
          <w:rFonts w:hint="eastAsia" w:ascii="仿宋" w:hAnsi="仿宋" w:eastAsia="仿宋" w:cs="仿宋_GB2312"/>
          <w:sz w:val="32"/>
          <w:szCs w:val="32"/>
        </w:rPr>
        <w:t>、项目效益、满意度指标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成本指标4</w:t>
      </w:r>
      <w:r>
        <w:rPr>
          <w:rFonts w:hint="eastAsia" w:ascii="仿宋" w:hAnsi="仿宋" w:eastAsia="仿宋" w:cs="仿宋_GB2312"/>
          <w:sz w:val="32"/>
          <w:szCs w:val="32"/>
        </w:rPr>
        <w:t>个，项目效益设置社会效益</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经济效益</w:t>
      </w:r>
      <w:r>
        <w:rPr>
          <w:rFonts w:hint="eastAsia" w:ascii="仿宋" w:hAnsi="仿宋" w:eastAsia="仿宋" w:cs="仿宋_GB2312"/>
          <w:sz w:val="32"/>
          <w:szCs w:val="32"/>
        </w:rPr>
        <w:t>和可持续影响指标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个，满意度指标设置</w:t>
      </w:r>
      <w:r>
        <w:rPr>
          <w:rFonts w:hint="eastAsia" w:ascii="仿宋" w:hAnsi="仿宋" w:eastAsia="仿宋" w:cs="仿宋_GB2312"/>
          <w:sz w:val="32"/>
          <w:szCs w:val="32"/>
          <w:lang w:val="en-US" w:eastAsia="zh-CN"/>
        </w:rPr>
        <w:t>服务对象</w:t>
      </w:r>
      <w:r>
        <w:rPr>
          <w:rFonts w:hint="eastAsia" w:ascii="仿宋" w:hAnsi="仿宋" w:eastAsia="仿宋" w:cs="仿宋_GB2312"/>
          <w:sz w:val="32"/>
          <w:szCs w:val="32"/>
        </w:rPr>
        <w:t>满意度指标</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（3）三级指标：数量指标设置</w:t>
      </w:r>
      <w:r>
        <w:rPr>
          <w:rFonts w:hint="eastAsia" w:ascii="仿宋" w:hAnsi="仿宋" w:eastAsia="仿宋" w:cs="仿宋_GB2312"/>
          <w:sz w:val="32"/>
          <w:szCs w:val="32"/>
          <w:lang w:val="en-US" w:eastAsia="zh-CN"/>
        </w:rPr>
        <w:t>小学阶段补助人数等指标3个</w:t>
      </w:r>
      <w:r>
        <w:rPr>
          <w:rFonts w:hint="eastAsia" w:ascii="仿宋" w:hAnsi="仿宋" w:eastAsia="仿宋" w:cs="仿宋_GB2312"/>
          <w:sz w:val="32"/>
          <w:szCs w:val="32"/>
        </w:rPr>
        <w:t>，质量指标设置</w:t>
      </w:r>
      <w:r>
        <w:rPr>
          <w:rFonts w:hint="eastAsia" w:ascii="仿宋" w:hAnsi="仿宋" w:eastAsia="仿宋" w:cs="仿宋_GB2312"/>
          <w:sz w:val="32"/>
          <w:szCs w:val="32"/>
          <w:lang w:val="en-US" w:eastAsia="zh-CN"/>
        </w:rPr>
        <w:t>建档立卡贫困家庭学生占补助学生比例等</w:t>
      </w:r>
      <w:r>
        <w:rPr>
          <w:rFonts w:hint="eastAsia" w:ascii="仿宋" w:hAnsi="仿宋" w:eastAsia="仿宋" w:cs="仿宋_GB2312"/>
          <w:sz w:val="32"/>
          <w:szCs w:val="32"/>
        </w:rPr>
        <w:t>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个；时效指标设置</w:t>
      </w:r>
      <w:r>
        <w:rPr>
          <w:rFonts w:hint="eastAsia" w:ascii="仿宋" w:hAnsi="仿宋" w:eastAsia="仿宋" w:cs="仿宋_GB2312"/>
          <w:sz w:val="32"/>
          <w:szCs w:val="32"/>
          <w:lang w:val="en-US" w:eastAsia="zh-CN"/>
        </w:rPr>
        <w:t>2022年11月秋季补助兑付到位等</w:t>
      </w:r>
      <w:r>
        <w:rPr>
          <w:rFonts w:hint="eastAsia" w:ascii="仿宋" w:hAnsi="仿宋" w:eastAsia="仿宋" w:cs="仿宋_GB2312"/>
          <w:sz w:val="32"/>
          <w:szCs w:val="32"/>
        </w:rPr>
        <w:t>指标2个；</w:t>
      </w:r>
      <w:r>
        <w:rPr>
          <w:rFonts w:hint="eastAsia" w:ascii="仿宋" w:hAnsi="仿宋" w:eastAsia="仿宋" w:cs="仿宋_GB2312"/>
          <w:sz w:val="32"/>
          <w:szCs w:val="32"/>
          <w:lang w:val="en-US" w:eastAsia="zh-CN"/>
        </w:rPr>
        <w:t>成本指标设置义务教育阶段小学寄宿学生每学年人均补助标准补助标准等指标4个；</w:t>
      </w:r>
      <w:r>
        <w:rPr>
          <w:rFonts w:hint="eastAsia" w:ascii="仿宋" w:hAnsi="仿宋" w:eastAsia="仿宋" w:cs="仿宋_GB2312"/>
          <w:sz w:val="32"/>
          <w:szCs w:val="32"/>
        </w:rPr>
        <w:t>社会效益设置</w:t>
      </w:r>
      <w:r>
        <w:rPr>
          <w:rFonts w:hint="eastAsia" w:ascii="仿宋" w:hAnsi="仿宋" w:eastAsia="仿宋" w:cs="仿宋_GB2312"/>
          <w:sz w:val="32"/>
          <w:szCs w:val="32"/>
          <w:lang w:val="en-US" w:eastAsia="zh-CN"/>
        </w:rPr>
        <w:t>义务教育阶段寄宿学生得到补助的比例等指标2</w:t>
      </w:r>
      <w:r>
        <w:rPr>
          <w:rFonts w:hint="eastAsia" w:ascii="仿宋" w:hAnsi="仿宋" w:eastAsia="仿宋" w:cs="仿宋_GB2312"/>
          <w:sz w:val="32"/>
          <w:szCs w:val="32"/>
        </w:rPr>
        <w:t>个；可持续影响指标设置</w:t>
      </w:r>
      <w:r>
        <w:rPr>
          <w:rFonts w:hint="eastAsia" w:ascii="仿宋" w:hAnsi="仿宋" w:eastAsia="仿宋" w:cs="仿宋_GB2312"/>
          <w:sz w:val="32"/>
          <w:szCs w:val="32"/>
          <w:lang w:val="en-US" w:eastAsia="zh-CN"/>
        </w:rPr>
        <w:t>小学教育学生受助年限等</w:t>
      </w:r>
      <w:r>
        <w:rPr>
          <w:rFonts w:hint="eastAsia" w:ascii="仿宋" w:hAnsi="仿宋" w:eastAsia="仿宋" w:cs="仿宋_GB2312"/>
          <w:sz w:val="32"/>
          <w:szCs w:val="32"/>
        </w:rPr>
        <w:t>指标</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个；社会满意度指标设置</w:t>
      </w:r>
      <w:r>
        <w:rPr>
          <w:rFonts w:hint="eastAsia" w:ascii="仿宋" w:hAnsi="仿宋" w:eastAsia="仿宋" w:cs="仿宋_GB2312"/>
          <w:sz w:val="32"/>
          <w:szCs w:val="32"/>
          <w:lang w:val="en-US" w:eastAsia="zh-CN"/>
        </w:rPr>
        <w:t>义务教育学校教师满意度等</w:t>
      </w:r>
      <w:r>
        <w:rPr>
          <w:rFonts w:hint="eastAsia" w:ascii="仿宋" w:hAnsi="仿宋" w:eastAsia="仿宋" w:cs="仿宋_GB2312"/>
          <w:sz w:val="32"/>
          <w:szCs w:val="32"/>
        </w:rPr>
        <w:t>指标</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（二）绩效指标合理性</w:t>
      </w:r>
    </w:p>
    <w:p>
      <w:pPr>
        <w:spacing w:line="580" w:lineRule="exact"/>
        <w:ind w:firstLine="640" w:firstLineChars="200"/>
        <w:rPr>
          <w:rFonts w:hint="eastAsia" w:ascii="仿宋_GB2312" w:hAnsi="宋体" w:eastAsia="仿宋_GB2312"/>
          <w:sz w:val="32"/>
          <w:szCs w:val="32"/>
        </w:rPr>
      </w:pPr>
      <w:r>
        <w:rPr>
          <w:rFonts w:hint="eastAsia" w:ascii="仿宋" w:hAnsi="仿宋" w:eastAsia="仿宋" w:cs="仿宋_GB2312"/>
          <w:sz w:val="32"/>
          <w:szCs w:val="32"/>
          <w:lang w:val="en-US" w:eastAsia="zh-CN"/>
        </w:rPr>
        <w:t>该项目绩效评价指标设置完整、科学、合理，各项</w:t>
      </w:r>
      <w:r>
        <w:rPr>
          <w:rFonts w:hint="eastAsia" w:ascii="仿宋_GB2312" w:hAnsi="宋体" w:eastAsia="仿宋_GB2312"/>
          <w:sz w:val="32"/>
          <w:szCs w:val="32"/>
          <w:lang w:eastAsia="zh-CN"/>
        </w:rPr>
        <w:t>绩效指标</w:t>
      </w:r>
      <w:r>
        <w:rPr>
          <w:rFonts w:hint="eastAsia" w:ascii="仿宋_GB2312" w:hAnsi="宋体" w:eastAsia="仿宋_GB2312"/>
          <w:sz w:val="32"/>
          <w:szCs w:val="32"/>
          <w:lang w:val="en-US" w:eastAsia="zh-CN"/>
        </w:rPr>
        <w:t>可</w:t>
      </w:r>
      <w:r>
        <w:rPr>
          <w:rFonts w:hint="eastAsia" w:ascii="仿宋_GB2312" w:hAnsi="宋体" w:eastAsia="仿宋_GB2312"/>
          <w:sz w:val="32"/>
          <w:szCs w:val="32"/>
          <w:lang w:eastAsia="zh-CN"/>
        </w:rPr>
        <w:t>量化可考核，契合政策或项目实质，</w:t>
      </w:r>
      <w:r>
        <w:rPr>
          <w:rFonts w:hint="eastAsia" w:ascii="仿宋_GB2312" w:hAnsi="宋体" w:eastAsia="仿宋_GB2312"/>
          <w:sz w:val="32"/>
          <w:szCs w:val="32"/>
          <w:lang w:val="en-US" w:eastAsia="zh-CN"/>
        </w:rPr>
        <w:t>符合</w:t>
      </w:r>
      <w:r>
        <w:rPr>
          <w:rFonts w:hint="eastAsia" w:ascii="仿宋_GB2312" w:hAnsi="宋体" w:eastAsia="仿宋_GB2312"/>
          <w:sz w:val="32"/>
          <w:szCs w:val="32"/>
          <w:lang w:eastAsia="zh-CN"/>
        </w:rPr>
        <w:t>部门的长期规划目标</w:t>
      </w:r>
      <w:r>
        <w:rPr>
          <w:rFonts w:hint="eastAsia" w:ascii="仿宋_GB2312" w:hAnsi="宋体" w:eastAsia="仿宋_GB2312"/>
          <w:sz w:val="32"/>
          <w:szCs w:val="32"/>
          <w:lang w:val="en-US" w:eastAsia="zh-CN"/>
        </w:rPr>
        <w:t>和</w:t>
      </w:r>
      <w:r>
        <w:rPr>
          <w:rFonts w:hint="eastAsia" w:ascii="仿宋_GB2312" w:hAnsi="宋体" w:eastAsia="仿宋_GB2312"/>
          <w:sz w:val="32"/>
          <w:szCs w:val="32"/>
          <w:lang w:eastAsia="zh-CN"/>
        </w:rPr>
        <w:t>年度工作目标</w:t>
      </w:r>
      <w:r>
        <w:rPr>
          <w:rFonts w:hint="eastAsia" w:ascii="仿宋_GB2312" w:hAnsi="宋体" w:eastAsia="仿宋_GB2312"/>
          <w:sz w:val="32"/>
          <w:szCs w:val="32"/>
          <w:lang w:val="en-US" w:eastAsia="zh-CN"/>
        </w:rPr>
        <w:t>要求。</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lang w:eastAsia="zh-CN"/>
        </w:rPr>
        <w:t>五</w:t>
      </w:r>
      <w:r>
        <w:rPr>
          <w:rFonts w:hint="eastAsia" w:ascii="仿宋_GB2312" w:hAnsi="宋体" w:eastAsia="仿宋_GB2312"/>
          <w:b/>
          <w:bCs/>
          <w:sz w:val="32"/>
          <w:szCs w:val="32"/>
        </w:rPr>
        <w:t>、实施方案可行性</w:t>
      </w:r>
    </w:p>
    <w:p>
      <w:pPr>
        <w:adjustRightInd w:val="0"/>
        <w:snapToGrid w:val="0"/>
        <w:spacing w:line="52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为保障该项目顺利实施，我校成立了以党组书记、校长任组长，班子成员任副组长，各科室为成员的工作领导小组，将项目实施的各项绩效目标纳入部门年度工作计划，并要求严格执行国家、省和市、区教育经费开支的范围和标准，资金总量严格控制在预算标准内，经费支出规范、合理。</w:t>
      </w:r>
    </w:p>
    <w:p>
      <w:pPr>
        <w:numPr>
          <w:ilvl w:val="0"/>
          <w:numId w:val="5"/>
        </w:numPr>
        <w:adjustRightInd w:val="0"/>
        <w:snapToGrid w:val="0"/>
        <w:spacing w:line="520" w:lineRule="exact"/>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筹资合规性</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该项目为公益性项目，属于公共财政支持范围，所需资金有财政预算全额保障。</w:t>
      </w:r>
    </w:p>
    <w:p>
      <w:pPr>
        <w:numPr>
          <w:ilvl w:val="0"/>
          <w:numId w:val="5"/>
        </w:numPr>
        <w:adjustRightInd w:val="0"/>
        <w:snapToGrid w:val="0"/>
        <w:spacing w:line="520" w:lineRule="exact"/>
        <w:ind w:left="0" w:leftChars="0" w:firstLine="642" w:firstLineChars="200"/>
        <w:rPr>
          <w:rFonts w:hint="eastAsia" w:ascii="仿宋_GB2312" w:hAnsi="宋体" w:eastAsia="仿宋_GB2312"/>
          <w:b/>
          <w:bCs/>
          <w:sz w:val="32"/>
          <w:szCs w:val="32"/>
          <w:lang w:eastAsia="zh-CN"/>
        </w:rPr>
      </w:pPr>
      <w:r>
        <w:rPr>
          <w:rFonts w:hint="eastAsia" w:ascii="仿宋_GB2312" w:hAnsi="宋体" w:eastAsia="仿宋_GB2312"/>
          <w:b/>
          <w:bCs/>
          <w:sz w:val="32"/>
          <w:szCs w:val="32"/>
        </w:rPr>
        <w:t>可持续性</w:t>
      </w:r>
      <w:r>
        <w:rPr>
          <w:rFonts w:hint="eastAsia" w:ascii="仿宋_GB2312" w:hAnsi="宋体" w:eastAsia="仿宋_GB2312"/>
          <w:b/>
          <w:bCs/>
          <w:sz w:val="32"/>
          <w:szCs w:val="32"/>
          <w:lang w:eastAsia="zh-CN"/>
        </w:rPr>
        <w:t>分析</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相关资金纳入部门预算，经费的来源能够得到有效保障。</w:t>
      </w:r>
      <w:r>
        <w:rPr>
          <w:rFonts w:ascii="仿宋_GB2312" w:hAnsi="仿宋_GB2312" w:eastAsia="仿宋_GB2312" w:cs="仿宋_GB2312"/>
          <w:color w:val="000000"/>
          <w:kern w:val="0"/>
          <w:sz w:val="31"/>
          <w:szCs w:val="31"/>
          <w:lang w:val="en-US" w:eastAsia="zh-CN" w:bidi="ar"/>
        </w:rPr>
        <w:t>区教</w:t>
      </w:r>
      <w:r>
        <w:rPr>
          <w:rFonts w:hint="eastAsia" w:ascii="仿宋_GB2312" w:hAnsi="仿宋_GB2312" w:eastAsia="仿宋_GB2312" w:cs="仿宋_GB2312"/>
          <w:color w:val="000000"/>
          <w:kern w:val="0"/>
          <w:sz w:val="31"/>
          <w:szCs w:val="31"/>
          <w:lang w:val="en-US" w:eastAsia="zh-CN" w:bidi="ar"/>
        </w:rPr>
        <w:t>育</w:t>
      </w:r>
      <w:r>
        <w:rPr>
          <w:rFonts w:ascii="仿宋_GB2312" w:hAnsi="仿宋_GB2312" w:eastAsia="仿宋_GB2312" w:cs="仿宋_GB2312"/>
          <w:color w:val="000000"/>
          <w:kern w:val="0"/>
          <w:sz w:val="31"/>
          <w:szCs w:val="31"/>
          <w:lang w:val="en-US" w:eastAsia="zh-CN" w:bidi="ar"/>
        </w:rPr>
        <w:t>局为合理、有效、规范使用专项资金，根据国家统一的财务制度，制订了《学校财务管理制度》等规范性文件。规范了财务管理，确保经费使用合规合法。</w:t>
      </w:r>
    </w:p>
    <w:p>
      <w:pPr>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lang w:eastAsia="zh-CN"/>
        </w:rPr>
        <w:t>八</w:t>
      </w:r>
      <w:r>
        <w:rPr>
          <w:rFonts w:hint="eastAsia" w:ascii="仿宋_GB2312" w:hAnsi="宋体" w:eastAsia="仿宋_GB2312"/>
          <w:b/>
          <w:bCs/>
          <w:sz w:val="32"/>
          <w:szCs w:val="32"/>
        </w:rPr>
        <w:t>、其他</w:t>
      </w:r>
      <w:r>
        <w:rPr>
          <w:rFonts w:hint="eastAsia" w:ascii="仿宋_GB2312" w:hAnsi="宋体" w:eastAsia="仿宋_GB2312"/>
          <w:b/>
          <w:bCs/>
          <w:sz w:val="32"/>
          <w:szCs w:val="32"/>
          <w:lang w:eastAsia="zh-CN"/>
        </w:rPr>
        <w:t>需要说明的</w:t>
      </w:r>
      <w:r>
        <w:rPr>
          <w:rFonts w:hint="eastAsia" w:ascii="仿宋_GB2312" w:hAnsi="宋体" w:eastAsia="仿宋_GB2312"/>
          <w:b/>
          <w:bCs/>
          <w:sz w:val="32"/>
          <w:szCs w:val="32"/>
        </w:rPr>
        <w:t>内容</w:t>
      </w:r>
    </w:p>
    <w:p>
      <w:pPr>
        <w:ind w:firstLine="642"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无</w:t>
      </w:r>
    </w:p>
    <w:p>
      <w:pPr>
        <w:ind w:firstLine="642"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九</w:t>
      </w:r>
      <w:r>
        <w:rPr>
          <w:rFonts w:hint="eastAsia" w:ascii="仿宋_GB2312" w:hAnsi="仿宋_GB2312" w:eastAsia="仿宋_GB2312" w:cs="仿宋_GB2312"/>
          <w:b/>
          <w:bCs w:val="0"/>
          <w:sz w:val="32"/>
          <w:szCs w:val="32"/>
        </w:rPr>
        <w:t>、综合评</w:t>
      </w:r>
      <w:r>
        <w:rPr>
          <w:rFonts w:hint="eastAsia" w:ascii="仿宋_GB2312" w:hAnsi="仿宋_GB2312" w:eastAsia="仿宋_GB2312" w:cs="仿宋_GB2312"/>
          <w:b/>
          <w:bCs w:val="0"/>
          <w:sz w:val="32"/>
          <w:szCs w:val="32"/>
          <w:lang w:eastAsia="zh-CN"/>
        </w:rPr>
        <w:t>估</w:t>
      </w:r>
      <w:r>
        <w:rPr>
          <w:rFonts w:hint="eastAsia" w:ascii="仿宋_GB2312" w:hAnsi="仿宋_GB2312" w:eastAsia="仿宋_GB2312" w:cs="仿宋_GB2312"/>
          <w:b/>
          <w:bCs w:val="0"/>
          <w:sz w:val="32"/>
          <w:szCs w:val="32"/>
        </w:rPr>
        <w:t>结论</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该项目总体评价得分为89分，评估等级为“良”。预期产出和效果充分满足利州区学前教育发展的相关需求。</w:t>
      </w:r>
    </w:p>
    <w:p>
      <w:pPr>
        <w:outlineLvl w:val="9"/>
        <w:rPr>
          <w:rFonts w:hint="eastAsia" w:ascii="仿宋" w:hAnsi="仿宋" w:eastAsia="仿宋" w:cs="仿宋"/>
          <w:color w:val="auto"/>
          <w:sz w:val="32"/>
          <w:szCs w:val="32"/>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bookmarkStart w:id="79" w:name="_Toc3645"/>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p>
    <w:p>
      <w:pPr>
        <w:pStyle w:val="11"/>
        <w:adjustRightInd w:val="0"/>
        <w:snapToGrid w:val="0"/>
        <w:spacing w:line="440" w:lineRule="exact"/>
        <w:ind w:left="2220" w:hanging="1800" w:hangingChars="500"/>
        <w:jc w:val="left"/>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附件</w:t>
      </w:r>
      <w:bookmarkEnd w:id="79"/>
      <w:r>
        <w:rPr>
          <w:rFonts w:hint="eastAsia" w:ascii="黑体" w:hAnsi="黑体" w:eastAsia="黑体" w:cs="黑体"/>
          <w:color w:val="auto"/>
          <w:sz w:val="36"/>
          <w:szCs w:val="36"/>
          <w:highlight w:val="none"/>
          <w:lang w:val="en-US" w:eastAsia="zh-CN"/>
        </w:rPr>
        <w:t>三、2021年100万元以上（含）特定目标类部门预算项目绩效目标自评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outlineLvl w:val="1"/>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SA"/>
        </w:rPr>
      </w:pPr>
      <w:bookmarkStart w:id="80" w:name="_Toc5525"/>
      <w:r>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SA"/>
        </w:rPr>
        <w:t>3.1、</w:t>
      </w:r>
      <w:r>
        <w:rPr>
          <w:rFonts w:hint="eastAsia" w:ascii="方正小标宋简体" w:hAnsi="方正小标宋简体" w:eastAsia="方正小标宋简体" w:cs="方正小标宋简体"/>
          <w:b w:val="0"/>
          <w:bCs w:val="0"/>
          <w:color w:val="auto"/>
          <w:kern w:val="2"/>
          <w:sz w:val="32"/>
          <w:szCs w:val="32"/>
          <w:shd w:val="clear" w:color="auto" w:fill="FFFFFF"/>
          <w:lang w:val="en-US" w:eastAsia="zh-CN" w:bidi="ar-SA"/>
        </w:rPr>
        <w:t>2021年100万元以上（含）特定目标</w:t>
      </w:r>
      <w:bookmarkEnd w:id="80"/>
      <w:bookmarkStart w:id="81" w:name="_Toc311"/>
      <w:r>
        <w:rPr>
          <w:rFonts w:hint="eastAsia" w:ascii="方正小标宋简体" w:hAnsi="方正小标宋简体" w:eastAsia="方正小标宋简体" w:cs="方正小标宋简体"/>
          <w:b w:val="0"/>
          <w:bCs w:val="0"/>
          <w:color w:val="auto"/>
          <w:kern w:val="2"/>
          <w:sz w:val="32"/>
          <w:szCs w:val="32"/>
          <w:shd w:val="clear" w:color="auto" w:fill="FFFFFF"/>
          <w:lang w:val="en-US" w:eastAsia="zh-CN" w:bidi="ar-SA"/>
        </w:rPr>
        <w:t>部门预算项目绩效目标自评（</w:t>
      </w:r>
      <w:r>
        <w:rPr>
          <w:rFonts w:hint="eastAsia" w:ascii="方正小标宋简体" w:hAnsi="方正小标宋简体" w:eastAsia="方正小标宋简体" w:cs="方正小标宋简体"/>
          <w:b w:val="0"/>
          <w:bCs w:val="0"/>
          <w:color w:val="auto"/>
          <w:sz w:val="32"/>
          <w:szCs w:val="32"/>
          <w:lang w:val="en-US" w:eastAsia="zh-CN"/>
        </w:rPr>
        <w:t>2021年</w:t>
      </w:r>
      <w:r>
        <w:rPr>
          <w:rFonts w:hint="eastAsia" w:ascii="方正小标宋简体" w:eastAsia="方正小标宋简体"/>
          <w:sz w:val="32"/>
          <w:szCs w:val="32"/>
        </w:rPr>
        <w:t>农村中小学营养改善计划</w:t>
      </w:r>
      <w:r>
        <w:rPr>
          <w:rFonts w:hint="eastAsia" w:ascii="方正小标宋简体" w:hAnsi="方正小标宋简体" w:eastAsia="方正小标宋简体" w:cs="方正小标宋简体"/>
          <w:b w:val="0"/>
          <w:bCs w:val="0"/>
          <w:color w:val="auto"/>
          <w:kern w:val="2"/>
          <w:sz w:val="32"/>
          <w:szCs w:val="32"/>
          <w:shd w:val="clear" w:color="auto" w:fill="FFFFFF"/>
          <w:lang w:val="en-US" w:eastAsia="zh-CN" w:bidi="ar-SA"/>
        </w:rPr>
        <w:t>）</w:t>
      </w:r>
      <w:bookmarkEnd w:id="81"/>
    </w:p>
    <w:tbl>
      <w:tblPr>
        <w:tblStyle w:val="12"/>
        <w:tblpPr w:leftFromText="180" w:rightFromText="180" w:vertAnchor="text" w:horzAnchor="margin" w:tblpY="510"/>
        <w:tblOverlap w:val="never"/>
        <w:tblW w:w="5020" w:type="pct"/>
        <w:tblInd w:w="0" w:type="dxa"/>
        <w:tblLayout w:type="autofit"/>
        <w:tblCellMar>
          <w:top w:w="0" w:type="dxa"/>
          <w:left w:w="108" w:type="dxa"/>
          <w:bottom w:w="0" w:type="dxa"/>
          <w:right w:w="108" w:type="dxa"/>
        </w:tblCellMar>
      </w:tblPr>
      <w:tblGrid>
        <w:gridCol w:w="1273"/>
        <w:gridCol w:w="881"/>
        <w:gridCol w:w="1642"/>
        <w:gridCol w:w="2512"/>
        <w:gridCol w:w="1387"/>
        <w:gridCol w:w="1402"/>
      </w:tblGrid>
      <w:tr>
        <w:tblPrEx>
          <w:tblCellMar>
            <w:top w:w="0" w:type="dxa"/>
            <w:left w:w="108" w:type="dxa"/>
            <w:bottom w:w="0" w:type="dxa"/>
            <w:right w:w="108" w:type="dxa"/>
          </w:tblCellMar>
        </w:tblPrEx>
        <w:trPr>
          <w:trHeight w:val="537" w:hRule="atLeast"/>
        </w:trPr>
        <w:tc>
          <w:tcPr>
            <w:tcW w:w="11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实施单位</w:t>
            </w:r>
          </w:p>
        </w:tc>
        <w:tc>
          <w:tcPr>
            <w:tcW w:w="22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广元市利州区宝轮第一小学</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代码</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319344</w:t>
            </w:r>
          </w:p>
        </w:tc>
      </w:tr>
      <w:tr>
        <w:tblPrEx>
          <w:tblCellMar>
            <w:top w:w="0" w:type="dxa"/>
            <w:left w:w="108" w:type="dxa"/>
            <w:bottom w:w="0" w:type="dxa"/>
            <w:right w:w="108" w:type="dxa"/>
          </w:tblCellMar>
        </w:tblPrEx>
        <w:trPr>
          <w:trHeight w:val="537" w:hRule="atLeast"/>
        </w:trPr>
        <w:tc>
          <w:tcPr>
            <w:tcW w:w="118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color w:val="auto"/>
                <w:kern w:val="0"/>
                <w:sz w:val="21"/>
                <w:szCs w:val="21"/>
                <w:lang w:bidi="ar"/>
              </w:rPr>
              <w:t>项目预算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color w:val="auto"/>
                <w:kern w:val="0"/>
                <w:sz w:val="21"/>
                <w:szCs w:val="21"/>
                <w:lang w:bidi="ar"/>
              </w:rPr>
              <w:t>执行情况</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（万元）</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预算数：</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123.85</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执行数：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123.85</w:t>
            </w:r>
          </w:p>
        </w:tc>
      </w:tr>
      <w:tr>
        <w:tblPrEx>
          <w:tblCellMar>
            <w:top w:w="0" w:type="dxa"/>
            <w:left w:w="108" w:type="dxa"/>
            <w:bottom w:w="0" w:type="dxa"/>
            <w:right w:w="108" w:type="dxa"/>
          </w:tblCellMar>
        </w:tblPrEx>
        <w:trPr>
          <w:trHeight w:val="577"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其中：</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财政拨款</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123.85</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其中：</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财政拨款</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123.85</w:t>
            </w:r>
          </w:p>
        </w:tc>
      </w:tr>
      <w:tr>
        <w:tblPrEx>
          <w:tblCellMar>
            <w:top w:w="0" w:type="dxa"/>
            <w:left w:w="108" w:type="dxa"/>
            <w:bottom w:w="0" w:type="dxa"/>
            <w:right w:w="108" w:type="dxa"/>
          </w:tblCellMar>
        </w:tblPrEx>
        <w:trPr>
          <w:trHeight w:val="537"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其他资金</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0.00</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其他资金</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0.00</w:t>
            </w:r>
          </w:p>
        </w:tc>
      </w:tr>
      <w:tr>
        <w:tblPrEx>
          <w:tblCellMar>
            <w:top w:w="0" w:type="dxa"/>
            <w:left w:w="108" w:type="dxa"/>
            <w:bottom w:w="0" w:type="dxa"/>
            <w:right w:w="108" w:type="dxa"/>
          </w:tblCellMar>
        </w:tblPrEx>
        <w:trPr>
          <w:trHeight w:val="537" w:hRule="atLeast"/>
        </w:trPr>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年度总体目标完成情况</w:t>
            </w:r>
          </w:p>
        </w:tc>
        <w:tc>
          <w:tcPr>
            <w:tcW w:w="27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预期目标</w:t>
            </w:r>
          </w:p>
        </w:tc>
        <w:tc>
          <w:tcPr>
            <w:tcW w:w="15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目标实际完成情况</w:t>
            </w:r>
          </w:p>
        </w:tc>
      </w:tr>
      <w:tr>
        <w:tblPrEx>
          <w:tblCellMar>
            <w:top w:w="0" w:type="dxa"/>
            <w:left w:w="108" w:type="dxa"/>
            <w:bottom w:w="0" w:type="dxa"/>
            <w:right w:w="108" w:type="dxa"/>
          </w:tblCellMar>
        </w:tblPrEx>
        <w:trPr>
          <w:trHeight w:val="537" w:hRule="atLeast"/>
        </w:trPr>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27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top"/>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预期完成率100%</w:t>
            </w:r>
          </w:p>
        </w:tc>
        <w:tc>
          <w:tcPr>
            <w:tcW w:w="15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top"/>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实际完成率100%</w:t>
            </w:r>
          </w:p>
        </w:tc>
      </w:tr>
      <w:tr>
        <w:tblPrEx>
          <w:tblCellMar>
            <w:top w:w="0" w:type="dxa"/>
            <w:left w:w="108" w:type="dxa"/>
            <w:bottom w:w="0" w:type="dxa"/>
            <w:right w:w="108" w:type="dxa"/>
          </w:tblCellMar>
        </w:tblPrEx>
        <w:trPr>
          <w:trHeight w:val="577" w:hRule="atLeast"/>
        </w:trPr>
        <w:tc>
          <w:tcPr>
            <w:tcW w:w="70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年度绩效指标完成情况</w:t>
            </w:r>
          </w:p>
        </w:tc>
        <w:tc>
          <w:tcPr>
            <w:tcW w:w="4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一级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二级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三级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指标</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预期指标值</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实际完成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指标值</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完成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数量指标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受益学生数</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1529人</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1529人</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质量指标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受益学生覆盖面</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时效指标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资金及时到位</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11月</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11月</w:t>
            </w: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成本指标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生均补助标准</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4元/人/天</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4元/人/天</w:t>
            </w: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color w:val="auto"/>
                <w:kern w:val="0"/>
                <w:sz w:val="21"/>
                <w:szCs w:val="21"/>
                <w:lang w:bidi="ar"/>
              </w:rPr>
              <w:t>效益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可持续发展指标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解决学前教育入学难问题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可持续影响指标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解决学前教育入学贵问题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47" w:leftChars="-30" w:right="-63" w:rightChars="-30" w:hanging="210" w:hangingChars="100"/>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bidi="ar"/>
              </w:rPr>
              <w:t>社会</w:t>
            </w:r>
            <w:r>
              <w:rPr>
                <w:rFonts w:hint="eastAsia" w:asciiTheme="minorEastAsia" w:hAnsiTheme="minorEastAsia" w:eastAsiaTheme="minorEastAsia" w:cstheme="minorEastAsia"/>
                <w:color w:val="auto"/>
                <w:kern w:val="0"/>
                <w:sz w:val="21"/>
                <w:szCs w:val="21"/>
                <w:lang w:bidi="ar"/>
              </w:rPr>
              <w:t>效益指标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减轻幼儿家庭教育负担</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可持续影响指标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受助学校持续影响年限</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3年</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3年</w:t>
            </w:r>
          </w:p>
        </w:tc>
      </w:tr>
      <w:tr>
        <w:tblPrEx>
          <w:tblCellMar>
            <w:top w:w="0" w:type="dxa"/>
            <w:left w:w="108" w:type="dxa"/>
            <w:bottom w:w="0" w:type="dxa"/>
            <w:right w:w="108" w:type="dxa"/>
          </w:tblCellMar>
        </w:tblPrEx>
        <w:trPr>
          <w:trHeight w:val="600" w:hRule="atLeast"/>
        </w:trPr>
        <w:tc>
          <w:tcPr>
            <w:tcW w:w="700"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outlineLvl w:val="9"/>
              <w:rPr>
                <w:rFonts w:hint="eastAsia" w:asciiTheme="minorEastAsia" w:hAnsiTheme="minorEastAsia" w:eastAsiaTheme="minorEastAsia" w:cstheme="minorEastAsia"/>
                <w:color w:val="auto"/>
                <w:sz w:val="21"/>
                <w:szCs w:val="21"/>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color w:val="auto"/>
                <w:kern w:val="0"/>
                <w:sz w:val="21"/>
                <w:szCs w:val="21"/>
                <w:lang w:bidi="ar"/>
              </w:rPr>
              <w:t>满意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度指标</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满意度指标</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outlineLvl w:val="2"/>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师生抽样满意度</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w:t>
            </w:r>
          </w:p>
        </w:tc>
      </w:tr>
    </w:tbl>
    <w:p>
      <w:pPr>
        <w:spacing w:line="600" w:lineRule="exact"/>
        <w:jc w:val="left"/>
        <w:outlineLvl w:val="9"/>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bookmarkStart w:id="82" w:name="_Toc21571"/>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66"/>
      <w:bookmarkEnd w:id="78"/>
      <w:bookmarkEnd w:id="82"/>
      <w:bookmarkStart w:id="83" w:name="_Toc15396619"/>
    </w:p>
    <w:p>
      <w:pPr>
        <w:pStyle w:val="4"/>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 w:hAnsi="仿宋" w:eastAsia="仿宋"/>
          <w:b w:val="0"/>
          <w:color w:val="auto"/>
          <w:highlight w:val="none"/>
        </w:rPr>
      </w:pPr>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4" w:name="_Toc2168"/>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3"/>
      <w:bookmarkEnd w:id="84"/>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5" w:name="_Toc22077"/>
      <w:bookmarkStart w:id="86"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5"/>
      <w:bookmarkEnd w:id="86"/>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7" w:name="_Toc15396621"/>
      <w:bookmarkStart w:id="88" w:name="_Toc575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7"/>
      <w:bookmarkEnd w:id="88"/>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b w:val="0"/>
          <w:color w:val="auto"/>
          <w:highlight w:val="none"/>
        </w:rPr>
      </w:pPr>
      <w:bookmarkStart w:id="89" w:name="_Toc15396622"/>
      <w:bookmarkStart w:id="90" w:name="_Toc24351"/>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89"/>
      <w:bookmarkEnd w:id="90"/>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25"/>
          <w:rFonts w:ascii="仿宋" w:hAnsi="仿宋" w:eastAsia="仿宋"/>
          <w:b w:val="0"/>
          <w:bCs w:val="0"/>
          <w:color w:val="auto"/>
          <w:highlight w:val="none"/>
        </w:rPr>
      </w:pPr>
      <w:bookmarkStart w:id="91" w:name="_Toc5973"/>
      <w:bookmarkStart w:id="92"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1"/>
      <w:bookmarkEnd w:id="92"/>
      <w:bookmarkStart w:id="93" w:name="_Toc15396624"/>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4" w:name="_Toc28054"/>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3"/>
      <w:bookmarkEnd w:id="94"/>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5" w:name="_Toc15396625"/>
      <w:bookmarkStart w:id="96" w:name="_Toc3541"/>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5"/>
      <w:bookmarkEnd w:id="96"/>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7" w:name="_Toc15396626"/>
      <w:bookmarkStart w:id="98" w:name="_Toc9470"/>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97"/>
      <w:bookmarkEnd w:id="98"/>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99" w:name="_Toc15396627"/>
      <w:bookmarkStart w:id="100" w:name="_Toc5378"/>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99"/>
      <w:bookmarkEnd w:id="100"/>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01" w:name="_Toc15396628"/>
      <w:bookmarkStart w:id="102" w:name="_Toc3305"/>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101"/>
      <w:bookmarkEnd w:id="102"/>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03" w:name="_Toc15396629"/>
      <w:bookmarkStart w:id="104" w:name="_Toc21518"/>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3"/>
      <w:bookmarkEnd w:id="104"/>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105" w:name="_Toc15396630"/>
      <w:bookmarkStart w:id="106" w:name="_Toc7681"/>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105"/>
      <w:bookmarkEnd w:id="106"/>
    </w:p>
    <w:p>
      <w:pPr>
        <w:pStyle w:val="4"/>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25"/>
          <w:rFonts w:hint="eastAsia" w:ascii="仿宋" w:hAnsi="仿宋" w:eastAsia="仿宋"/>
          <w:b w:val="0"/>
          <w:bCs w:val="0"/>
          <w:color w:val="auto"/>
          <w:highlight w:val="none"/>
        </w:rPr>
      </w:pPr>
      <w:bookmarkStart w:id="107" w:name="_Toc7733"/>
      <w:bookmarkStart w:id="108"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7"/>
      <w:bookmarkEnd w:id="108"/>
    </w:p>
    <w:p>
      <w:pPr>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1"/>
        <w:rPr>
          <w:rFonts w:hint="eastAsia" w:eastAsia="仿宋"/>
          <w:color w:val="auto"/>
          <w:highlight w:val="none"/>
          <w:lang w:eastAsia="zh-CN"/>
        </w:rPr>
      </w:pPr>
      <w:bookmarkStart w:id="109" w:name="_Toc3811"/>
      <w:r>
        <w:rPr>
          <w:rStyle w:val="25"/>
          <w:rFonts w:hint="eastAsia" w:ascii="仿宋" w:hAnsi="仿宋" w:eastAsia="仿宋"/>
          <w:b w:val="0"/>
          <w:bCs w:val="0"/>
          <w:color w:val="auto"/>
          <w:highlight w:val="none"/>
          <w:lang w:eastAsia="zh-CN"/>
        </w:rPr>
        <w:t>十四、国有资本经营预算财政拨款支出决算表</w:t>
      </w:r>
      <w:bookmarkEnd w:id="109"/>
    </w:p>
    <w:sectPr>
      <w:footerReference r:id="rId5"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2286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pPr>
                                <w:pStyle w:val="8"/>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sdtContent>
                        </w:sdt>
                        <w:p>
                          <w:pPr>
                            <w:pStyle w:val="5"/>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8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BVuB/9QAAAAEAQAADwAAAAAAAAABACAAAAA4AAAAZHJzL2Rvd25yZXYueG1s&#10;UEsBAhQAFAAAAAgAh07iQJMamhQfAgAAKAQAAA4AAAAAAAAAAQAgAAAAOQEAAGRycy9lMm9Eb2Mu&#10;eG1sUEsFBgAAAAAGAAYAWQEAAMoFAAAAAA==&#10;">
              <v:fill on="f" focussize="0,0"/>
              <v:stroke on="f" weight="0.5pt"/>
              <v:imagedata o:title=""/>
              <o:lock v:ext="edit" aspectratio="f"/>
              <v:textbox inset="0mm,0mm,0mm,0mm">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pPr>
                          <w:pStyle w:val="8"/>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sdtContent>
                  </w:sdt>
                  <w:p>
                    <w:pPr>
                      <w:pStyle w:val="5"/>
                      <w:rPr>
                        <w:rFonts w:hint="eastAsia" w:ascii="宋体" w:hAnsi="宋体" w:eastAsia="宋体" w:cs="宋体"/>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7ADAF"/>
    <w:multiLevelType w:val="singleLevel"/>
    <w:tmpl w:val="B9D7ADAF"/>
    <w:lvl w:ilvl="0" w:tentative="0">
      <w:start w:val="6"/>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3B57D65A"/>
    <w:multiLevelType w:val="singleLevel"/>
    <w:tmpl w:val="3B57D65A"/>
    <w:lvl w:ilvl="0" w:tentative="0">
      <w:start w:val="2"/>
      <w:numFmt w:val="chineseCounting"/>
      <w:suff w:val="nothing"/>
      <w:lvlText w:val="%1、"/>
      <w:lvlJc w:val="left"/>
      <w:rPr>
        <w:rFonts w:hint="eastAsia"/>
      </w:rPr>
    </w:lvl>
  </w:abstractNum>
  <w:abstractNum w:abstractNumId="4">
    <w:nsid w:val="68EF85FF"/>
    <w:multiLevelType w:val="singleLevel"/>
    <w:tmpl w:val="68EF85FF"/>
    <w:lvl w:ilvl="0" w:tentative="0">
      <w:start w:val="1"/>
      <w:numFmt w:val="chineseCounting"/>
      <w:suff w:val="nothing"/>
      <w:lvlText w:val="%1、"/>
      <w:lvlJc w:val="left"/>
      <w:pPr>
        <w:ind w:left="200"/>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D02"/>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E34BC"/>
    <w:rsid w:val="0131604D"/>
    <w:rsid w:val="0216715F"/>
    <w:rsid w:val="028B36A9"/>
    <w:rsid w:val="02D16390"/>
    <w:rsid w:val="02E62FD5"/>
    <w:rsid w:val="03015719"/>
    <w:rsid w:val="033E696D"/>
    <w:rsid w:val="037C7496"/>
    <w:rsid w:val="03AC55EF"/>
    <w:rsid w:val="03B4687C"/>
    <w:rsid w:val="046B3792"/>
    <w:rsid w:val="04CF39F0"/>
    <w:rsid w:val="054B686D"/>
    <w:rsid w:val="061D6D0E"/>
    <w:rsid w:val="062C06E0"/>
    <w:rsid w:val="06E415DA"/>
    <w:rsid w:val="08894C8C"/>
    <w:rsid w:val="08B330AC"/>
    <w:rsid w:val="096D418D"/>
    <w:rsid w:val="0A075CB3"/>
    <w:rsid w:val="0A2032A3"/>
    <w:rsid w:val="0A393F15"/>
    <w:rsid w:val="0A9C5A8B"/>
    <w:rsid w:val="0AE942DE"/>
    <w:rsid w:val="0B190975"/>
    <w:rsid w:val="0B8A37D8"/>
    <w:rsid w:val="0C182E21"/>
    <w:rsid w:val="0C6904DC"/>
    <w:rsid w:val="0CD8309B"/>
    <w:rsid w:val="0DAD6300"/>
    <w:rsid w:val="0DB14432"/>
    <w:rsid w:val="0E4A266A"/>
    <w:rsid w:val="0E912047"/>
    <w:rsid w:val="0EC25071"/>
    <w:rsid w:val="0F56644D"/>
    <w:rsid w:val="0FAB538A"/>
    <w:rsid w:val="100202CD"/>
    <w:rsid w:val="100B4094"/>
    <w:rsid w:val="101C3B92"/>
    <w:rsid w:val="10853E2D"/>
    <w:rsid w:val="10C055FF"/>
    <w:rsid w:val="11335637"/>
    <w:rsid w:val="118107EC"/>
    <w:rsid w:val="11943BFC"/>
    <w:rsid w:val="11CB5358"/>
    <w:rsid w:val="11DD6519"/>
    <w:rsid w:val="12A2025D"/>
    <w:rsid w:val="14C96399"/>
    <w:rsid w:val="15CE2D26"/>
    <w:rsid w:val="168E4293"/>
    <w:rsid w:val="16BB723D"/>
    <w:rsid w:val="171419D3"/>
    <w:rsid w:val="17C05B4C"/>
    <w:rsid w:val="18015F3F"/>
    <w:rsid w:val="183A374F"/>
    <w:rsid w:val="187E43D5"/>
    <w:rsid w:val="18EB32E8"/>
    <w:rsid w:val="196547FC"/>
    <w:rsid w:val="1A3312F4"/>
    <w:rsid w:val="1B041CD2"/>
    <w:rsid w:val="1B267FBB"/>
    <w:rsid w:val="1BE8440E"/>
    <w:rsid w:val="1CB11B06"/>
    <w:rsid w:val="1D155CEE"/>
    <w:rsid w:val="1D183933"/>
    <w:rsid w:val="1E2B14E5"/>
    <w:rsid w:val="20F57F95"/>
    <w:rsid w:val="21863561"/>
    <w:rsid w:val="21944F55"/>
    <w:rsid w:val="21A60C8E"/>
    <w:rsid w:val="21BD0168"/>
    <w:rsid w:val="221E3ADB"/>
    <w:rsid w:val="22D507CE"/>
    <w:rsid w:val="22E06CA1"/>
    <w:rsid w:val="234645FC"/>
    <w:rsid w:val="23D700A4"/>
    <w:rsid w:val="23DA231E"/>
    <w:rsid w:val="23EF26A8"/>
    <w:rsid w:val="240371BF"/>
    <w:rsid w:val="244F7E5D"/>
    <w:rsid w:val="255A4A5C"/>
    <w:rsid w:val="25B83F05"/>
    <w:rsid w:val="25C741E6"/>
    <w:rsid w:val="27194E78"/>
    <w:rsid w:val="27247AA4"/>
    <w:rsid w:val="275A34C6"/>
    <w:rsid w:val="27842671"/>
    <w:rsid w:val="27DD7DE7"/>
    <w:rsid w:val="28375860"/>
    <w:rsid w:val="28724840"/>
    <w:rsid w:val="28B05368"/>
    <w:rsid w:val="28F039B6"/>
    <w:rsid w:val="28F60B3D"/>
    <w:rsid w:val="29FD04D3"/>
    <w:rsid w:val="2A097C66"/>
    <w:rsid w:val="2A3B2164"/>
    <w:rsid w:val="2A8F792B"/>
    <w:rsid w:val="2A9C5BA4"/>
    <w:rsid w:val="2ABE7A3E"/>
    <w:rsid w:val="2B880D54"/>
    <w:rsid w:val="2BA37E9D"/>
    <w:rsid w:val="2BC929C8"/>
    <w:rsid w:val="2BD82C0B"/>
    <w:rsid w:val="2C33078A"/>
    <w:rsid w:val="2C89076E"/>
    <w:rsid w:val="2D407A10"/>
    <w:rsid w:val="2DA134D1"/>
    <w:rsid w:val="2DC55411"/>
    <w:rsid w:val="2EFA178C"/>
    <w:rsid w:val="30470360"/>
    <w:rsid w:val="30B46D73"/>
    <w:rsid w:val="30D50061"/>
    <w:rsid w:val="31082744"/>
    <w:rsid w:val="312D57A8"/>
    <w:rsid w:val="31456F95"/>
    <w:rsid w:val="319A103C"/>
    <w:rsid w:val="319F7F4E"/>
    <w:rsid w:val="324C7EAF"/>
    <w:rsid w:val="32746425"/>
    <w:rsid w:val="34303534"/>
    <w:rsid w:val="3466001A"/>
    <w:rsid w:val="34EE6F87"/>
    <w:rsid w:val="34FF56AD"/>
    <w:rsid w:val="351367B3"/>
    <w:rsid w:val="360B0081"/>
    <w:rsid w:val="36265971"/>
    <w:rsid w:val="3631085E"/>
    <w:rsid w:val="3845286A"/>
    <w:rsid w:val="396476C0"/>
    <w:rsid w:val="3997458B"/>
    <w:rsid w:val="39AE70AB"/>
    <w:rsid w:val="39E60773"/>
    <w:rsid w:val="3A5C0EAC"/>
    <w:rsid w:val="3AF938EF"/>
    <w:rsid w:val="3C0C0783"/>
    <w:rsid w:val="3C5938F5"/>
    <w:rsid w:val="3CA31014"/>
    <w:rsid w:val="3CD125D7"/>
    <w:rsid w:val="3D085B96"/>
    <w:rsid w:val="3D4849EA"/>
    <w:rsid w:val="3D964245"/>
    <w:rsid w:val="3DC810EA"/>
    <w:rsid w:val="3E3D60E3"/>
    <w:rsid w:val="3E686071"/>
    <w:rsid w:val="3E6A2D2C"/>
    <w:rsid w:val="3E8167B1"/>
    <w:rsid w:val="3E9C3F6D"/>
    <w:rsid w:val="3ECA6D2C"/>
    <w:rsid w:val="3F082F21"/>
    <w:rsid w:val="3F9F3A96"/>
    <w:rsid w:val="3FE61943"/>
    <w:rsid w:val="400C6ED0"/>
    <w:rsid w:val="405F5324"/>
    <w:rsid w:val="41DB1250"/>
    <w:rsid w:val="41EA3C27"/>
    <w:rsid w:val="420B38E3"/>
    <w:rsid w:val="421D70DB"/>
    <w:rsid w:val="42213106"/>
    <w:rsid w:val="4224695E"/>
    <w:rsid w:val="424166FA"/>
    <w:rsid w:val="437F34D8"/>
    <w:rsid w:val="45353093"/>
    <w:rsid w:val="46A31473"/>
    <w:rsid w:val="478D4518"/>
    <w:rsid w:val="47C71016"/>
    <w:rsid w:val="493C27E9"/>
    <w:rsid w:val="496F39ED"/>
    <w:rsid w:val="49757894"/>
    <w:rsid w:val="499B199C"/>
    <w:rsid w:val="49FF41D3"/>
    <w:rsid w:val="4AEC1DD8"/>
    <w:rsid w:val="4B271062"/>
    <w:rsid w:val="4B6173E0"/>
    <w:rsid w:val="4BE068DB"/>
    <w:rsid w:val="4BF6002B"/>
    <w:rsid w:val="4D3E7CBD"/>
    <w:rsid w:val="4DD059E1"/>
    <w:rsid w:val="4E131EFC"/>
    <w:rsid w:val="4E4922BE"/>
    <w:rsid w:val="4E8C4626"/>
    <w:rsid w:val="4E9E13F5"/>
    <w:rsid w:val="4ECE2238"/>
    <w:rsid w:val="4EDD5E1C"/>
    <w:rsid w:val="4F686676"/>
    <w:rsid w:val="50952378"/>
    <w:rsid w:val="517C7493"/>
    <w:rsid w:val="5181470B"/>
    <w:rsid w:val="51B356E0"/>
    <w:rsid w:val="51DB4B86"/>
    <w:rsid w:val="521A7C03"/>
    <w:rsid w:val="529E7E5B"/>
    <w:rsid w:val="5365115A"/>
    <w:rsid w:val="538227E8"/>
    <w:rsid w:val="53E35FEF"/>
    <w:rsid w:val="53F1045F"/>
    <w:rsid w:val="54122FDB"/>
    <w:rsid w:val="549153A5"/>
    <w:rsid w:val="55333C3E"/>
    <w:rsid w:val="558E065B"/>
    <w:rsid w:val="563A62EE"/>
    <w:rsid w:val="56FB4F43"/>
    <w:rsid w:val="57390294"/>
    <w:rsid w:val="57EB3E30"/>
    <w:rsid w:val="58070251"/>
    <w:rsid w:val="5850359A"/>
    <w:rsid w:val="58931AE5"/>
    <w:rsid w:val="595E20F3"/>
    <w:rsid w:val="59A9272A"/>
    <w:rsid w:val="5AD63ADF"/>
    <w:rsid w:val="5B2F1A04"/>
    <w:rsid w:val="5B5F0153"/>
    <w:rsid w:val="5CB35466"/>
    <w:rsid w:val="5D05101F"/>
    <w:rsid w:val="5EED226A"/>
    <w:rsid w:val="5F323EBD"/>
    <w:rsid w:val="60123C37"/>
    <w:rsid w:val="60B56544"/>
    <w:rsid w:val="60EC4488"/>
    <w:rsid w:val="6131633F"/>
    <w:rsid w:val="61977F0F"/>
    <w:rsid w:val="627F6C32"/>
    <w:rsid w:val="631D7137"/>
    <w:rsid w:val="639E6324"/>
    <w:rsid w:val="647A4C53"/>
    <w:rsid w:val="64CA2D32"/>
    <w:rsid w:val="64CA39A1"/>
    <w:rsid w:val="64E16127"/>
    <w:rsid w:val="650A1380"/>
    <w:rsid w:val="65B7754D"/>
    <w:rsid w:val="65B8702E"/>
    <w:rsid w:val="665C1888"/>
    <w:rsid w:val="666D294C"/>
    <w:rsid w:val="68EE5F59"/>
    <w:rsid w:val="698D5F22"/>
    <w:rsid w:val="69B169F1"/>
    <w:rsid w:val="6A1C2E07"/>
    <w:rsid w:val="6A2565B6"/>
    <w:rsid w:val="6A4E1D0F"/>
    <w:rsid w:val="6A70612A"/>
    <w:rsid w:val="6AB41C2B"/>
    <w:rsid w:val="6ADB2C48"/>
    <w:rsid w:val="6B7457A6"/>
    <w:rsid w:val="6BAD2A66"/>
    <w:rsid w:val="6C4A05C8"/>
    <w:rsid w:val="6DC07371"/>
    <w:rsid w:val="6E005A16"/>
    <w:rsid w:val="6E0E3C8F"/>
    <w:rsid w:val="6E4C2960"/>
    <w:rsid w:val="6E9110DB"/>
    <w:rsid w:val="6ECD649B"/>
    <w:rsid w:val="6F871F4B"/>
    <w:rsid w:val="710475CC"/>
    <w:rsid w:val="71135E06"/>
    <w:rsid w:val="71557E27"/>
    <w:rsid w:val="715D6042"/>
    <w:rsid w:val="719E3E66"/>
    <w:rsid w:val="72100205"/>
    <w:rsid w:val="72734D90"/>
    <w:rsid w:val="728B779D"/>
    <w:rsid w:val="737D6457"/>
    <w:rsid w:val="73830C7C"/>
    <w:rsid w:val="74AB66DC"/>
    <w:rsid w:val="76870A83"/>
    <w:rsid w:val="76BD6253"/>
    <w:rsid w:val="773C72BE"/>
    <w:rsid w:val="77495D38"/>
    <w:rsid w:val="77A6242F"/>
    <w:rsid w:val="78372035"/>
    <w:rsid w:val="788D5D25"/>
    <w:rsid w:val="78D80C8F"/>
    <w:rsid w:val="79E7B28D"/>
    <w:rsid w:val="7A102B3D"/>
    <w:rsid w:val="7BC736D0"/>
    <w:rsid w:val="7BD227A0"/>
    <w:rsid w:val="7BD32392"/>
    <w:rsid w:val="7DAB70A4"/>
    <w:rsid w:val="7E6E7FBE"/>
    <w:rsid w:val="7EEB76FD"/>
    <w:rsid w:val="7F392B36"/>
    <w:rsid w:val="7F9F20EE"/>
    <w:rsid w:val="7FAA0336"/>
    <w:rsid w:val="9E3A10E2"/>
    <w:rsid w:val="DF4FC895"/>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收、支决算总计（万元）</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2021年</c:v>
                </c:pt>
                <c:pt idx="1">
                  <c:v>2022年</c:v>
                </c:pt>
              </c:strCache>
            </c:strRef>
          </c:cat>
          <c:val>
            <c:numRef>
              <c:f>Sheet1!$B$2:$B$3</c:f>
              <c:numCache>
                <c:formatCode>General</c:formatCode>
                <c:ptCount val="2"/>
                <c:pt idx="0">
                  <c:v>1613.47</c:v>
                </c:pt>
                <c:pt idx="1">
                  <c:v>2605.47</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15409429280397"/>
          <c:y val="0.031921739867099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noFill/>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收入额（万元）</c:v>
                </c:pt>
              </c:strCache>
            </c:strRef>
          </c:tx>
          <c:explosion val="0"/>
          <c:dPt>
            <c:idx val="0"/>
            <c:bubble3D val="false"/>
          </c:dPt>
          <c:dPt>
            <c:idx val="1"/>
            <c:bubble3D val="false"/>
          </c:dPt>
          <c:dLbls>
            <c:dLbl>
              <c:idx val="0"/>
              <c:layout>
                <c:manualLayout>
                  <c:x val="-0.0441459184332534"/>
                  <c:y val="-0.1331269349845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329280038526366"/>
                      <c:h val="0.160990712074303"/>
                    </c:manualLayout>
                  </c15:layout>
                </c:ext>
              </c:extLst>
            </c:dLbl>
            <c:dLbl>
              <c:idx val="1"/>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一般公共预算财政拨款收入</c:v>
                </c:pt>
                <c:pt idx="1">
                  <c:v>其它收入</c:v>
                </c:pt>
              </c:strCache>
            </c:strRef>
          </c:cat>
          <c:val>
            <c:numRef>
              <c:f>Sheet1!$B$2:$B$3</c:f>
              <c:numCache>
                <c:formatCode>0.00_ </c:formatCode>
                <c:ptCount val="2"/>
                <c:pt idx="0">
                  <c:v>2511.91</c:v>
                </c:pt>
                <c:pt idx="1">
                  <c:v>0.19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Lbls>
            <c:dLbl>
              <c:idx val="0"/>
              <c:layout>
                <c:manualLayout>
                  <c:x val="-0.0850533087503594"/>
                  <c:y val="0.187865008357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23913896462115"/>
                  <c:y val="-0.22066776989791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1366.93</c:v>
                </c:pt>
                <c:pt idx="1">
                  <c:v>1238.53</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财政拨款收、支决算总计（万元）</c:v>
                </c:pt>
              </c:strCache>
            </c:strRef>
          </c:tx>
          <c:spPr>
            <a:solidFill>
              <a:schemeClr val="accent2">
                <a:lumMod val="40000"/>
                <a:lumOff val="60000"/>
              </a:schemeClr>
            </a:solidFill>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2021年</c:v>
                </c:pt>
                <c:pt idx="1">
                  <c:v>2022年</c:v>
                </c:pt>
              </c:strCache>
            </c:strRef>
          </c:cat>
          <c:val>
            <c:numRef>
              <c:f>Sheet1!$B$2:$B$3</c:f>
              <c:numCache>
                <c:formatCode>General</c:formatCode>
                <c:ptCount val="2"/>
                <c:pt idx="0">
                  <c:v>1477.19</c:v>
                </c:pt>
                <c:pt idx="1" c:formatCode="#,##0.00">
                  <c:v>2605.27</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39146035163258"/>
          <c:y val="0.198172472872644"/>
          <c:w val="0.802176773113264"/>
          <c:h val="0.671616219303255"/>
        </c:manualLayout>
      </c:layout>
      <c:barChart>
        <c:barDir val="col"/>
        <c:grouping val="clustered"/>
        <c:varyColors val="false"/>
        <c:ser>
          <c:idx val="2"/>
          <c:order val="2"/>
          <c:tx>
            <c:strRef>
              <c:f>Sheet1!$B$1</c:f>
              <c:strCache>
                <c:ptCount val="1"/>
                <c:pt idx="0">
                  <c:v>一般公共预算财政拨款支出（万元）</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2021年</c:v>
                </c:pt>
                <c:pt idx="1">
                  <c:v>2022年</c:v>
                </c:pt>
              </c:strCache>
            </c:strRef>
          </c:cat>
          <c:val>
            <c:numRef>
              <c:f>Sheet1!$B$2:$B$3</c:f>
              <c:numCache>
                <c:formatCode>General</c:formatCode>
                <c:ptCount val="2"/>
                <c:pt idx="0">
                  <c:v>1515.97</c:v>
                </c:pt>
                <c:pt idx="1" c:formatCode="#,##0.00">
                  <c:v>2605.27</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9622054778137"/>
          <c:y val="0.0165319617927994"/>
          <c:w val="0.41430450903002"/>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Lbls>
            <c:dLbl>
              <c:idx val="0"/>
              <c:layout>
                <c:manualLayout>
                  <c:x val="-0.00415685620961155"/>
                  <c:y val="-0.26080386823813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9776407300892"/>
                  <c:y val="0"/>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92066155321189"/>
                      <c:h val="0.238742822605017"/>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卫生健康</c:v>
                </c:pt>
                <c:pt idx="3">
                  <c:v>住房保障</c:v>
                </c:pt>
              </c:strCache>
            </c:strRef>
          </c:cat>
          <c:val>
            <c:numRef>
              <c:f>Sheet1!$B$2:$B$5</c:f>
              <c:numCache>
                <c:formatCode>General</c:formatCode>
                <c:ptCount val="4"/>
                <c:pt idx="0">
                  <c:v>2404.39</c:v>
                </c:pt>
                <c:pt idx="1">
                  <c:v>92.25</c:v>
                </c:pt>
                <c:pt idx="2">
                  <c:v>45.59</c:v>
                </c:pt>
                <c:pt idx="3">
                  <c:v>63.04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false"/>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360450563204004"/>
                  <c:y val="0.097590361445783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12157</Words>
  <Characters>13070</Characters>
  <Lines>61</Lines>
  <Paragraphs>17</Paragraphs>
  <TotalTime>25</TotalTime>
  <ScaleCrop>false</ScaleCrop>
  <LinksUpToDate>false</LinksUpToDate>
  <CharactersWithSpaces>13238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2023-10-15T10:53:55Z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89D0F052ADA949598ADEA32866A7AC6D_13</vt:lpwstr>
  </property>
</Properties>
</file>