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597"/>
      <w:bookmarkStart w:id="3" w:name="_Toc15377425"/>
      <w:bookmarkStart w:id="4" w:name="_Toc1539647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06268"/>
      <w:bookmarkStart w:id="8" w:name="_Toc15378442"/>
      <w:bookmarkStart w:id="9" w:name="_Toc15377194"/>
      <w:bookmarkStart w:id="10" w:name="_Toc15396476"/>
      <w:bookmarkStart w:id="11" w:name="_Toc15377426"/>
      <w:r>
        <w:rPr>
          <w:rFonts w:hint="eastAsia" w:ascii="方正小标宋简体" w:hAnsi="方正小标宋简体" w:eastAsia="方正小标宋简体" w:cs="方正小标宋简体"/>
          <w:color w:val="auto"/>
          <w:sz w:val="72"/>
          <w:szCs w:val="72"/>
          <w:highlight w:val="none"/>
          <w:lang w:val="en-US" w:eastAsia="zh-CN"/>
        </w:rPr>
        <w:t>广元市利州区大石第二幼儿园部门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 xml:space="preserve"> 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rFonts w:hint="default"/>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部门预算项目支出绩效自评表（2022年度）</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rPr>
          <w:rFonts w:hint="eastAsia"/>
        </w:rPr>
      </w:pPr>
    </w:p>
    <w:p>
      <w:pPr>
        <w:pStyle w:val="3"/>
        <w:jc w:val="center"/>
        <w:rPr>
          <w:rFonts w:hint="eastAsia" w:ascii="黑体" w:hAnsi="黑体" w:eastAsia="黑体"/>
          <w:b w:val="0"/>
          <w:color w:val="auto"/>
          <w:highlight w:val="none"/>
        </w:rPr>
      </w:pPr>
      <w:bookmarkStart w:id="12" w:name="_Toc15396599"/>
      <w:bookmarkStart w:id="13" w:name="_Toc15377196"/>
    </w:p>
    <w:p>
      <w:pPr>
        <w:pStyle w:val="3"/>
        <w:tabs>
          <w:tab w:val="left" w:pos="1573"/>
        </w:tabs>
        <w:jc w:val="left"/>
        <w:rPr>
          <w:rFonts w:hint="eastAsia" w:ascii="黑体" w:hAnsi="黑体" w:eastAsia="黑体"/>
          <w:b w:val="0"/>
          <w:color w:val="auto"/>
          <w:highlight w:val="none"/>
          <w:lang w:eastAsia="zh-CN"/>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ascii="黑体" w:hAnsi="黑体" w:eastAsia="黑体"/>
          <w:b w:val="0"/>
          <w:color w:val="auto"/>
          <w:highlight w:val="none"/>
        </w:rPr>
      </w:pPr>
    </w:p>
    <w:p>
      <w:pPr>
        <w:pStyle w:val="2"/>
        <w:rPr>
          <w:rFonts w:hint="eastAsia"/>
        </w:rPr>
      </w:pPr>
    </w:p>
    <w:p>
      <w:pPr>
        <w:pStyle w:val="3"/>
        <w:jc w:val="center"/>
        <w:rPr>
          <w:rFonts w:hint="eastAsia" w:ascii="黑体" w:hAnsi="黑体" w:eastAsia="黑体"/>
          <w:b w:val="0"/>
          <w:color w:val="auto"/>
          <w:highlight w:val="none"/>
        </w:rPr>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pP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ageBreakBefore w:val="0"/>
        <w:widowControl w:val="0"/>
        <w:kinsoku/>
        <w:wordWrap/>
        <w:overflowPunct/>
        <w:topLinePunct w:val="0"/>
        <w:autoSpaceDE/>
        <w:autoSpaceDN/>
        <w:bidi w:val="0"/>
        <w:snapToGrid w:val="0"/>
        <w:spacing w:line="540" w:lineRule="exact"/>
        <w:jc w:val="both"/>
        <w:textAlignment w:val="auto"/>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val="en-US" w:eastAsia="zh-CN"/>
        </w:rPr>
        <w:t>一、</w:t>
      </w:r>
      <w:r>
        <w:rPr>
          <w:rStyle w:val="25"/>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贯彻执行党和国家有关幼儿教育的方针、政策以及教育法规、规章，坚持正确的办园方向。</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执行上级的指示和决议；贯彻执行《幼儿教育纲要》和《幼儿园工作规程》，深化改革，强化管理，使各项工作程序化，规范化，制度化，不断提高保教水平。</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严格执行上级部门关于教育经费、教育拨款、教育基建的办法和方案；贯彻执行上级部门有关学生资助工作方针和政策，落实本园贫困家庭幼儿的资助工作。</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实行保育和教育相结合的原则，对幼儿实施体、智、德、美等方面全面发展的教育，促进其身心和谐发展。为家长解除后顾之忧，热忱为家长服务。</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lang w:eastAsia="zh-CN"/>
        </w:rPr>
      </w:pPr>
      <w:r>
        <w:rPr>
          <w:rFonts w:hint="eastAsia" w:ascii="仿宋" w:hAnsi="仿宋" w:eastAsia="仿宋" w:cs="Times New Roman"/>
          <w:b w:val="0"/>
          <w:bCs w:val="0"/>
          <w:kern w:val="2"/>
          <w:sz w:val="32"/>
          <w:szCs w:val="32"/>
          <w:lang w:val="en-US" w:eastAsia="zh-CN" w:bidi="ar-SA"/>
        </w:rPr>
        <w:t>9.贯彻幼儿教育法规、传播科学教育理念、开展教育科学研究、培训师资，推动学前教育的良性发展。</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640" w:firstLineChars="200"/>
        <w:jc w:val="left"/>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本单位为广元市利州区教育局所属二级预算单位，单位性质为财政补助事业单位，内设部门6个（园长办公室、安办、园务处、财务部、人事部、党建处）。正式在职教职工年初3人，年末5人（其中2022年5月调入2人，2022年5月新进2人，借调入1人）。临聘教职工18人，安保人员2人。退休教师0人。教学班4个（托班1个，小班1个，中班1个，大班1个），在园幼儿102人。</w:t>
      </w:r>
    </w:p>
    <w:p>
      <w:pPr>
        <w:pStyle w:val="2"/>
        <w:rPr>
          <w:rFonts w:hint="eastAsia" w:ascii="仿宋" w:hAnsi="仿宋" w:eastAsia="仿宋" w:cs="Times New Roman"/>
          <w:kern w:val="2"/>
          <w:sz w:val="32"/>
          <w:szCs w:val="32"/>
          <w:lang w:val="en-US" w:eastAsia="zh-CN" w:bidi="ar-SA"/>
        </w:rPr>
      </w:pPr>
    </w:p>
    <w:p>
      <w:pPr>
        <w:pStyle w:val="2"/>
        <w:rPr>
          <w:rFonts w:hint="eastAsia" w:ascii="仿宋" w:hAnsi="仿宋" w:eastAsia="仿宋" w:cs="Times New Roman"/>
          <w:kern w:val="2"/>
          <w:sz w:val="32"/>
          <w:szCs w:val="32"/>
          <w:lang w:val="en-US" w:eastAsia="zh-CN" w:bidi="ar-SA"/>
        </w:rPr>
      </w:pPr>
    </w:p>
    <w:p>
      <w:pPr>
        <w:pStyle w:val="2"/>
        <w:rPr>
          <w:rFonts w:hint="eastAsia" w:ascii="仿宋" w:hAnsi="仿宋" w:eastAsia="仿宋" w:cs="Times New Roman"/>
          <w:kern w:val="2"/>
          <w:sz w:val="32"/>
          <w:szCs w:val="32"/>
          <w:lang w:val="en-US" w:eastAsia="zh-CN" w:bidi="ar-SA"/>
        </w:rPr>
      </w:pPr>
    </w:p>
    <w:p>
      <w:pPr>
        <w:pStyle w:val="2"/>
        <w:rPr>
          <w:rFonts w:hint="eastAsia" w:ascii="仿宋" w:hAnsi="仿宋" w:eastAsia="仿宋" w:cs="Times New Roman"/>
          <w:kern w:val="2"/>
          <w:sz w:val="32"/>
          <w:szCs w:val="32"/>
          <w:lang w:val="en-US" w:eastAsia="zh-CN" w:bidi="ar-SA"/>
        </w:rPr>
      </w:pPr>
    </w:p>
    <w:p>
      <w:pPr>
        <w:pStyle w:val="2"/>
        <w:rPr>
          <w:rFonts w:hint="eastAsia" w:ascii="仿宋" w:hAnsi="仿宋" w:eastAsia="仿宋" w:cs="Times New Roman"/>
          <w:kern w:val="2"/>
          <w:sz w:val="32"/>
          <w:szCs w:val="32"/>
          <w:lang w:val="en-US" w:eastAsia="zh-CN" w:bidi="ar-SA"/>
        </w:rPr>
      </w:pPr>
    </w:p>
    <w:p>
      <w:pPr>
        <w:pStyle w:val="2"/>
        <w:rPr>
          <w:rFonts w:hint="eastAsia" w:ascii="仿宋" w:hAnsi="仿宋" w:eastAsia="仿宋" w:cs="Times New Roman"/>
          <w:kern w:val="2"/>
          <w:sz w:val="32"/>
          <w:szCs w:val="32"/>
          <w:lang w:val="en-US" w:eastAsia="zh-CN" w:bidi="ar-SA"/>
        </w:rPr>
      </w:pPr>
    </w:p>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637.96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2021年收、支总计86万元，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551.96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642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本园于2022年新设立单位，前期采购非常多；调入2人，借调入1人，新进2人，在编教师工资支出增加；开设教学班4个，随着生源的增加，临聘教师开支也增加</w:t>
      </w:r>
      <w:r>
        <w:rPr>
          <w:rFonts w:hint="eastAsia" w:ascii="仿宋" w:hAnsi="仿宋" w:eastAsia="仿宋"/>
          <w:color w:val="auto"/>
          <w:sz w:val="32"/>
          <w:szCs w:val="32"/>
          <w:highlight w:val="none"/>
          <w:lang w:eastAsia="zh-CN"/>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jc w:val="left"/>
        <w:rPr>
          <w:rFonts w:hint="eastAsia" w:ascii="仿宋_GB2312" w:eastAsia="仿宋_GB2312"/>
          <w:color w:val="auto"/>
          <w:sz w:val="32"/>
          <w:szCs w:val="32"/>
          <w:highlight w:val="none"/>
          <w:lang w:eastAsia="zh-CN"/>
        </w:rPr>
      </w:pPr>
      <w:r>
        <w:rPr>
          <w:rFonts w:ascii="仿宋_GB2312" w:eastAsia="仿宋_GB2312"/>
          <w:sz w:val="32"/>
          <w:szCs w:val="32"/>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127000</wp:posOffset>
            </wp:positionV>
            <wp:extent cx="4915535" cy="2286000"/>
            <wp:effectExtent l="4445" t="4445" r="13970" b="14605"/>
            <wp:wrapTight wrapText="bothSides">
              <wp:wrapPolygon>
                <wp:start x="-20" y="-42"/>
                <wp:lineTo x="-20" y="21558"/>
                <wp:lineTo x="21578" y="21558"/>
                <wp:lineTo x="21578" y="-42"/>
                <wp:lineTo x="-20" y="-42"/>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459.96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453.93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98.69</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4.44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约0.97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约0.34</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pPr>
        <w:spacing w:line="600" w:lineRule="exact"/>
        <w:outlineLvl w:val="1"/>
        <w:rPr>
          <w:rFonts w:ascii="仿宋" w:hAnsi="仿宋" w:eastAsia="仿宋"/>
          <w:color w:val="auto"/>
          <w:sz w:val="32"/>
          <w:szCs w:val="32"/>
          <w:highlight w:val="none"/>
        </w:rPr>
      </w:pPr>
    </w:p>
    <w:p>
      <w:pPr>
        <w:spacing w:line="600" w:lineRule="exact"/>
        <w:ind w:firstLine="560" w:firstLineChars="200"/>
        <w:rPr>
          <w:rFonts w:hint="eastAsia"/>
          <w:lang w:eastAsia="zh-CN"/>
        </w:rPr>
      </w:pPr>
      <w:r>
        <w:rPr>
          <w:rFonts w:ascii="仿宋_GB2312" w:eastAsia="仿宋_GB2312"/>
          <w:sz w:val="28"/>
          <w:szCs w:val="28"/>
        </w:rPr>
        <w:drawing>
          <wp:anchor distT="0" distB="0" distL="114300" distR="114300" simplePos="0" relativeHeight="251665408" behindDoc="0" locked="0" layoutInCell="1" allowOverlap="1">
            <wp:simplePos x="0" y="0"/>
            <wp:positionH relativeFrom="column">
              <wp:posOffset>131445</wp:posOffset>
            </wp:positionH>
            <wp:positionV relativeFrom="paragraph">
              <wp:posOffset>634365</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（图2：收入决算结构图）（饼状图）</w:t>
      </w:r>
    </w:p>
    <w:p>
      <w:pPr>
        <w:pStyle w:val="23"/>
        <w:numPr>
          <w:ilvl w:val="0"/>
          <w:numId w:val="1"/>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637.96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51.62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586.34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59690</wp:posOffset>
            </wp:positionH>
            <wp:positionV relativeFrom="paragraph">
              <wp:posOffset>23495</wp:posOffset>
            </wp:positionV>
            <wp:extent cx="5039995" cy="2129790"/>
            <wp:effectExtent l="4445" t="4445" r="22860" b="1841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631.93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545.93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本园是2022年新设立单位，新建项目比较多，生源增加，临聘教职工开支随之增加，于2022年5月调入2人，借调入1人，新进2人，所以工资支出也增加了。</w:t>
      </w: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311150</wp:posOffset>
            </wp:positionH>
            <wp:positionV relativeFrom="paragraph">
              <wp:posOffset>804545</wp:posOffset>
            </wp:positionV>
            <wp:extent cx="4915535" cy="2286000"/>
            <wp:effectExtent l="4445" t="4445" r="13970" b="14605"/>
            <wp:wrapTight wrapText="bothSides">
              <wp:wrapPolygon>
                <wp:start x="-20" y="-42"/>
                <wp:lineTo x="-20" y="21558"/>
                <wp:lineTo x="21578" y="21558"/>
                <wp:lineTo x="21578" y="-42"/>
                <wp:lineTo x="-20" y="-42"/>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631.93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545.9255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本园是2022年新设立单位，新建项目比较多，生源增加，人员开支随之增加，于2022年5月调入2人，借调入1人，新进2人，所以工资支出也增加了。</w:t>
      </w: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89535</wp:posOffset>
            </wp:positionH>
            <wp:positionV relativeFrom="paragraph">
              <wp:posOffset>789305</wp:posOffset>
            </wp:positionV>
            <wp:extent cx="4915535" cy="2286000"/>
            <wp:effectExtent l="4445" t="4445" r="13970" b="14605"/>
            <wp:wrapTight wrapText="bothSides">
              <wp:wrapPolygon>
                <wp:start x="-20" y="-42"/>
                <wp:lineTo x="-20" y="21558"/>
                <wp:lineTo x="21578" y="21558"/>
                <wp:lineTo x="21578" y="-42"/>
                <wp:lineTo x="-20" y="-42"/>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631.93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626.82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约99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约0.5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约0.5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130810</wp:posOffset>
            </wp:positionH>
            <wp:positionV relativeFrom="paragraph">
              <wp:posOffset>318135</wp:posOffset>
            </wp:positionV>
            <wp:extent cx="5298440" cy="2512695"/>
            <wp:effectExtent l="4445" t="4445" r="12065" b="1651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8460"/>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631.93万元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2022年预算565.63万元（包含上年结转178万元），</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112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教育（类）</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学前教育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626.82</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2022年预算86万元，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729</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大</w:t>
      </w:r>
      <w:r>
        <w:rPr>
          <w:rStyle w:val="14"/>
          <w:rFonts w:hint="eastAsia" w:ascii="仿宋" w:hAnsi="仿宋" w:eastAsia="仿宋"/>
          <w:b w:val="0"/>
          <w:bCs/>
          <w:color w:val="auto"/>
          <w:sz w:val="32"/>
          <w:szCs w:val="32"/>
          <w:highlight w:val="none"/>
        </w:rPr>
        <w:t>于预算数的主要原因是</w:t>
      </w:r>
      <w:r>
        <w:rPr>
          <w:rStyle w:val="14"/>
          <w:rFonts w:hint="eastAsia" w:ascii="仿宋" w:hAnsi="仿宋" w:eastAsia="仿宋"/>
          <w:b w:val="0"/>
          <w:bCs/>
          <w:color w:val="auto"/>
          <w:sz w:val="32"/>
          <w:szCs w:val="32"/>
          <w:highlight w:val="none"/>
          <w:lang w:val="en-US" w:eastAsia="zh-CN"/>
        </w:rPr>
        <w:t>本园于2022年3月新开园，教师调入、生源增加、新园建设、项目都需要资金来维持正常运转</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2.79</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2022年预算0万元</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比预算增加是因为新建学校年初没有教师，2022年5月调入教师，支出增加。</w:t>
      </w:r>
    </w:p>
    <w:p>
      <w:pPr>
        <w:spacing w:line="600" w:lineRule="exact"/>
        <w:ind w:firstLine="643" w:firstLineChars="200"/>
        <w:rPr>
          <w:rFonts w:hint="default"/>
          <w:lang w:val="en-US" w:eastAsia="zh-CN"/>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其他社会保障和就业支出</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其他社会保障和就业支出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0.28</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2022年预算0万元</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val="en-US" w:eastAsia="zh-CN"/>
        </w:rPr>
        <w:t>比预算增加是因为新建学校年初没有教师，2022年5月调入教师，支出增加。</w:t>
      </w:r>
    </w:p>
    <w:p>
      <w:pPr>
        <w:spacing w:line="600" w:lineRule="exact"/>
        <w:ind w:firstLine="643" w:firstLineChars="200"/>
        <w:rPr>
          <w:rFonts w:ascii="仿宋" w:hAnsi="仿宋" w:eastAsia="仿宋"/>
          <w:color w:val="auto"/>
          <w:sz w:val="32"/>
          <w:szCs w:val="32"/>
          <w:highlight w:val="none"/>
        </w:rPr>
      </w:pPr>
      <w:r>
        <w:rPr>
          <w:rStyle w:val="14"/>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其他社会保事业单位医疗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2.03</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2022年预算0万元。比预算增加是因为新建学校年初没有教师，2022年5月调入教师，支出增加。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45.58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37.46</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医疗费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8.12</w:t>
      </w:r>
      <w:r>
        <w:rPr>
          <w:rFonts w:hint="eastAsia" w:ascii="仿宋" w:hAnsi="仿宋" w:eastAsia="仿宋"/>
          <w:color w:val="auto"/>
          <w:sz w:val="32"/>
          <w:szCs w:val="32"/>
          <w:highlight w:val="none"/>
        </w:rPr>
        <w:t>万元，主要包括：办公费、印刷费、咨询费、手续费、水费、电费、邮电费、取暖费、差旅费、维修（护）费、租赁费、会议费、培训费、劳务费、委托业务费、工会经费、福利费、其他商品和服务支出、办公设备购置、专用设备购置、其他资本性支出等。</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与2021年决算持平。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default" w:ascii="仿宋_GB2312" w:eastAsia="仿宋_GB2312"/>
          <w:b/>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与2021年决算持平。</w:t>
      </w:r>
    </w:p>
    <w:p>
      <w:pPr>
        <w:spacing w:line="600" w:lineRule="exact"/>
        <w:ind w:firstLine="640"/>
        <w:rPr>
          <w:rFonts w:hint="default" w:ascii="仿宋_GB2312" w:eastAsia="仿宋_GB2312"/>
          <w:b/>
          <w:color w:val="auto"/>
          <w:sz w:val="32"/>
          <w:szCs w:val="32"/>
          <w:highlight w:val="none"/>
          <w:lang w:val="en-US"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与2021年决算持平。</w:t>
      </w:r>
    </w:p>
    <w:p>
      <w:pPr>
        <w:spacing w:line="600" w:lineRule="exact"/>
        <w:ind w:firstLine="640" w:firstLineChars="200"/>
        <w:rPr>
          <w:rFonts w:hint="default" w:ascii="仿宋_GB2312" w:eastAsia="仿宋_GB2312"/>
          <w:b/>
          <w:color w:val="auto"/>
          <w:sz w:val="32"/>
          <w:szCs w:val="32"/>
          <w:highlight w:val="none"/>
          <w:lang w:val="en-US"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与2021年决算持平。</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具体项目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本年度未安排政府性基金双职工支出，</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与2021年决算持平。</w:t>
      </w:r>
    </w:p>
    <w:p>
      <w:pPr>
        <w:numPr>
          <w:ilvl w:val="0"/>
          <w:numId w:val="2"/>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与2021年决算持平。</w:t>
      </w:r>
    </w:p>
    <w:p>
      <w:pPr>
        <w:numPr>
          <w:ilvl w:val="0"/>
          <w:numId w:val="2"/>
        </w:numPr>
        <w:spacing w:line="600" w:lineRule="exact"/>
        <w:ind w:firstLine="640"/>
        <w:outlineLvl w:val="1"/>
        <w:rPr>
          <w:rStyle w:val="25"/>
          <w:rFonts w:hint="eastAsia" w:ascii="黑体" w:hAnsi="黑体" w:eastAsia="黑体"/>
          <w:b w:val="0"/>
          <w:color w:val="auto"/>
          <w:highlight w:val="none"/>
        </w:rPr>
      </w:pPr>
      <w:bookmarkStart w:id="44" w:name="_Toc15377221"/>
      <w:bookmarkStart w:id="45" w:name="_Toc15396612"/>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000000" w:themeColor="text1"/>
          <w:sz w:val="32"/>
          <w:szCs w:val="32"/>
          <w:highlight w:val="none"/>
          <w:lang w:val="en-US" w:eastAsia="zh-CN"/>
          <w14:textFill>
            <w14:solidFill>
              <w14:schemeClr w14:val="tx1"/>
            </w14:solidFill>
          </w14:textFill>
        </w:rPr>
        <w:t>广元市利州区大石第二幼儿园代管债券资金</w:t>
      </w:r>
      <w:r>
        <w:rPr>
          <w:rFonts w:hint="eastAsia" w:ascii="仿宋_GB2312" w:hAnsi="仿宋_GB2312" w:eastAsia="仿宋_GB2312" w:cs="仿宋_GB2312"/>
          <w:color w:val="auto"/>
          <w:sz w:val="32"/>
          <w:szCs w:val="32"/>
          <w:highlight w:val="none"/>
        </w:rPr>
        <w:t>项目开展了预算事前绩效评估，对项目编制了绩效目标，预算执行过程中，</w:t>
      </w:r>
      <w:r>
        <w:rPr>
          <w:rFonts w:hint="eastAsia" w:hAnsi="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highlight w:val="none"/>
        </w:rPr>
        <w:t>项目开展绩效监控，组织</w:t>
      </w:r>
      <w:r>
        <w:rPr>
          <w:rFonts w:hint="eastAsia" w:hAnsi="仿宋_GB2312" w:cs="仿宋_GB2312"/>
          <w:color w:val="auto"/>
          <w:sz w:val="32"/>
          <w:szCs w:val="32"/>
          <w:highlight w:val="none"/>
          <w:lang w:val="en-US" w:eastAsia="zh-CN"/>
        </w:rPr>
        <w:t>代管资金</w:t>
      </w:r>
      <w:r>
        <w:rPr>
          <w:rFonts w:hint="eastAsia" w:ascii="仿宋_GB2312" w:hAnsi="仿宋_GB2312" w:eastAsia="仿宋_GB2312" w:cs="仿宋_GB2312"/>
          <w:color w:val="auto"/>
          <w:sz w:val="32"/>
          <w:szCs w:val="32"/>
          <w:highlight w:val="none"/>
        </w:rPr>
        <w:t>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spacing w:line="600" w:lineRule="exact"/>
        <w:jc w:val="both"/>
        <w:outlineLvl w:val="0"/>
        <w:rPr>
          <w:rFonts w:hint="eastAsia" w:ascii="仿宋_GB2312" w:hAnsi="Calibri" w:eastAsia="仿宋_GB2312" w:cs="仿宋"/>
          <w:color w:val="auto"/>
          <w:kern w:val="0"/>
          <w:sz w:val="32"/>
          <w:szCs w:val="32"/>
          <w:highlight w:val="none"/>
          <w:lang w:val="en-US" w:eastAsia="zh-CN" w:bidi="ar-SA"/>
        </w:rPr>
      </w:pPr>
      <w:bookmarkStart w:id="53" w:name="_Toc15396618"/>
    </w:p>
    <w:p>
      <w:pPr>
        <w:jc w:val="center"/>
      </w:pPr>
      <w:r>
        <w:rPr>
          <w:rStyle w:val="25"/>
          <w:rFonts w:hint="eastAsia" w:ascii="仿宋" w:hAnsi="仿宋" w:eastAsia="仿宋"/>
          <w:b w:val="0"/>
          <w:bCs w:val="0"/>
          <w:color w:val="auto"/>
          <w:highlight w:val="none"/>
          <w:lang w:val="en-US" w:eastAsia="zh-CN" w:bidi="ar-SA"/>
        </w:rPr>
        <w:t>部门预算项目支出绩效自评表（2022年度）</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bookmarkStart w:id="67" w:name="_GoBack"/>
      <w:bookmarkEnd w:id="67"/>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11" w:type="first"/>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436E6B"/>
    <w:rsid w:val="10C055FF"/>
    <w:rsid w:val="118107EC"/>
    <w:rsid w:val="11DD6519"/>
    <w:rsid w:val="13561AB1"/>
    <w:rsid w:val="16BB723D"/>
    <w:rsid w:val="18015F3F"/>
    <w:rsid w:val="1A676765"/>
    <w:rsid w:val="1BAA61F0"/>
    <w:rsid w:val="1BE8440E"/>
    <w:rsid w:val="1D155CEE"/>
    <w:rsid w:val="1DFC1206"/>
    <w:rsid w:val="2081107E"/>
    <w:rsid w:val="20F57F95"/>
    <w:rsid w:val="240371BF"/>
    <w:rsid w:val="25711CC6"/>
    <w:rsid w:val="25C741E6"/>
    <w:rsid w:val="26F44974"/>
    <w:rsid w:val="27842671"/>
    <w:rsid w:val="284E788D"/>
    <w:rsid w:val="29C77111"/>
    <w:rsid w:val="29FD04D3"/>
    <w:rsid w:val="2ABE7A3E"/>
    <w:rsid w:val="2C271DE5"/>
    <w:rsid w:val="2CA234A8"/>
    <w:rsid w:val="2CE708D1"/>
    <w:rsid w:val="2EFA178C"/>
    <w:rsid w:val="30B46D73"/>
    <w:rsid w:val="319F7F4E"/>
    <w:rsid w:val="35FF01E0"/>
    <w:rsid w:val="383D272C"/>
    <w:rsid w:val="39AE70AB"/>
    <w:rsid w:val="3A035D97"/>
    <w:rsid w:val="3A195772"/>
    <w:rsid w:val="3C0C0783"/>
    <w:rsid w:val="3C625388"/>
    <w:rsid w:val="3E10554C"/>
    <w:rsid w:val="3F9F3A96"/>
    <w:rsid w:val="40660B5C"/>
    <w:rsid w:val="406805AA"/>
    <w:rsid w:val="437361ED"/>
    <w:rsid w:val="43B4782A"/>
    <w:rsid w:val="48BF60AB"/>
    <w:rsid w:val="493C27E9"/>
    <w:rsid w:val="495672E2"/>
    <w:rsid w:val="496F39ED"/>
    <w:rsid w:val="49FF41D3"/>
    <w:rsid w:val="4B3318FE"/>
    <w:rsid w:val="4BE068DB"/>
    <w:rsid w:val="4BF6002B"/>
    <w:rsid w:val="4CCE5E3C"/>
    <w:rsid w:val="4CDC2F1E"/>
    <w:rsid w:val="4E434384"/>
    <w:rsid w:val="4EBA14DC"/>
    <w:rsid w:val="4ECE2238"/>
    <w:rsid w:val="51DB4B86"/>
    <w:rsid w:val="53ED0589"/>
    <w:rsid w:val="548E3DB8"/>
    <w:rsid w:val="55333C3E"/>
    <w:rsid w:val="56B83546"/>
    <w:rsid w:val="583103BB"/>
    <w:rsid w:val="585B6835"/>
    <w:rsid w:val="59385E7F"/>
    <w:rsid w:val="5D503FD7"/>
    <w:rsid w:val="64CA39A1"/>
    <w:rsid w:val="69630ADE"/>
    <w:rsid w:val="6C4A05C8"/>
    <w:rsid w:val="6D3B1A89"/>
    <w:rsid w:val="6DF67EA0"/>
    <w:rsid w:val="6FA74871"/>
    <w:rsid w:val="71852DE7"/>
    <w:rsid w:val="71BF4EC2"/>
    <w:rsid w:val="72734D90"/>
    <w:rsid w:val="727D0598"/>
    <w:rsid w:val="72C06EDC"/>
    <w:rsid w:val="739D73BA"/>
    <w:rsid w:val="73BD4E78"/>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86</c:v>
                </c:pt>
                <c:pt idx="1">
                  <c:v>637.96</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2636476426799"/>
          <c:y val="0.028409090909090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453.93</c:v>
                </c:pt>
                <c:pt idx="1">
                  <c:v>4.44</c:v>
                </c:pt>
                <c:pt idx="2">
                  <c:v>1.59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3021911870937"/>
          <c:y val="0.1492260061919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dLbl>
              <c:idx val="0"/>
              <c:layout>
                <c:manualLayout>
                  <c:x val="0.150565099686841"/>
                  <c:y val="0.062147268858762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35913524439131"/>
                  <c:y val="-0.083513281135113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51.62</c:v>
                </c:pt>
                <c:pt idx="1">
                  <c:v>586.34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776006711409396"/>
          <c:y val="0.8833484436385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invertIfNegative val="0"/>
          <c:dLbls>
            <c:dLbl>
              <c:idx val="0"/>
              <c:layout>
                <c:manualLayout>
                  <c:x val="-0.0020669164190673"/>
                  <c:y val="0.0233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669164190673"/>
                  <c:y val="0.0372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86</c:v>
                </c:pt>
                <c:pt idx="1">
                  <c:v>631.93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0791887353055161"/>
          <c:y val="0.0591666666666667"/>
          <c:w val="0.515566464281101"/>
          <c:h val="0.1030555555555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一般公共预算财政拨款支出决算总计（万元）</c:v>
                </c:pt>
              </c:strCache>
            </c:strRef>
          </c:tx>
          <c:invertIfNegative val="0"/>
          <c:dLbls>
            <c:dLbl>
              <c:idx val="0"/>
              <c:layout>
                <c:manualLayout>
                  <c:x val="-0.0020669164190673"/>
                  <c:y val="0.0233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669164190673"/>
                  <c:y val="0.0372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86</c:v>
                </c:pt>
                <c:pt idx="1">
                  <c:v>631.93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0706627050768635"/>
          <c:y val="0.0591666666666667"/>
          <c:w val="0.515566464281101"/>
          <c:h val="0.1030555555555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5"/>
          <c:y val="0.00988739357319418"/>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a:outerShdw blurRad="76200" dist="25400" dir="2700000" algn="tl" rotWithShape="0">
                  <a:schemeClr val="accent3">
                    <a:lumMod val="50000"/>
                    <a:alpha val="30000"/>
                  </a:schemeClr>
                </a:outerShdw>
              </a:effectLst>
            </c:spPr>
          </c:dPt>
          <c:dLbls>
            <c:dLbl>
              <c:idx val="0"/>
              <c:layout>
                <c:manualLayout>
                  <c:x val="0.150565099686841"/>
                  <c:y val="0.062147268858762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803720612657111"/>
                  <c:y val="-0.10950874445034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教育支出</c:v>
                </c:pt>
                <c:pt idx="1">
                  <c:v>社会保障与就业支出</c:v>
                </c:pt>
              </c:strCache>
            </c:strRef>
          </c:cat>
          <c:val>
            <c:numRef>
              <c:f>Sheet1!$B$2:$B$3</c:f>
              <c:numCache>
                <c:formatCode>General</c:formatCode>
                <c:ptCount val="2"/>
                <c:pt idx="0">
                  <c:v>626.82</c:v>
                </c:pt>
                <c:pt idx="1">
                  <c:v>3.07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0136625119846596"/>
          <c:y val="0.100521834660807"/>
          <c:w val="0.98274209012464"/>
          <c:h val="0.16698709145839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7905</Words>
  <Characters>8644</Characters>
  <Lines>61</Lines>
  <Paragraphs>17</Paragraphs>
  <TotalTime>0</TotalTime>
  <ScaleCrop>false</ScaleCrop>
  <LinksUpToDate>false</LinksUpToDate>
  <CharactersWithSpaces>8690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2023-10-11T08:14:00Z</cp:lastPrinted>
  <dcterms:modified xsi:type="dcterms:W3CDTF">2023-10-15T05:52:08Z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4D77C13DDC3A4339A83B1440CD4B28B8_13</vt:lpwstr>
  </property>
</Properties>
</file>