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ascii="方正小标宋简体" w:hAnsi="方正小标宋简体" w:eastAsia="方正小标宋简体" w:cs="方正小标宋简体"/>
          <w:sz w:val="68"/>
          <w:szCs w:val="68"/>
        </w:rPr>
      </w:pPr>
      <w:bookmarkStart w:id="1" w:name="_Toc15378442"/>
      <w:bookmarkStart w:id="2" w:name="_Toc15396476"/>
      <w:bookmarkStart w:id="3" w:name="_Toc15306268"/>
      <w:bookmarkStart w:id="4" w:name="_Toc15377194"/>
      <w:bookmarkStart w:id="5" w:name="_Toc15377426"/>
      <w:bookmarkStart w:id="6" w:name="_Toc15396598"/>
      <w:r>
        <w:rPr>
          <w:rFonts w:hint="eastAsia" w:ascii="方正小标宋简体" w:hAnsi="方正小标宋简体" w:eastAsia="方正小标宋简体" w:cs="方正小标宋简体"/>
          <w:sz w:val="68"/>
          <w:szCs w:val="68"/>
        </w:rPr>
        <w:t>广元市利州区南街小学</w:t>
      </w:r>
      <w:bookmarkStart w:id="7" w:name="_Toc15377425"/>
      <w:bookmarkStart w:id="8" w:name="_Toc15377193"/>
      <w:bookmarkStart w:id="9" w:name="_Toc15378441"/>
      <w:bookmarkStart w:id="10" w:name="_Toc15396597"/>
      <w:bookmarkStart w:id="11" w:name="_Toc15396475"/>
    </w:p>
    <w:p>
      <w:pPr>
        <w:adjustRightInd w:val="0"/>
        <w:snapToGrid w:val="0"/>
        <w:spacing w:line="360" w:lineRule="auto"/>
        <w:jc w:val="center"/>
        <w:outlineLvl w:val="0"/>
        <w:rPr>
          <w:rFonts w:ascii="方正小标宋简体" w:hAnsi="方正小标宋简体" w:eastAsia="方正小标宋简体" w:cs="方正小标宋简体"/>
          <w:sz w:val="68"/>
          <w:szCs w:val="68"/>
        </w:rPr>
      </w:pPr>
      <w:r>
        <w:rPr>
          <w:rFonts w:hint="eastAsia" w:ascii="方正小标宋简体" w:hAnsi="方正小标宋简体" w:eastAsia="方正小标宋简体" w:cs="方正小标宋简体"/>
          <w:sz w:val="68"/>
          <w:szCs w:val="68"/>
        </w:rPr>
        <w:t>2022年度</w:t>
      </w:r>
      <w:bookmarkEnd w:id="7"/>
      <w:bookmarkEnd w:id="8"/>
      <w:bookmarkEnd w:id="9"/>
      <w:bookmarkEnd w:id="10"/>
      <w:bookmarkEnd w:id="11"/>
      <w:r>
        <w:rPr>
          <w:rFonts w:hint="eastAsia" w:ascii="方正小标宋简体" w:hAnsi="方正小标宋简体" w:eastAsia="方正小标宋简体" w:cs="方正小标宋简体"/>
          <w:sz w:val="68"/>
          <w:szCs w:val="68"/>
        </w:rPr>
        <w:t>决算</w:t>
      </w:r>
      <w:bookmarkEnd w:id="1"/>
      <w:bookmarkEnd w:id="2"/>
      <w:bookmarkEnd w:id="3"/>
      <w:bookmarkEnd w:id="4"/>
      <w:bookmarkEnd w:id="5"/>
      <w:bookmarkEnd w:id="6"/>
      <w:r>
        <w:rPr>
          <w:rFonts w:hint="eastAsia" w:ascii="方正小标宋简体" w:hAnsi="方正小标宋简体" w:eastAsia="方正小标宋简体" w:cs="方正小标宋简体"/>
          <w:sz w:val="68"/>
          <w:szCs w:val="68"/>
        </w:rPr>
        <w:t>公开</w:t>
      </w:r>
    </w:p>
    <w:p>
      <w:pPr>
        <w:widowControl/>
        <w:jc w:val="center"/>
        <w:rPr>
          <w:rFonts w:hint="eastAsia" w:ascii="方正小标宋简体" w:hAnsi="方正小标宋简体" w:eastAsia="方正小标宋简体" w:cs="方正小标宋简体"/>
          <w:sz w:val="48"/>
          <w:szCs w:val="48"/>
        </w:rPr>
        <w:sectPr>
          <w:headerReference r:id="rId3" w:type="default"/>
          <w:footerReference r:id="rId4" w:type="default"/>
          <w:pgSz w:w="11906" w:h="16838"/>
          <w:pgMar w:top="1701" w:right="1474" w:bottom="1701" w:left="1587" w:header="851" w:footer="1332" w:gutter="0"/>
          <w:pgNumType w:start="1"/>
          <w:cols w:space="0" w:num="1"/>
          <w:titlePg/>
          <w:docGrid w:type="lines" w:linePitch="312" w:charSpace="0"/>
        </w:sectPr>
      </w:pPr>
    </w:p>
    <w:p>
      <w:pPr>
        <w:widowControl/>
        <w:jc w:val="center"/>
        <w:rPr>
          <w:rFonts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目     录</w:t>
      </w:r>
    </w:p>
    <w:p>
      <w:pPr>
        <w:widowControl/>
        <w:snapToGrid w:val="0"/>
        <w:spacing w:line="500" w:lineRule="exact"/>
        <w:jc w:val="center"/>
        <w:rPr>
          <w:rFonts w:ascii="黑体" w:hAnsi="黑体" w:eastAsia="黑体" w:cstheme="minorBidi"/>
          <w:sz w:val="28"/>
          <w:szCs w:val="28"/>
        </w:rPr>
      </w:pPr>
    </w:p>
    <w:p>
      <w:pPr>
        <w:pStyle w:val="10"/>
        <w:snapToGrid w:val="0"/>
        <w:spacing w:before="0" w:line="500" w:lineRule="exact"/>
      </w:pPr>
      <w:r>
        <w:rPr>
          <w:rFonts w:hint="eastAsia"/>
        </w:rPr>
        <w:t>公开时间：202</w:t>
      </w:r>
      <w:r>
        <w:rPr>
          <w:rFonts w:hint="eastAsia"/>
          <w:lang w:val="en-US" w:eastAsia="zh-CN"/>
        </w:rPr>
        <w:t>3</w:t>
      </w:r>
      <w:r>
        <w:rPr>
          <w:rFonts w:hint="eastAsia"/>
        </w:rPr>
        <w:t>年</w:t>
      </w:r>
      <w:r>
        <w:rPr>
          <w:rFonts w:hint="eastAsia"/>
          <w:lang w:val="en-US" w:eastAsia="zh-CN"/>
        </w:rPr>
        <w:t>10</w:t>
      </w:r>
      <w:r>
        <w:rPr>
          <w:rFonts w:hint="eastAsia"/>
        </w:rPr>
        <w:t xml:space="preserve">月 </w:t>
      </w:r>
      <w:r>
        <w:rPr>
          <w:rFonts w:hint="eastAsia"/>
          <w:lang w:val="en-US" w:eastAsia="zh-CN"/>
        </w:rPr>
        <w:t>15</w:t>
      </w:r>
      <w:r>
        <w:rPr>
          <w:rFonts w:hint="eastAsia"/>
        </w:rPr>
        <w:t xml:space="preserve"> 日</w:t>
      </w:r>
    </w:p>
    <w:p>
      <w:pPr>
        <w:snapToGrid w:val="0"/>
        <w:spacing w:line="500" w:lineRule="exact"/>
      </w:pPr>
    </w:p>
    <w:p>
      <w:pPr>
        <w:pStyle w:val="10"/>
        <w:adjustRightInd w:val="0"/>
        <w:snapToGrid w:val="0"/>
        <w:spacing w:before="0" w:line="500" w:lineRule="exact"/>
        <w:jc w:val="left"/>
        <w:rPr>
          <w:rFonts w:ascii="黑体" w:hAnsi="黑体" w:eastAsia="黑体" w:cs="黑体"/>
          <w:sz w:val="32"/>
          <w:szCs w:val="32"/>
        </w:rPr>
      </w:pPr>
      <w:r>
        <w:rPr>
          <w:rFonts w:hint="eastAsia" w:ascii="黑体" w:hAnsi="黑体" w:eastAsia="黑体" w:cs="黑体"/>
          <w:sz w:val="32"/>
          <w:szCs w:val="32"/>
        </w:rPr>
        <w:t>第一部分 单位概况</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一、职能简介、机构设置</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二、2022年重点工作完成情况</w:t>
      </w:r>
    </w:p>
    <w:p>
      <w:pPr>
        <w:pStyle w:val="10"/>
        <w:adjustRightInd w:val="0"/>
        <w:snapToGrid w:val="0"/>
        <w:spacing w:before="0" w:line="500" w:lineRule="exact"/>
        <w:jc w:val="left"/>
        <w:rPr>
          <w:rFonts w:ascii="黑体" w:hAnsi="黑体" w:eastAsia="黑体" w:cs="黑体"/>
          <w:sz w:val="32"/>
          <w:szCs w:val="32"/>
        </w:rPr>
      </w:pPr>
      <w:r>
        <w:rPr>
          <w:rFonts w:hint="eastAsia" w:ascii="黑体" w:hAnsi="黑体" w:eastAsia="黑体" w:cs="黑体"/>
          <w:sz w:val="32"/>
          <w:szCs w:val="32"/>
        </w:rPr>
        <w:t>第二部分 2022年度单位决算情况说明</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一、收入支出决算总体情况说明</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二、收入决算情况说明</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三、支出决算情况说明</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四、财政拨款收入支出决算总体情况说明</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五、一般公共预算财政拨款支出决算情况说明</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七、“三公”经费财政拨款支出决算情况说明</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八、政府性基金预算支出决算情况说明</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九、国有资本经营预算支出决算情况说明</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十、其他重要事项的情况说明</w:t>
      </w:r>
    </w:p>
    <w:p>
      <w:pPr>
        <w:pStyle w:val="10"/>
        <w:adjustRightInd w:val="0"/>
        <w:snapToGrid w:val="0"/>
        <w:spacing w:before="0" w:line="500" w:lineRule="exact"/>
        <w:jc w:val="left"/>
        <w:rPr>
          <w:rFonts w:ascii="黑体" w:hAnsi="黑体" w:eastAsia="黑体" w:cs="黑体"/>
          <w:sz w:val="32"/>
          <w:szCs w:val="32"/>
        </w:rPr>
      </w:pPr>
      <w:r>
        <w:rPr>
          <w:rFonts w:hint="eastAsia" w:ascii="黑体" w:hAnsi="黑体" w:eastAsia="黑体" w:cs="黑体"/>
          <w:sz w:val="32"/>
          <w:szCs w:val="32"/>
        </w:rPr>
        <w:t>第三部分 名词解释</w:t>
      </w:r>
    </w:p>
    <w:p>
      <w:pPr>
        <w:pStyle w:val="10"/>
        <w:adjustRightInd w:val="0"/>
        <w:snapToGrid w:val="0"/>
        <w:spacing w:before="0" w:line="500" w:lineRule="exact"/>
        <w:jc w:val="left"/>
        <w:rPr>
          <w:rFonts w:ascii="黑体" w:hAnsi="黑体" w:eastAsia="黑体" w:cs="黑体"/>
          <w:sz w:val="32"/>
          <w:szCs w:val="32"/>
        </w:rPr>
      </w:pPr>
      <w:r>
        <w:rPr>
          <w:rFonts w:hint="eastAsia" w:ascii="黑体" w:hAnsi="黑体" w:eastAsia="黑体" w:cs="黑体"/>
          <w:sz w:val="32"/>
          <w:szCs w:val="32"/>
        </w:rPr>
        <w:t>第四部分 附件</w:t>
      </w:r>
    </w:p>
    <w:p>
      <w:pPr>
        <w:pStyle w:val="11"/>
        <w:adjustRightInd w:val="0"/>
        <w:snapToGrid w:val="0"/>
        <w:spacing w:line="500" w:lineRule="exact"/>
        <w:jc w:val="left"/>
        <w:rPr>
          <w:rStyle w:val="34"/>
          <w:rFonts w:hint="eastAsia" w:ascii="仿宋" w:hAnsi="仿宋" w:eastAsia="仿宋"/>
          <w:b w:val="0"/>
          <w:bCs w:val="0"/>
          <w:color w:val="auto"/>
          <w:highlight w:val="none"/>
          <w:lang w:val="en-US" w:eastAsia="zh-CN" w:bidi="ar-SA"/>
        </w:rPr>
      </w:pPr>
      <w:r>
        <w:rPr>
          <w:rStyle w:val="34"/>
          <w:rFonts w:hint="eastAsia" w:ascii="仿宋" w:hAnsi="仿宋" w:eastAsia="仿宋"/>
          <w:b w:val="0"/>
          <w:bCs w:val="0"/>
          <w:color w:val="auto"/>
          <w:highlight w:val="none"/>
          <w:lang w:val="en-US" w:eastAsia="zh-CN" w:bidi="ar-SA"/>
        </w:rPr>
        <w:t>部门预算项目支出绩效自评表（2022年度）</w:t>
      </w:r>
    </w:p>
    <w:p>
      <w:pPr>
        <w:pStyle w:val="11"/>
        <w:adjustRightInd w:val="0"/>
        <w:snapToGrid w:val="0"/>
        <w:spacing w:line="500" w:lineRule="exact"/>
        <w:ind w:left="0" w:leftChars="0" w:firstLine="0" w:firstLineChars="0"/>
        <w:jc w:val="left"/>
        <w:rPr>
          <w:rFonts w:ascii="黑体" w:hAnsi="黑体" w:eastAsia="黑体" w:cs="黑体"/>
          <w:sz w:val="32"/>
          <w:szCs w:val="32"/>
        </w:rPr>
      </w:pPr>
      <w:r>
        <w:rPr>
          <w:rFonts w:hint="eastAsia" w:ascii="黑体" w:hAnsi="黑体" w:eastAsia="黑体" w:cs="黑体"/>
          <w:sz w:val="32"/>
          <w:szCs w:val="32"/>
        </w:rPr>
        <w:t>第五部分 附表</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一、收入支出决算总表</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二、收入决算表</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三、支出决算表</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四、财政拨款收入支出决算总表</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五、财政拨款支出决算明细表</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六、一般公共预算财政拨款支出决算表</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七、一般公共预算财政拨款支出决算明细表</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八、一般公共预算财政拨款基本支出决算表</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九、一般公共预算财政拨款项目支出决算表</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十、一般公共预算财政拨款“三公”经费支出决算表</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十一、政府性基金预算财政拨款收入支出决算表</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十二、政府性基金预算财政拨款“三公”经费支出决算表</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十三、国有资本经营预算财政拨款收入支出决算表</w:t>
      </w:r>
    </w:p>
    <w:p>
      <w:pPr>
        <w:pStyle w:val="11"/>
        <w:adjustRightInd w:val="0"/>
        <w:snapToGrid w:val="0"/>
        <w:spacing w:line="500" w:lineRule="exact"/>
        <w:jc w:val="left"/>
        <w:rPr>
          <w:rFonts w:ascii="仿宋" w:hAnsi="仿宋" w:eastAsia="仿宋" w:cs="仿宋"/>
          <w:sz w:val="32"/>
          <w:szCs w:val="32"/>
        </w:rPr>
      </w:pPr>
      <w:r>
        <w:rPr>
          <w:rFonts w:hint="eastAsia" w:ascii="仿宋" w:hAnsi="仿宋" w:eastAsia="仿宋" w:cs="仿宋"/>
          <w:sz w:val="32"/>
          <w:szCs w:val="32"/>
        </w:rPr>
        <w:t>十四、国有资本经营预算财政拨款支出决算表</w:t>
      </w:r>
    </w:p>
    <w:p>
      <w:pPr>
        <w:rPr>
          <w:rFonts w:ascii="仿宋" w:hAnsi="仿宋" w:eastAsia="仿宋" w:cs="仿宋"/>
          <w:sz w:val="32"/>
          <w:szCs w:val="32"/>
        </w:rPr>
      </w:pPr>
      <w:r>
        <w:rPr>
          <w:rFonts w:hint="eastAsia" w:ascii="仿宋" w:hAnsi="仿宋" w:eastAsia="仿宋" w:cs="仿宋"/>
          <w:sz w:val="32"/>
          <w:szCs w:val="32"/>
        </w:rPr>
        <w:br w:type="page"/>
      </w:r>
    </w:p>
    <w:p>
      <w:pPr>
        <w:pStyle w:val="3"/>
        <w:snapToGrid w:val="0"/>
        <w:spacing w:before="0" w:after="0" w:line="560" w:lineRule="exact"/>
        <w:jc w:val="center"/>
        <w:rPr>
          <w:rStyle w:val="26"/>
          <w:rFonts w:ascii="方正小标宋简体" w:hAnsi="方正小标宋简体" w:eastAsia="方正小标宋简体" w:cs="方正小标宋简体"/>
          <w:b/>
          <w:bCs w:val="0"/>
        </w:rPr>
      </w:pPr>
      <w:bookmarkStart w:id="12" w:name="_Toc15377196"/>
      <w:bookmarkStart w:id="13" w:name="_Toc15396599"/>
      <w:r>
        <w:rPr>
          <w:rFonts w:hint="eastAsia" w:ascii="方正小标宋简体" w:hAnsi="方正小标宋简体" w:eastAsia="方正小标宋简体" w:cs="方正小标宋简体"/>
          <w:b w:val="0"/>
        </w:rPr>
        <w:t>第一部分 单位</w:t>
      </w:r>
      <w:r>
        <w:rPr>
          <w:rStyle w:val="26"/>
          <w:rFonts w:hint="eastAsia" w:ascii="方正小标宋简体" w:hAnsi="方正小标宋简体" w:eastAsia="方正小标宋简体" w:cs="方正小标宋简体"/>
          <w:b w:val="0"/>
          <w:bCs w:val="0"/>
        </w:rPr>
        <w:t>概况</w:t>
      </w:r>
      <w:bookmarkEnd w:id="12"/>
      <w:bookmarkEnd w:id="13"/>
    </w:p>
    <w:p>
      <w:pPr>
        <w:snapToGrid w:val="0"/>
        <w:spacing w:line="560" w:lineRule="exact"/>
        <w:ind w:firstLine="640" w:firstLineChars="200"/>
        <w:jc w:val="left"/>
        <w:rPr>
          <w:rFonts w:ascii="仿宋" w:hAnsi="仿宋" w:eastAsia="仿宋" w:cs="仿宋"/>
          <w:sz w:val="32"/>
          <w:szCs w:val="32"/>
        </w:rPr>
      </w:pPr>
    </w:p>
    <w:p>
      <w:pPr>
        <w:pStyle w:val="4"/>
        <w:snapToGrid w:val="0"/>
        <w:spacing w:before="0" w:after="0" w:line="540" w:lineRule="exact"/>
        <w:ind w:firstLine="640" w:firstLineChars="200"/>
        <w:rPr>
          <w:rFonts w:ascii="黑体" w:hAnsi="黑体" w:eastAsia="黑体" w:cs="黑体"/>
        </w:rPr>
      </w:pPr>
      <w:bookmarkStart w:id="14" w:name="_Toc15377197"/>
      <w:bookmarkStart w:id="15" w:name="_Toc15396600"/>
      <w:r>
        <w:rPr>
          <w:rStyle w:val="27"/>
          <w:rFonts w:hint="eastAsia" w:ascii="黑体" w:hAnsi="黑体" w:eastAsia="黑体" w:cs="黑体"/>
          <w:b w:val="0"/>
          <w:bCs w:val="0"/>
        </w:rPr>
        <w:t>一、职能简介、机构设置</w:t>
      </w:r>
    </w:p>
    <w:p>
      <w:pPr>
        <w:snapToGrid w:val="0"/>
        <w:spacing w:line="540" w:lineRule="exact"/>
        <w:ind w:firstLine="640" w:firstLineChars="200"/>
        <w:rPr>
          <w:rFonts w:eastAsia="仿宋"/>
        </w:rPr>
      </w:pPr>
      <w:r>
        <w:rPr>
          <w:rFonts w:hint="eastAsia" w:ascii="仿宋" w:hAnsi="仿宋" w:eastAsia="仿宋" w:cs="仿宋"/>
          <w:sz w:val="32"/>
          <w:szCs w:val="32"/>
        </w:rPr>
        <w:t>广元市利州区南街小学是一所普通全额拨款事业单位，位于广元市利州区老城嘉学巷20#，隶属广元市利州区教育局直接领导。为下属二级单位，学校财务由区财政统一预算，纳入国库集中支付管理范围。在教育主管部门和相关部门的指导下，本着“阳光·和谐·幸福”的核心办学理念，以培养“德才双馨、敬业乐教”的教师队伍，“品格高贵、智慧阳光”的学生为目标，努力把学校办成一所有温度、有品位、有灵魂的幸福学校。单位内设：校办公室、教务处、总务处、德育处、教科室、党务办公室、安办、教育工会、财务室九个部门。</w:t>
      </w:r>
    </w:p>
    <w:p>
      <w:pPr>
        <w:pStyle w:val="4"/>
        <w:snapToGrid w:val="0"/>
        <w:spacing w:before="0" w:after="0" w:line="540" w:lineRule="exact"/>
        <w:ind w:firstLine="640" w:firstLineChars="200"/>
        <w:rPr>
          <w:rStyle w:val="27"/>
          <w:rFonts w:ascii="黑体" w:hAnsi="黑体" w:eastAsia="黑体" w:cs="黑体"/>
          <w:b w:val="0"/>
          <w:bCs w:val="0"/>
        </w:rPr>
      </w:pPr>
      <w:r>
        <w:rPr>
          <w:rStyle w:val="27"/>
          <w:rFonts w:hint="eastAsia" w:ascii="黑体" w:hAnsi="黑体" w:eastAsia="黑体" w:cs="黑体"/>
          <w:b w:val="0"/>
          <w:bCs w:val="0"/>
        </w:rPr>
        <w:t>二、2022年重点工作</w:t>
      </w:r>
      <w:bookmarkEnd w:id="14"/>
      <w:bookmarkEnd w:id="15"/>
      <w:r>
        <w:rPr>
          <w:rStyle w:val="27"/>
          <w:rFonts w:hint="eastAsia" w:ascii="黑体" w:hAnsi="黑体" w:eastAsia="黑体" w:cs="黑体"/>
          <w:b w:val="0"/>
          <w:bCs w:val="0"/>
        </w:rPr>
        <w:t>完成情况</w:t>
      </w:r>
      <w:bookmarkStart w:id="16" w:name="_Toc15377204"/>
      <w:bookmarkStart w:id="17" w:name="_Toc15396602"/>
    </w:p>
    <w:p>
      <w:pPr>
        <w:spacing w:line="480" w:lineRule="exact"/>
        <w:ind w:left="560"/>
        <w:rPr>
          <w:rFonts w:ascii="黑体" w:hAnsi="黑体" w:eastAsia="黑体" w:cs="黑体"/>
          <w:sz w:val="28"/>
          <w:szCs w:val="28"/>
        </w:rPr>
      </w:pPr>
      <w:r>
        <w:rPr>
          <w:rFonts w:hint="eastAsia" w:ascii="黑体" w:hAnsi="黑体" w:eastAsia="黑体" w:cs="黑体"/>
          <w:sz w:val="28"/>
          <w:szCs w:val="28"/>
        </w:rPr>
        <w:t>（一）加强党建工作，夯实战斗堡垒</w:t>
      </w:r>
    </w:p>
    <w:p>
      <w:pPr>
        <w:pStyle w:val="2"/>
        <w:spacing w:before="93" w:line="480" w:lineRule="exact"/>
        <w:ind w:firstLine="560" w:firstLineChars="200"/>
        <w:rPr>
          <w:rFonts w:eastAsia="仿宋"/>
        </w:rPr>
      </w:pPr>
      <w:r>
        <w:rPr>
          <w:rFonts w:hint="eastAsia" w:ascii="仿宋" w:hAnsi="仿宋" w:eastAsia="仿宋" w:cs="仿宋"/>
          <w:sz w:val="28"/>
          <w:szCs w:val="28"/>
        </w:rPr>
        <w:t>以习近平新时代中国特色社会主义思想为指导，深入学习贯彻党的十九届历次全会精神和党的二十大精神，认真贯彻落实《关于建立中小学校党组织领导的校长负责制的意见(试行)〉责任分工清单》，有效发挥学校党组织领导作用，掌准高质量发展之舵。</w:t>
      </w:r>
      <w:r>
        <w:rPr>
          <w:rFonts w:hint="eastAsia" w:ascii="仿宋" w:hAnsi="仿宋" w:eastAsia="仿宋" w:cs="仿宋"/>
          <w:b/>
          <w:bCs/>
          <w:sz w:val="28"/>
          <w:szCs w:val="28"/>
        </w:rPr>
        <w:t>一是</w:t>
      </w:r>
      <w:r>
        <w:rPr>
          <w:rFonts w:hint="eastAsia" w:ascii="仿宋" w:hAnsi="仿宋" w:eastAsia="仿宋" w:cs="仿宋"/>
          <w:sz w:val="28"/>
          <w:szCs w:val="28"/>
        </w:rPr>
        <w:t>坚持政治引领，确保“把方向、管大局、促落实”领导作用有效发挥。召开党委会和党员大会，围绕学习雷锋精神、李化武同志先进事迹、习近平总书记在庆祝中国共青团成立100周年大会上的重要讲话精神、建党101周年、省第十二次党代会精神、习近平来川视察重要指示精神、党的二十大精神等主题展开学习讨论，传达相关会议精神，要求各党员把学习贯彻习近平总书记重要讲话精神及党的二十大精神与实际工作相结合，用实际工作成效实现党建和业务工作的双提升；</w:t>
      </w:r>
      <w:r>
        <w:rPr>
          <w:rFonts w:hint="eastAsia" w:ascii="仿宋" w:hAnsi="仿宋" w:eastAsia="仿宋" w:cs="仿宋"/>
          <w:b/>
          <w:bCs/>
          <w:sz w:val="28"/>
          <w:szCs w:val="28"/>
        </w:rPr>
        <w:t>二是</w:t>
      </w:r>
      <w:r>
        <w:rPr>
          <w:rFonts w:hint="eastAsia" w:ascii="仿宋" w:hAnsi="仿宋" w:eastAsia="仿宋" w:cs="仿宋"/>
          <w:sz w:val="28"/>
          <w:szCs w:val="28"/>
        </w:rPr>
        <w:t>组织讨论决定学校发展规划、重要改革、财务预决算和教学科研、招生录取、基本建设等方面的重大事项，以及涉及师生员工切身利益的重要问题；</w:t>
      </w:r>
      <w:r>
        <w:rPr>
          <w:rFonts w:hint="eastAsia" w:ascii="仿宋" w:hAnsi="仿宋" w:eastAsia="仿宋" w:cs="仿宋"/>
          <w:b/>
          <w:bCs/>
          <w:sz w:val="28"/>
          <w:szCs w:val="28"/>
        </w:rPr>
        <w:t>三是</w:t>
      </w:r>
      <w:r>
        <w:rPr>
          <w:rFonts w:hint="eastAsia" w:ascii="仿宋" w:hAnsi="仿宋" w:eastAsia="仿宋" w:cs="仿宋"/>
          <w:sz w:val="28"/>
          <w:szCs w:val="28"/>
        </w:rPr>
        <w:t>结合“红烛先锋”党建品牌创建，强化党的基础工作，党建与业务深度融合，夯实高质量发展之基。自去年10月新冠疫情再次反弹，学校党委积极响应号召，迅速成立了广元市利州区嘉陵街道南街小学疫情防控临时党支部，并组织党员教师及教师志愿者，向单位驻地所在社区和居住社区“双报到”。就近就地参与社区、小区疫情防控志愿服务共计千余人次，充分发挥了南小志愿者在基层党组织战斗堡垒和党员先锋模范作用。</w:t>
      </w:r>
      <w:r>
        <w:rPr>
          <w:rFonts w:hint="eastAsia" w:ascii="仿宋" w:hAnsi="仿宋" w:eastAsia="仿宋" w:cs="仿宋"/>
          <w:b/>
          <w:bCs/>
          <w:sz w:val="28"/>
          <w:szCs w:val="28"/>
        </w:rPr>
        <w:t>四是</w:t>
      </w:r>
      <w:r>
        <w:rPr>
          <w:rFonts w:hint="eastAsia" w:ascii="仿宋" w:hAnsi="仿宋" w:eastAsia="仿宋" w:cs="仿宋"/>
          <w:sz w:val="28"/>
          <w:szCs w:val="28"/>
        </w:rPr>
        <w:t>坚持立德树人、德育为先，做好思想政治工作和意识形态工作，开展社会主义核心价值观教育，加强学校文化和精神文明建设，推动形成良好校风教风学风及家风；</w:t>
      </w:r>
      <w:r>
        <w:rPr>
          <w:rFonts w:hint="eastAsia" w:ascii="仿宋" w:hAnsi="仿宋" w:eastAsia="仿宋" w:cs="仿宋"/>
          <w:b/>
          <w:bCs/>
          <w:sz w:val="28"/>
          <w:szCs w:val="28"/>
        </w:rPr>
        <w:t>五是</w:t>
      </w:r>
      <w:r>
        <w:rPr>
          <w:rFonts w:hint="eastAsia" w:ascii="仿宋" w:hAnsi="仿宋" w:eastAsia="仿宋" w:cs="仿宋"/>
          <w:sz w:val="28"/>
          <w:szCs w:val="28"/>
        </w:rPr>
        <w:t>领导学校党的纪律检查工作，落实党风廉政建设责任制，严格执行《中国共产党廉洁自律准则》《中国共产党纪律处分条例》等规定，加强对违纪违法问题的预防、监督和查处；</w:t>
      </w:r>
      <w:r>
        <w:rPr>
          <w:rFonts w:hint="eastAsia" w:ascii="仿宋" w:hAnsi="仿宋" w:eastAsia="仿宋" w:cs="仿宋"/>
          <w:b/>
          <w:bCs/>
          <w:sz w:val="28"/>
          <w:szCs w:val="28"/>
        </w:rPr>
        <w:t>六是</w:t>
      </w:r>
      <w:r>
        <w:rPr>
          <w:rFonts w:hint="eastAsia" w:ascii="仿宋" w:hAnsi="仿宋" w:eastAsia="仿宋" w:cs="仿宋"/>
          <w:sz w:val="28"/>
          <w:szCs w:val="28"/>
        </w:rPr>
        <w:t xml:space="preserve">领导工会、共青团、少先队等群团组织和教职工大会（代表大会），做好统一战线工作。 </w:t>
      </w:r>
    </w:p>
    <w:p>
      <w:pPr>
        <w:spacing w:line="480" w:lineRule="exact"/>
        <w:ind w:left="560"/>
        <w:rPr>
          <w:rFonts w:ascii="黑体" w:hAnsi="黑体" w:eastAsia="黑体" w:cs="黑体"/>
          <w:sz w:val="28"/>
          <w:szCs w:val="28"/>
        </w:rPr>
      </w:pPr>
      <w:r>
        <w:rPr>
          <w:rFonts w:hint="eastAsia" w:ascii="黑体" w:hAnsi="黑体" w:eastAsia="黑体" w:cs="黑体"/>
          <w:sz w:val="28"/>
          <w:szCs w:val="28"/>
        </w:rPr>
        <w:t>（二）加强队伍建设，培养优秀师资</w:t>
      </w:r>
    </w:p>
    <w:p>
      <w:pPr>
        <w:pStyle w:val="2"/>
        <w:spacing w:before="93" w:line="48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抓班子建设，提升管理服务水平。</w:t>
      </w:r>
    </w:p>
    <w:p>
      <w:pPr>
        <w:pStyle w:val="2"/>
        <w:spacing w:before="93" w:line="480" w:lineRule="exact"/>
        <w:ind w:firstLine="560" w:firstLineChars="200"/>
        <w:rPr>
          <w:rFonts w:ascii="仿宋" w:hAnsi="仿宋" w:eastAsia="仿宋" w:cs="仿宋"/>
          <w:sz w:val="28"/>
          <w:szCs w:val="28"/>
        </w:rPr>
      </w:pPr>
      <w:r>
        <w:rPr>
          <w:rFonts w:hint="eastAsia" w:ascii="仿宋" w:hAnsi="仿宋" w:eastAsia="仿宋" w:cs="仿宋"/>
          <w:sz w:val="28"/>
          <w:szCs w:val="28"/>
        </w:rPr>
        <w:t>遵循“党委会决策，教代会监督，部门落实，年级运作”的管理模式，实行各部门、年级组两条线管理，做到事事有人管，时时有人管，处处有人管，人人用心管。为全面提高素质教育水平，学校成立了质量检查小组，制定了检查方案，规范了教师的日常教育教学工作，用客观、全面、发展的眼光评价老师和学生。学校创新管理机制，积极推行“年级校长制”即“校级领导干部挂联年级制”，同时中层干部蹲点年级，落实好“挂好一个级、蹲好一个点，带好一门课”的目标任务。全体行政人员精诚团结，顾全大局，民主管理、开拓创新，从大处着眼，小处着手，参加教研活动，严格履行各自职责，勤学习、善管理、严考核，做到敢抓、敢管、敢负责。坚持行政值日制度和每周行政例会制度，并在行政例会上进行交流，实事求是地反映教师们在工作中存在的各种问题，行政人员针对问题商量对策，集思广益，及时采取措施解决问题，有效提升了管理人员的综合素质，促进了教师队伍整体水平的提高。</w:t>
      </w:r>
    </w:p>
    <w:p>
      <w:pPr>
        <w:spacing w:line="480" w:lineRule="exact"/>
        <w:rPr>
          <w:rFonts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w:t>
      </w:r>
      <w:r>
        <w:rPr>
          <w:rFonts w:hint="eastAsia" w:ascii="仿宋" w:hAnsi="仿宋" w:eastAsia="仿宋" w:cs="仿宋"/>
          <w:sz w:val="28"/>
          <w:szCs w:val="28"/>
        </w:rPr>
        <w:t>抓教师成长，提升教育教学能力。</w:t>
      </w:r>
    </w:p>
    <w:p>
      <w:pPr>
        <w:spacing w:line="480" w:lineRule="exact"/>
        <w:ind w:firstLine="560" w:firstLineChars="200"/>
      </w:pPr>
      <w:r>
        <w:rPr>
          <w:rFonts w:hint="eastAsia" w:ascii="仿宋" w:hAnsi="仿宋" w:eastAsia="仿宋" w:cs="仿宋"/>
          <w:sz w:val="28"/>
          <w:szCs w:val="28"/>
        </w:rPr>
        <w:t>学校发展，教师第一。教无止境，学海无涯。学校组织教职工参加了全员学习，重点以信息技术能力提升智慧2.0培训、网络研修、年级组学习、学科教研组新课标、新课程专题学习等方式不断提升教师学习意识，提升教育教学能力。</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学校参与了利州区陈一心基金会图书馆项目，组织教师积极参与各级研修活动。学校成立了利州区作协“皂荚树”文学社，以读书沙龙等方式，大力营造校内读书氛围，以读教育专业书籍，促进教师教学能力；读文学艺术书籍；优雅自我个性品质；读哲学历史书籍，涵蕴自我深度；撰写教学随笔、交流读书、学习经验，促进青年教师快速成长。学校编印师生文学作品《皂荚树》一集。</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202</w:t>
      </w:r>
      <w:r>
        <w:rPr>
          <w:rFonts w:ascii="仿宋" w:hAnsi="仿宋" w:eastAsia="仿宋" w:cs="仿宋"/>
          <w:sz w:val="28"/>
          <w:szCs w:val="28"/>
        </w:rPr>
        <w:t>2</w:t>
      </w:r>
      <w:r>
        <w:rPr>
          <w:rFonts w:hint="eastAsia" w:ascii="仿宋" w:hAnsi="仿宋" w:eastAsia="仿宋" w:cs="仿宋"/>
          <w:sz w:val="28"/>
          <w:szCs w:val="28"/>
        </w:rPr>
        <w:t>年，教师成长加速。教师执教区级以上各级竞赛课20节次，专题讲座12节次。其中，龙宝珠老师在四川省首届毒品预防教育师资大比武活动中获得三等奖；张颖所执教的灯戏歌曲《问答歌》，参加四川省第四届“唱家乡的歌”唱歌课微课评选，荣获省级二等奖；徐清波老师代表利州区教育局参加了市教育系统“喜迎二十大 永远跟党走”演讲比赛，并获得三等奖。2022年，我本人评为四川省第二届卓越校长，并领衔建立工作室，带领8名利州、青川、朝天的校长副校长一起开展教育教学管理实践研究。科研论文《“家校社”三心协同育人，构建良好教育生态》发表于《新时代校长治校之道》；《让戏剧教育焕发蓬勃生命力》发表于2022年07-08A《四川教育》。</w:t>
      </w:r>
    </w:p>
    <w:p>
      <w:pPr>
        <w:spacing w:line="480" w:lineRule="exact"/>
        <w:ind w:left="560"/>
        <w:rPr>
          <w:rFonts w:ascii="黑体" w:hAnsi="黑体" w:eastAsia="黑体" w:cs="黑体"/>
          <w:sz w:val="28"/>
          <w:szCs w:val="28"/>
        </w:rPr>
      </w:pPr>
      <w:r>
        <w:rPr>
          <w:rFonts w:hint="eastAsia" w:ascii="黑体" w:hAnsi="黑体" w:eastAsia="黑体" w:cs="黑体"/>
          <w:sz w:val="28"/>
          <w:szCs w:val="28"/>
        </w:rPr>
        <w:t xml:space="preserve">（三）加强德育工作，提升学生素养 </w:t>
      </w:r>
    </w:p>
    <w:p>
      <w:pPr>
        <w:pStyle w:val="2"/>
        <w:spacing w:before="93" w:line="480" w:lineRule="exact"/>
        <w:ind w:firstLine="560" w:firstLineChars="200"/>
        <w:rPr>
          <w:rFonts w:ascii="仿宋" w:hAnsi="仿宋" w:eastAsia="仿宋" w:cs="仿宋"/>
          <w:sz w:val="28"/>
          <w:szCs w:val="28"/>
        </w:rPr>
      </w:pPr>
      <w:r>
        <w:rPr>
          <w:rFonts w:ascii="仿宋" w:hAnsi="仿宋" w:eastAsia="仿宋" w:cs="仿宋"/>
          <w:sz w:val="28"/>
          <w:szCs w:val="28"/>
        </w:rPr>
        <w:t>学校始终把德育放在首位，重视学生的思想道德建设，把培养学生良好的道德品质、行为习惯、个性特长作为重点，以活动为载体，寓教于乐，潜移默化感染学生，让学生在活动中悟性发展，努力实现</w:t>
      </w:r>
      <w:r>
        <w:rPr>
          <w:rFonts w:hint="eastAsia" w:ascii="仿宋" w:hAnsi="仿宋" w:eastAsia="仿宋" w:cs="仿宋"/>
          <w:sz w:val="28"/>
          <w:szCs w:val="28"/>
        </w:rPr>
        <w:t>“品格高贵、智慧阳光”的</w:t>
      </w:r>
      <w:r>
        <w:rPr>
          <w:rFonts w:ascii="仿宋" w:hAnsi="仿宋" w:eastAsia="仿宋" w:cs="仿宋"/>
          <w:sz w:val="28"/>
          <w:szCs w:val="28"/>
        </w:rPr>
        <w:t>幸福学生培养目标。</w:t>
      </w:r>
    </w:p>
    <w:p>
      <w:pPr>
        <w:pStyle w:val="2"/>
        <w:spacing w:before="93" w:beforeLines="0" w:line="480" w:lineRule="exact"/>
        <w:ind w:firstLine="560" w:firstLineChars="200"/>
        <w:rPr>
          <w:rFonts w:ascii="仿宋" w:hAnsi="仿宋" w:eastAsia="仿宋" w:cs="仿宋"/>
          <w:sz w:val="28"/>
          <w:szCs w:val="28"/>
        </w:rPr>
      </w:pPr>
      <w:r>
        <w:rPr>
          <w:rFonts w:ascii="仿宋" w:hAnsi="仿宋" w:eastAsia="仿宋" w:cs="仿宋"/>
          <w:sz w:val="28"/>
          <w:szCs w:val="28"/>
        </w:rPr>
        <w:t>完善德育工作体系。以</w:t>
      </w:r>
      <w:r>
        <w:rPr>
          <w:rFonts w:hint="eastAsia" w:ascii="仿宋" w:hAnsi="仿宋" w:eastAsia="仿宋" w:cs="仿宋"/>
          <w:sz w:val="28"/>
          <w:szCs w:val="28"/>
        </w:rPr>
        <w:t>党委</w:t>
      </w:r>
      <w:r>
        <w:rPr>
          <w:rFonts w:ascii="仿宋" w:hAnsi="仿宋" w:eastAsia="仿宋" w:cs="仿宋"/>
          <w:sz w:val="28"/>
          <w:szCs w:val="28"/>
        </w:rPr>
        <w:t>书记、校长牵头，德育处、少先队、安办、宣传等部门各行其职，保证学校德育工作的有力开展。定期召开班主任例会，实行班级自主管理，形成个性鲜明而富有成效的管理模式；建立学生自主管理委员会，自小组-班级-年级-学校逐级成立自主管理委员会，严格培训，落实岗位，明确任务，参与管理，达到“行为自律”的目标。</w:t>
      </w:r>
    </w:p>
    <w:p>
      <w:pPr>
        <w:pStyle w:val="2"/>
        <w:spacing w:before="93" w:beforeLines="0" w:line="480" w:lineRule="exact"/>
        <w:ind w:firstLine="560" w:firstLineChars="200"/>
        <w:rPr>
          <w:rFonts w:ascii="仿宋" w:hAnsi="仿宋" w:eastAsia="仿宋" w:cs="仿宋"/>
          <w:sz w:val="28"/>
          <w:szCs w:val="28"/>
        </w:rPr>
      </w:pPr>
      <w:r>
        <w:rPr>
          <w:rFonts w:ascii="仿宋" w:hAnsi="仿宋" w:eastAsia="仿宋" w:cs="仿宋"/>
          <w:sz w:val="28"/>
          <w:szCs w:val="28"/>
        </w:rPr>
        <w:t>自主管理锻炼学生能力。以大队部牵头培训了学校自主管理委员会成员，“亮眼睛巡查队”和“自主管理大队委”，积极工作，认真监督，据实登记，公正评比，及时反馈校内外出现的各种现象，极大地促进了学校管理。根据工作要求，各班制定了班级自主管理实施方案、奖惩制度，成立了自主管理委员会，明确了学生工作岗位职责。一学期以来，通过学生自主管理班级事务，锻炼了学生自主管理能力，培养了学生高度的责任感和主人翁精神。各班形成了人人有事做，事事有人管的良好氛围。</w:t>
      </w:r>
    </w:p>
    <w:p>
      <w:pPr>
        <w:pStyle w:val="2"/>
        <w:spacing w:before="93" w:line="480" w:lineRule="exact"/>
        <w:ind w:firstLine="560" w:firstLineChars="200"/>
        <w:rPr>
          <w:rFonts w:ascii="仿宋" w:hAnsi="仿宋" w:eastAsia="仿宋" w:cs="仿宋"/>
          <w:sz w:val="28"/>
          <w:szCs w:val="28"/>
        </w:rPr>
      </w:pPr>
      <w:r>
        <w:rPr>
          <w:rFonts w:ascii="仿宋" w:hAnsi="仿宋" w:eastAsia="仿宋" w:cs="仿宋"/>
          <w:sz w:val="28"/>
          <w:szCs w:val="28"/>
        </w:rPr>
        <w:t>以“品格教育”为核心，强化学生常规养成教育。</w:t>
      </w:r>
      <w:r>
        <w:rPr>
          <w:rFonts w:hint="eastAsia" w:ascii="仿宋" w:hAnsi="仿宋" w:eastAsia="仿宋" w:cs="仿宋"/>
          <w:sz w:val="28"/>
          <w:szCs w:val="28"/>
        </w:rPr>
        <w:t>在《</w:t>
      </w:r>
      <w:r>
        <w:rPr>
          <w:rFonts w:ascii="仿宋" w:hAnsi="仿宋" w:eastAsia="仿宋" w:cs="仿宋"/>
          <w:sz w:val="28"/>
          <w:szCs w:val="28"/>
        </w:rPr>
        <w:t>以活动为载体的分段渐进式小学品格教育实践研究</w:t>
      </w:r>
      <w:r>
        <w:rPr>
          <w:rFonts w:hint="eastAsia" w:ascii="仿宋" w:hAnsi="仿宋" w:eastAsia="仿宋" w:cs="仿宋"/>
          <w:sz w:val="28"/>
          <w:szCs w:val="28"/>
        </w:rPr>
        <w:t>》课题研究方向和思路下，</w:t>
      </w:r>
      <w:r>
        <w:rPr>
          <w:rFonts w:ascii="仿宋" w:hAnsi="仿宋" w:eastAsia="仿宋" w:cs="仿宋"/>
          <w:sz w:val="28"/>
          <w:szCs w:val="28"/>
        </w:rPr>
        <w:t>实施开展“专注、有序、节俭、爱国、勤劳”品格教育，将“专注、有序、节俭、爱国、勤劳”品格渗透在每个孩子的学习和生活中。通过“品格银行”活动、“品格之星发布”活动</w:t>
      </w:r>
      <w:r>
        <w:rPr>
          <w:rFonts w:hint="eastAsia" w:ascii="仿宋" w:hAnsi="仿宋" w:eastAsia="仿宋" w:cs="仿宋"/>
          <w:sz w:val="28"/>
          <w:szCs w:val="28"/>
        </w:rPr>
        <w:t>、</w:t>
      </w:r>
      <w:r>
        <w:rPr>
          <w:rFonts w:ascii="仿宋" w:hAnsi="仿宋" w:eastAsia="仿宋" w:cs="仿宋"/>
          <w:sz w:val="28"/>
          <w:szCs w:val="28"/>
        </w:rPr>
        <w:t>国旗下讲话、每天大课间训练、红领巾广播站播音、以及各位班主任以身示范、开展品格教育班会课、社会实践活动等，并通过家校联动、家校互动、家校共育、“品格作业”，把品格教育不仅深入学校，甚至深入每个家庭。孩子们基本养成了做事有次序有条理以及专注的好习惯：集会纪律安静有序，物品摆放有序、做操上下楼梯有序、卫生用品摆放有序、学习专注有序，切切实实把品格教育落到了实处</w:t>
      </w:r>
      <w:r>
        <w:rPr>
          <w:rFonts w:hint="eastAsia" w:ascii="仿宋" w:hAnsi="仿宋" w:eastAsia="仿宋" w:cs="仿宋"/>
          <w:sz w:val="28"/>
          <w:szCs w:val="28"/>
        </w:rPr>
        <w:t>。在五校品格教育联教活动中，王水清老师的品格微课《巧安慰 暖人心》作为联教活动示范课，得到与会领导、老师的高度评价。学校课题组教师在参加四川省品格教育课例、论文的比赛中，共有10篇文章、课例获奖，其中一等奖2篇；二等奖4篇；优秀奖4篇。学校被四川省教育科学研究院评为四川省首批品格教育成果推广应用示范学校。（广元市唯一一所）。</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建立和完善“校园四节”、“一月一主题”的德育工作体系。</w:t>
      </w:r>
      <w:r>
        <w:rPr>
          <w:rFonts w:hint="eastAsia" w:ascii="仿宋" w:hAnsi="仿宋" w:eastAsia="仿宋" w:cs="仿宋"/>
          <w:b/>
          <w:bCs/>
          <w:sz w:val="28"/>
          <w:szCs w:val="28"/>
        </w:rPr>
        <w:t>一是</w:t>
      </w:r>
      <w:r>
        <w:rPr>
          <w:rFonts w:hint="eastAsia" w:ascii="仿宋" w:hAnsi="仿宋" w:eastAsia="仿宋" w:cs="仿宋"/>
          <w:sz w:val="28"/>
          <w:szCs w:val="28"/>
        </w:rPr>
        <w:t>有序开展一月一主题教育活动。2月24日，举行了“ 拼搏为梦想  一起向未来”南街小学春季开学典礼；4月2日，举行了“赓续红色血脉 传承优良品格”南街小学2021年春季“学党史”缅怀革命先烈主题教育活动；4月30日，举行了“劳动创造辉煌•品格成就未来”南街小学2022年“五.一”劳动节“学党史，弘扬劳模精神”主题教育活动；5月31日，举行了南街小学教育0集团2022年第十一届校园艺术节暨庆“六.一”文艺汇演；7月1日，举行了“师恩难忘  扬帆远航”南街小学2021届毕业典礼；9月5日，举行起航新征程 踔厉向未来——广元市利州区南街小学开学典礼暨教师节庆祝活动；9月30日，举行童心永向党 喜迎二十大|广元市利州区南街小学2022国庆节庆祝活动；11月10日举行抗“疫”进行时 呵护“心”健康——广元市利州区南街小学线上心理健康教育；12月17日，举行南街小学第十四周“疫”起待花开勇敢向未来线上主题升旗仪式。</w:t>
      </w:r>
      <w:r>
        <w:rPr>
          <w:rFonts w:hint="eastAsia" w:ascii="仿宋" w:hAnsi="仿宋" w:eastAsia="仿宋" w:cs="仿宋"/>
          <w:b/>
          <w:bCs/>
          <w:sz w:val="28"/>
          <w:szCs w:val="28"/>
        </w:rPr>
        <w:t>二是</w:t>
      </w:r>
      <w:r>
        <w:rPr>
          <w:rFonts w:hint="eastAsia" w:ascii="仿宋" w:hAnsi="仿宋" w:eastAsia="仿宋" w:cs="仿宋"/>
          <w:sz w:val="28"/>
          <w:szCs w:val="28"/>
        </w:rPr>
        <w:t>开展禁毒教育活动。学校贯彻落实各级禁毒、教育行政主管部门针对学校禁毒教育开展工作的安排、部署，高度重视大力营造良好的校园禁毒教育氛围。按照区教育局关于禁毒教育工作要求，认真开展禁毒教育相关活动；利用黑板报和橱窗进行禁毒知识专门宣传，时刻提醒广大学生增强对毒品危害的认识，千万不能去接触毒品；组织开展了禁毒教育活动。利用禁毒教育基地，丰富活动形式，加强禁毒教育。学校组织五、六年级各班在禁毒教育为基地开展参观、体验教育活动，通过游戏活动、学习毒品预防知识，让学生知毒、识毒，并懂得要珍爱生命拒绝毒品。</w:t>
      </w:r>
      <w:r>
        <w:rPr>
          <w:rFonts w:hint="eastAsia" w:ascii="仿宋" w:hAnsi="仿宋" w:eastAsia="仿宋" w:cs="仿宋"/>
          <w:b/>
          <w:bCs/>
          <w:sz w:val="28"/>
          <w:szCs w:val="28"/>
        </w:rPr>
        <w:t>三是</w:t>
      </w:r>
      <w:r>
        <w:rPr>
          <w:rFonts w:hint="eastAsia" w:ascii="仿宋" w:hAnsi="仿宋" w:eastAsia="仿宋" w:cs="仿宋"/>
          <w:sz w:val="28"/>
          <w:szCs w:val="28"/>
        </w:rPr>
        <w:t>积极开展学生校外研学实践活动。学校本学年春季组织开展了校外研学实践教育活动，全校2千多名学生分别组织到“四季绣”劳动、“复梦园”、“桃博园”劳动实践基地开展劳动实践活动，孩子们亲自动手种蔬菜，浇水培土，耕田，剥玉米、制作泡菜......通过研学实践活动，既开拓了学生的视野，又丰富了学生的课余生活，培养了学生的团队合作意识、劳动实践能力，让品格教育在实践中落地，让幸福教育在学生心中开花。</w:t>
      </w:r>
      <w:r>
        <w:rPr>
          <w:rFonts w:hint="eastAsia" w:ascii="仿宋" w:hAnsi="仿宋" w:eastAsia="仿宋" w:cs="仿宋"/>
          <w:b/>
          <w:bCs/>
          <w:sz w:val="28"/>
          <w:szCs w:val="28"/>
        </w:rPr>
        <w:t>四是</w:t>
      </w:r>
      <w:r>
        <w:rPr>
          <w:rFonts w:hint="eastAsia" w:ascii="仿宋" w:hAnsi="仿宋" w:eastAsia="仿宋" w:cs="仿宋"/>
          <w:sz w:val="28"/>
          <w:szCs w:val="28"/>
        </w:rPr>
        <w:t>困难学生资助，根据精准扶贫户学生人员名单，做好学生生活费退费、减免工作。班级其他学生根据家庭经济情况如若困难，可由家长书面申请、班主任调查核实签字、校长审批后，学校后勤处给予减免学生生活费。学校秉承人道、和谐、关爱之心，保障每一位贫困生生活无忧。一年来，共324人免保教费、生活补助共213850元，精准扶贫户免课后服务费60900元。</w:t>
      </w:r>
      <w:r>
        <w:rPr>
          <w:rFonts w:hint="eastAsia" w:ascii="仿宋" w:hAnsi="仿宋" w:eastAsia="仿宋" w:cs="仿宋"/>
          <w:b/>
          <w:bCs/>
          <w:sz w:val="28"/>
          <w:szCs w:val="28"/>
        </w:rPr>
        <w:t>五是</w:t>
      </w:r>
      <w:r>
        <w:rPr>
          <w:rFonts w:hint="eastAsia" w:ascii="仿宋" w:hAnsi="仿宋" w:eastAsia="仿宋" w:cs="仿宋"/>
          <w:sz w:val="28"/>
          <w:szCs w:val="28"/>
        </w:rPr>
        <w:t>建设文明校园，助力全国文明城市创建。在文明校园创建活动中，</w:t>
      </w:r>
      <w:r>
        <w:rPr>
          <w:rFonts w:ascii="仿宋" w:hAnsi="仿宋" w:eastAsia="仿宋" w:cs="仿宋"/>
          <w:sz w:val="28"/>
          <w:szCs w:val="28"/>
        </w:rPr>
        <w:t>开展了“创建文明城市 我们在行动”的主题升旗仪式</w:t>
      </w:r>
      <w:r>
        <w:rPr>
          <w:rFonts w:hint="eastAsia" w:ascii="仿宋" w:hAnsi="仿宋" w:eastAsia="仿宋" w:cs="仿宋"/>
          <w:sz w:val="28"/>
          <w:szCs w:val="28"/>
        </w:rPr>
        <w:t>、</w:t>
      </w:r>
      <w:r>
        <w:rPr>
          <w:rFonts w:ascii="仿宋" w:hAnsi="仿宋" w:eastAsia="仿宋" w:cs="仿宋"/>
          <w:sz w:val="28"/>
          <w:szCs w:val="28"/>
        </w:rPr>
        <w:t>“扣好人生第一粒扣子”主题教育实践活动；</w:t>
      </w:r>
      <w:r>
        <w:rPr>
          <w:rFonts w:hint="eastAsia" w:ascii="仿宋" w:hAnsi="仿宋" w:eastAsia="仿宋" w:cs="仿宋"/>
          <w:sz w:val="28"/>
          <w:szCs w:val="28"/>
        </w:rPr>
        <w:t>组织学生走进社区，关注社会文明发展，感受身边巨大的变化；组织学校志愿者开展志愿者服务活动，参加社区、街道义务劳动，。学校不断深化德育活动内涵，加强文明校园建设、加强活动阵地建设，开展形式多样的教育活动，提高学生文明素养。确立核心办学理念，彰显独特学校文化内涵。其中，在</w:t>
      </w:r>
      <w:r>
        <w:rPr>
          <w:rFonts w:ascii="仿宋" w:hAnsi="仿宋" w:eastAsia="仿宋" w:cs="仿宋"/>
          <w:sz w:val="28"/>
          <w:szCs w:val="28"/>
        </w:rPr>
        <w:t>“小手拉大手共建文明城”活动</w:t>
      </w:r>
      <w:r>
        <w:rPr>
          <w:rFonts w:hint="eastAsia" w:ascii="仿宋" w:hAnsi="仿宋" w:eastAsia="仿宋" w:cs="仿宋"/>
          <w:sz w:val="28"/>
          <w:szCs w:val="28"/>
        </w:rPr>
        <w:t>中</w:t>
      </w:r>
      <w:r>
        <w:rPr>
          <w:rFonts w:ascii="仿宋" w:hAnsi="仿宋" w:eastAsia="仿宋" w:cs="仿宋"/>
          <w:sz w:val="28"/>
          <w:szCs w:val="28"/>
        </w:rPr>
        <w:t>，学生与家长制作的优秀宣传视频共计16段，得到了上级教育主管部门肯定</w:t>
      </w:r>
      <w:r>
        <w:rPr>
          <w:rFonts w:hint="eastAsia" w:ascii="仿宋" w:hAnsi="仿宋" w:eastAsia="仿宋" w:cs="仿宋"/>
          <w:sz w:val="28"/>
          <w:szCs w:val="28"/>
        </w:rPr>
        <w:t>和社会的好评</w:t>
      </w:r>
      <w:r>
        <w:rPr>
          <w:rFonts w:ascii="仿宋" w:hAnsi="仿宋" w:eastAsia="仿宋" w:cs="仿宋"/>
          <w:sz w:val="28"/>
          <w:szCs w:val="28"/>
        </w:rPr>
        <w:t>。</w:t>
      </w:r>
      <w:r>
        <w:rPr>
          <w:rFonts w:hint="eastAsia" w:ascii="仿宋" w:hAnsi="仿宋" w:eastAsia="仿宋" w:cs="仿宋"/>
          <w:sz w:val="28"/>
          <w:szCs w:val="28"/>
        </w:rPr>
        <w:t>学校在实践中不断总结，探寻到了德育、特色教育之路，逐步形成了“阳光、和谐、幸福”的教育核心理念，“以特色建校，以质量兴校”成为全校师生的共识，师生之间情感融洽——尊师爱生、平等相处、教学相长、密切合作；同学之间亲近友爱——团结互助、相互理解、互勉互励，学校认真总结提炼学校百余年承继的优良传统，紧密结合时代精神，不断丰富学校“阳光、和谐、幸福”精神内涵。2022年，我校被评为广元市文明校园。2022年7月，原广元市市委书记邹自景一行调研我校文明城市创建工作，并对学校创建工作给予好评。</w:t>
      </w:r>
    </w:p>
    <w:p>
      <w:pPr>
        <w:spacing w:line="480" w:lineRule="exact"/>
        <w:ind w:firstLine="560" w:firstLineChars="200"/>
        <w:rPr>
          <w:rFonts w:ascii="黑体" w:hAnsi="黑体" w:eastAsia="黑体" w:cs="黑体"/>
          <w:sz w:val="28"/>
          <w:szCs w:val="28"/>
        </w:rPr>
      </w:pPr>
      <w:r>
        <w:rPr>
          <w:rFonts w:hint="eastAsia" w:ascii="黑体" w:hAnsi="黑体" w:eastAsia="黑体" w:cs="黑体"/>
          <w:sz w:val="28"/>
          <w:szCs w:val="28"/>
        </w:rPr>
        <w:t>（四）加强教学管理，提升教育质量</w:t>
      </w:r>
    </w:p>
    <w:p>
      <w:pPr>
        <w:pStyle w:val="2"/>
        <w:spacing w:before="93" w:line="480" w:lineRule="exact"/>
        <w:ind w:firstLine="560" w:firstLineChars="200"/>
        <w:rPr>
          <w:rFonts w:ascii="仿宋" w:hAnsi="仿宋" w:eastAsia="仿宋" w:cs="仿宋"/>
          <w:sz w:val="28"/>
          <w:szCs w:val="28"/>
        </w:rPr>
      </w:pPr>
      <w:r>
        <w:rPr>
          <w:rFonts w:hint="eastAsia" w:ascii="仿宋" w:hAnsi="仿宋" w:eastAsia="仿宋" w:cs="仿宋"/>
          <w:sz w:val="28"/>
          <w:szCs w:val="28"/>
        </w:rPr>
        <w:t>教育教学质量是学校发展的生命线,是社会衡量学校优劣的重要标志,提升教育教学质量是每一所学校的追求,是学校管理的根本任务。一年来全校教师以提高教学质量为工作目标，全身心投入教育教学工作，确保了学校教育教学秩序的正常和教学质量的稳步提升。</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1.规范课程设置，确保课程实施。</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严格按规定开齐上足课程，有秩序安排教育教学工作，不随意停课、调课，认真上好音、体、美课程，开齐地方课程。认真做好“两操”，认真组织运动会。同时组建了乒乓球、篮球、足球、田径、绘画、手工、书法、舞蹈、合唱、校本剧、葫芦丝、围棋、计算机、科教制作等十多个社团，每天下午定时组织学生按照自己的兴趣和特长开展活动，促进学生全面发展和个性发展。</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2.重视双基目标，规范学籍招生。</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依法保证义务教育阶段学生免试入学，严格各类招生政策，均衡规范编班。积极探索阳光体育活动，精心组织大课间活动，引导师生积极参加锻炼，强健体魄。学校根据“双基”工作的精神要求，加强了过程性工作中的素材收集，加强了常规工作中的资料积累，建立、完善了教学信息登记。进一步完善学生学籍管理工作，做到了学生的来源动向明了清楚，让管理工作有据可依、有据可查。“双基”续档工作坚持做到“三清”，即：项项清、人人清、期期清。加强资料建设工作，规范、完善学校的各类教学资料，加强对过程资料的收纳、整理工作。</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3.规范月检制度，强化过程指导。</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坚持“一月一重点”检查制度。采取随机抽查与定期检查相结合，每月月底定期检查教师备课和学生作业情况，并做到每次检查有记载、有等级、有反馈。</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4.关注政策文件，创新检测形式。</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双减”和“五项管理”政策的出台，迫使我们加强教学质量的管理研究，本学年，我们重点加强了六年级的平时教学质量反馈研究和一二年级的学科素养综合考察研究。通过教师会、学科组长会、年级组长会，经过多次研究商榷，确定了以“平时作业+特色作业+面试”的反馈形式，通过培训学生考官、老师组长、学生考官考察面试，顺利完成了对学生的学科素养的综合考察，取得良好效果。</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5.抓实校本研究，规范作业管理。</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展“作业设计研究”案例研究，是让“双减”和“五项管理”落地生根，是促进教师专业发展的途径之一。基本形成了学科作业设计的框架。语文学科：口语表达型、观察积累型、动手操作型、收集整理型、发现探究型、劳动服务型等；数学学科：数与运算型、发现探究型、动手操作型、问题解决型、实践应用型、收集整理型、综合主题型等。教师据此设计相应具体作业内容，并有计划地规划到每一天。</w:t>
      </w:r>
    </w:p>
    <w:p>
      <w:pPr>
        <w:pStyle w:val="2"/>
        <w:spacing w:before="93" w:line="480" w:lineRule="exact"/>
        <w:ind w:firstLine="560" w:firstLineChars="200"/>
        <w:rPr>
          <w:rFonts w:ascii="仿宋" w:hAnsi="仿宋" w:eastAsia="仿宋" w:cs="仿宋"/>
          <w:sz w:val="28"/>
          <w:szCs w:val="28"/>
        </w:rPr>
      </w:pPr>
      <w:r>
        <w:rPr>
          <w:rFonts w:hint="eastAsia" w:ascii="仿宋" w:hAnsi="仿宋" w:eastAsia="仿宋" w:cs="仿宋"/>
          <w:sz w:val="28"/>
          <w:szCs w:val="28"/>
        </w:rPr>
        <w:t>6</w:t>
      </w:r>
      <w:r>
        <w:rPr>
          <w:rFonts w:ascii="仿宋" w:hAnsi="仿宋" w:eastAsia="仿宋" w:cs="仿宋"/>
          <w:sz w:val="28"/>
          <w:szCs w:val="28"/>
        </w:rPr>
        <w:t>.</w:t>
      </w:r>
      <w:r>
        <w:rPr>
          <w:rFonts w:hint="eastAsia" w:ascii="仿宋" w:hAnsi="仿宋" w:eastAsia="仿宋" w:cs="仿宋"/>
          <w:sz w:val="28"/>
          <w:szCs w:val="28"/>
        </w:rPr>
        <w:t>线上教学活动，精彩纷呈。</w:t>
      </w:r>
    </w:p>
    <w:p>
      <w:pPr>
        <w:pStyle w:val="2"/>
        <w:spacing w:before="93" w:line="480" w:lineRule="exact"/>
        <w:ind w:firstLine="560" w:firstLineChars="200"/>
        <w:rPr>
          <w:rFonts w:ascii="仿宋" w:hAnsi="仿宋" w:eastAsia="仿宋" w:cs="仿宋"/>
          <w:sz w:val="28"/>
          <w:szCs w:val="28"/>
        </w:rPr>
      </w:pPr>
      <w:r>
        <w:rPr>
          <w:rFonts w:hint="eastAsia" w:ascii="仿宋" w:hAnsi="仿宋" w:eastAsia="仿宋" w:cs="仿宋"/>
          <w:sz w:val="28"/>
          <w:szCs w:val="28"/>
        </w:rPr>
        <w:t>本学年，线上活动精彩纷呈，线上特色作业展评，“秋日宅家，阅读相伴”“玩转拼音，‘疫’样精彩”“小器具 大智慧”等总结报道共21期；线上教学、线上教研、线上培训等累计报道30余次。线上教学55天时间里，通过行政随堂听课，老师们大课小课相结合的形式，圆满的完成了教学任务，在这5</w:t>
      </w:r>
      <w:r>
        <w:rPr>
          <w:rFonts w:ascii="仿宋" w:hAnsi="仿宋" w:eastAsia="仿宋" w:cs="仿宋"/>
          <w:sz w:val="28"/>
          <w:szCs w:val="28"/>
        </w:rPr>
        <w:t>5</w:t>
      </w:r>
      <w:r>
        <w:rPr>
          <w:rFonts w:hint="eastAsia" w:ascii="仿宋" w:hAnsi="仿宋" w:eastAsia="仿宋" w:cs="仿宋"/>
          <w:sz w:val="28"/>
          <w:szCs w:val="28"/>
        </w:rPr>
        <w:t>天里，老师们作业批改无数，受到了家长和社会的大力赞扬。</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.规范实验教学，严格图书管理。</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加强科学实验教学的开展，学科教师能按时开出实验通知单，认真组织学生实验，填好实验登记簿，实验教师按时准备好相关器材并认真协助和辅导实验，及时填写实验室使用记载册。使我校的实验教学演示实验开出率、分组实验开出率均达95%以上。</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学校图书室为推进图书资源高效利用，采用图书漂流的形式，使图书发挥了最大化的效应。同时采取学生集体阅览的开放方式（ 一年级阅览时间：单周二下午；二年级阅览时间：双周二下午； 三年级阅览时间：单周三下午； 四年级阅览时间：双周三下午；五年级阅览时间：单周四下午；六年级阅览时间：双周四下午）。图书集体和个人借阅总量达到20000余人次；图书室还严格按照上级文件要求做好循环教材的登记、管理和回收工作，所有循环教材完好回收率达98.8%，保障和促进了学校的教育教学工作。</w:t>
      </w:r>
    </w:p>
    <w:p>
      <w:pPr>
        <w:spacing w:line="480" w:lineRule="exact"/>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.用好设施设备，发挥现代技术功能。</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是加强了信息技术教学管理，按规定开足开齐了各年级的信息技术课，配备了专职教师。信息技术开课率100%，上机率100%。授课教师刻苦钻研技术，认真备课、上课，基本按授课内容和要求辅导学生上机操作。学生通过学习、练习，基本掌握了计算机的相关知识和操作技能。</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是积极使用现代教学手段，充分发挥技装职能作用，利用信息技术教育在教师中开展了应用技术培训。各种公开课、汇报课、展示课，教师都能使用自己制作课件或整合后的远程教育课件上课，各教室班班通设备得到了充分利用。组织教师通过四川省信息技术应用能力提升工程2.0培训，其中陈俊秀老师和王薪东老师被评为省优秀学员。</w:t>
      </w:r>
    </w:p>
    <w:p>
      <w:pPr>
        <w:spacing w:line="480" w:lineRule="exact"/>
        <w:ind w:firstLine="560" w:firstLineChars="200"/>
        <w:rPr>
          <w:rFonts w:ascii="黑体" w:hAnsi="黑体" w:eastAsia="黑体" w:cs="黑体"/>
          <w:sz w:val="28"/>
          <w:szCs w:val="28"/>
        </w:rPr>
      </w:pPr>
      <w:r>
        <w:rPr>
          <w:rFonts w:hint="eastAsia" w:ascii="黑体" w:hAnsi="黑体" w:eastAsia="黑体" w:cs="黑体"/>
          <w:sz w:val="28"/>
          <w:szCs w:val="28"/>
        </w:rPr>
        <w:t>（五）加强安全管理，建设平安校园</w:t>
      </w:r>
    </w:p>
    <w:p>
      <w:pPr>
        <w:spacing w:line="480" w:lineRule="exact"/>
        <w:ind w:firstLine="560" w:firstLineChars="200"/>
      </w:pPr>
      <w:r>
        <w:rPr>
          <w:rFonts w:hint="eastAsia" w:ascii="华文仿宋" w:hAnsi="华文仿宋" w:eastAsia="华文仿宋"/>
          <w:sz w:val="28"/>
          <w:szCs w:val="28"/>
        </w:rPr>
        <w:t>学校是人群密集的场所,确保师生生命安全，确保学校财产安全责任重于泰山，安全工作防范胜于救灾，只有把安全隐患彻底消灭于萌芽状态，才能避免安全事故的发生。一年来，学校全面落实师生安全责任制，全年无安全事故，校园平安。</w:t>
      </w:r>
    </w:p>
    <w:p>
      <w:pPr>
        <w:pStyle w:val="2"/>
        <w:spacing w:before="93" w:line="480" w:lineRule="exact"/>
        <w:ind w:firstLine="561" w:firstLineChars="200"/>
        <w:rPr>
          <w:rFonts w:ascii="华文仿宋" w:hAnsi="华文仿宋" w:eastAsia="华文仿宋"/>
          <w:sz w:val="28"/>
          <w:szCs w:val="28"/>
        </w:rPr>
      </w:pPr>
      <w:r>
        <w:rPr>
          <w:rFonts w:hint="eastAsia" w:ascii="华文仿宋" w:hAnsi="华文仿宋" w:eastAsia="华文仿宋"/>
          <w:b/>
          <w:bCs/>
          <w:sz w:val="28"/>
          <w:szCs w:val="28"/>
        </w:rPr>
        <w:t>一是加强组织领导，落实安全责任制。</w:t>
      </w:r>
      <w:r>
        <w:rPr>
          <w:rFonts w:hint="eastAsia" w:ascii="华文仿宋" w:hAnsi="华文仿宋" w:eastAsia="华文仿宋"/>
          <w:sz w:val="28"/>
          <w:szCs w:val="28"/>
        </w:rPr>
        <w:t>以提高安全意识为主线，建立和健全了学校安全领导小组，强化层层管理。坚持做到安全工作校长亲自抓，分管领导重点抓，班主任具体抓的管理机制。学校制定了《南街小学安全管理制度》，从班级到学科组到学校层层负责，级级签定安全工作责任书，做到管理到位，制度落实，人员保证。学期初，校长与教职员工签订了《教学活动安全责任书》，班主任与家长签订了《防溺水责任书》等，层层落实、责任到人。定期全面展开校园安全隐患排查，对查出的安全问题，坚持“谁主管，谁负责；谁检查，谁负责；谁验收，谁负责”的原则，限期整改。</w:t>
      </w:r>
    </w:p>
    <w:p>
      <w:pPr>
        <w:pStyle w:val="2"/>
        <w:spacing w:before="93" w:line="480" w:lineRule="exact"/>
        <w:ind w:firstLine="561" w:firstLineChars="200"/>
        <w:rPr>
          <w:rFonts w:ascii="华文仿宋" w:hAnsi="华文仿宋" w:eastAsia="华文仿宋"/>
          <w:sz w:val="28"/>
          <w:szCs w:val="28"/>
        </w:rPr>
      </w:pPr>
      <w:r>
        <w:rPr>
          <w:rFonts w:hint="eastAsia" w:ascii="华文仿宋" w:hAnsi="华文仿宋" w:eastAsia="华文仿宋"/>
          <w:b/>
          <w:bCs/>
          <w:sz w:val="28"/>
          <w:szCs w:val="28"/>
        </w:rPr>
        <w:t>二是开展经常性的安全学习、宣传教育活动。</w:t>
      </w:r>
      <w:r>
        <w:rPr>
          <w:rFonts w:hint="eastAsia" w:ascii="华文仿宋" w:hAnsi="华文仿宋" w:eastAsia="华文仿宋"/>
          <w:sz w:val="28"/>
          <w:szCs w:val="28"/>
        </w:rPr>
        <w:t>把安全工作作为学校日常的重点工作，寓安全教育于活动中，加强安全教育，提高安全意识，养成安全习惯。通过“开学安全第一课综合教育”、“交通安全、消防安全、防溺水防雷电、食品卫生、节前假期、法制安全” 落实“广元市学校安全教育平台”网的激活和操作使用、“铁路护路知识专题教育”等教育活动，强化了师生的安全防护意识；通过校园安全隐患排查、完善《学生因病缺勤追查与登记制度》、完善学校应急预案体系紧急逃生避险演练提升了应急处置能力。对校内易发事故类型、重点部位保护、工作薄弱环节、各类人员安全意识与安全技能等方面，开展深入全面的大排查，消除隐患，有针对地扎实地开展教育和防范工作。利用学校全彩LED显示屏、广播系统、黑板报、橱窗等加大宣传力度，举行“扫黑除恶专项斗争工作会”为主题宣讲活动，通过主题班会、专题讲座、安全征文与知识竞赛等形式开展丰富多彩的安全教育。积极推行开学初、放假前、节假日安全提醒，利用周五放学集合和周一升旗仪式分别对安全工作进行小结和提示。适时发放《致家长的一封信》，开展避灾逃生紧急疏散演练、防爆反恐以及紧急逃生演练，让全校师生亲自体验安全的重要性，珍惜生命。在全体教职工的共同努力下，我校无一例责任事故，呈现一片平安、和谐的景象。</w:t>
      </w:r>
    </w:p>
    <w:p>
      <w:pPr>
        <w:spacing w:line="480" w:lineRule="exact"/>
        <w:ind w:firstLine="561" w:firstLineChars="200"/>
        <w:rPr>
          <w:rFonts w:ascii="华文仿宋" w:hAnsi="华文仿宋" w:eastAsia="华文仿宋"/>
          <w:sz w:val="28"/>
          <w:szCs w:val="28"/>
        </w:rPr>
      </w:pPr>
      <w:r>
        <w:rPr>
          <w:rFonts w:hint="eastAsia" w:ascii="华文仿宋" w:hAnsi="华文仿宋" w:eastAsia="华文仿宋"/>
          <w:b/>
          <w:bCs/>
          <w:sz w:val="28"/>
          <w:szCs w:val="28"/>
        </w:rPr>
        <w:t>三是扎实做好疫情防控工作。</w:t>
      </w:r>
      <w:r>
        <w:rPr>
          <w:rFonts w:hint="eastAsia" w:ascii="华文仿宋" w:hAnsi="华文仿宋" w:eastAsia="华文仿宋"/>
          <w:sz w:val="28"/>
          <w:szCs w:val="28"/>
        </w:rPr>
        <w:t>建立学校、班级、师生、家长四级防控工作联系网络；制定和完善《南街小学突发公共卫生事件应急预案》《南街小学防控新冠肺炎疫情工作方案》;《南街小学传染病疫情及突发公共卫生事件的报告制度》；</w:t>
      </w:r>
      <w:r>
        <w:rPr>
          <w:rFonts w:hint="eastAsia" w:ascii="仿宋" w:hAnsi="仿宋" w:eastAsia="仿宋" w:cs="仿宋"/>
          <w:sz w:val="28"/>
          <w:szCs w:val="28"/>
        </w:rPr>
        <w:t>每天通过微信群、小程序等方法对师生早晚体温情况登记，确保学生身体健康。密切核查来自重点疫区的人员情况及有疑似症状的师生情况，并采取相应措施，严防病源进入校园，把好师生入校关。及时转发通知，报送信息实行“日报告、零报告”制度。</w:t>
      </w:r>
    </w:p>
    <w:p>
      <w:pPr>
        <w:pStyle w:val="2"/>
        <w:spacing w:before="93" w:line="480" w:lineRule="exact"/>
        <w:ind w:firstLine="561" w:firstLineChars="200"/>
        <w:rPr>
          <w:rFonts w:ascii="华文仿宋" w:hAnsi="华文仿宋" w:eastAsia="华文仿宋"/>
          <w:sz w:val="28"/>
          <w:szCs w:val="28"/>
        </w:rPr>
      </w:pPr>
      <w:r>
        <w:rPr>
          <w:rFonts w:hint="eastAsia" w:ascii="华文仿宋" w:hAnsi="华文仿宋" w:eastAsia="华文仿宋"/>
          <w:b/>
          <w:bCs/>
          <w:sz w:val="28"/>
          <w:szCs w:val="28"/>
        </w:rPr>
        <w:t>四是加强学校周边交通管理。</w:t>
      </w:r>
      <w:r>
        <w:rPr>
          <w:rFonts w:hint="eastAsia" w:ascii="华文仿宋" w:hAnsi="华文仿宋" w:eastAsia="华文仿宋"/>
          <w:sz w:val="28"/>
          <w:szCs w:val="28"/>
        </w:rPr>
        <w:t>我校在城市中心地带，针对学生上学和放学时间车辆多的现状，安排值日教师在校门口值勤检查和周一至周五下午放学时段护送一年级学生过马路，及时发现和排除一切安全隐患，使学生进出学校安全畅通。要求家长配合学校做好学生的安全教育，做到交通安全警钟常鸣，杜绝意外伤亡事故的发生，确保师生生命安全。</w:t>
      </w:r>
    </w:p>
    <w:p>
      <w:pPr>
        <w:pStyle w:val="2"/>
        <w:spacing w:before="93" w:line="480" w:lineRule="exact"/>
        <w:ind w:firstLine="561" w:firstLineChars="200"/>
        <w:rPr>
          <w:rFonts w:ascii="华文仿宋" w:hAnsi="华文仿宋" w:eastAsia="华文仿宋"/>
          <w:sz w:val="28"/>
          <w:szCs w:val="28"/>
        </w:rPr>
      </w:pPr>
      <w:r>
        <w:rPr>
          <w:rFonts w:hint="eastAsia" w:ascii="华文仿宋" w:hAnsi="华文仿宋" w:eastAsia="华文仿宋"/>
          <w:b/>
          <w:bCs/>
          <w:sz w:val="28"/>
          <w:szCs w:val="28"/>
        </w:rPr>
        <w:t>五是加强协作，共建平安校园。</w:t>
      </w:r>
      <w:r>
        <w:rPr>
          <w:rFonts w:hint="eastAsia" w:ascii="华文仿宋" w:hAnsi="华文仿宋" w:eastAsia="华文仿宋"/>
          <w:sz w:val="28"/>
          <w:szCs w:val="28"/>
        </w:rPr>
        <w:t>学校积极、主动构建起了同利州区特警大队、嘉陵派出所的平安校园共建立体网络。派出所干警、利州区特警干警经常到学校巡逻，了解校园周边综合治理情况，帮助学校搞好校园周边环境的治安工作，净化学校周边环境。通过上述工作，校园师生的工作、学习、生活环境得到了有力的保障。</w:t>
      </w:r>
    </w:p>
    <w:p>
      <w:pPr>
        <w:spacing w:line="480" w:lineRule="exact"/>
        <w:ind w:left="420" w:leftChars="200"/>
      </w:pPr>
      <w:r>
        <w:rPr>
          <w:rFonts w:hint="eastAsia" w:ascii="黑体" w:hAnsi="黑体" w:eastAsia="黑体" w:cs="黑体"/>
          <w:sz w:val="28"/>
          <w:szCs w:val="28"/>
        </w:rPr>
        <w:t>（六）落实后勤保障，提升服务质量</w:t>
      </w:r>
    </w:p>
    <w:p>
      <w:pPr>
        <w:pStyle w:val="2"/>
        <w:spacing w:before="93"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一是强化领导责任。学校实行书记、校长负责制。</w:t>
      </w:r>
      <w:r>
        <w:rPr>
          <w:rFonts w:hint="eastAsia" w:ascii="仿宋" w:hAnsi="仿宋" w:eastAsia="仿宋" w:cs="仿宋"/>
          <w:sz w:val="28"/>
          <w:szCs w:val="28"/>
        </w:rPr>
        <w:t>建立健全并落实食品安全管理制度。构建食品安全工作网络。学校成立了以书记、校长为组长，分管副校长为副组长，行政领导为成员的食品安全工作领导小组，下设总务处为办公室，具体负责食品安全的日常管理工作。并配备兼职食品安全管理员。为学校食品安全管理工作有序开展，提供了强有力的组织保证。</w:t>
      </w:r>
    </w:p>
    <w:p>
      <w:pPr>
        <w:pStyle w:val="2"/>
        <w:spacing w:before="93"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二是规范食堂管理，狠抓设施建设。</w:t>
      </w:r>
      <w:r>
        <w:rPr>
          <w:rFonts w:hint="eastAsia" w:ascii="仿宋" w:hAnsi="仿宋" w:eastAsia="仿宋" w:cs="仿宋"/>
          <w:sz w:val="28"/>
          <w:szCs w:val="28"/>
        </w:rPr>
        <w:t>根据《中华人民共和国食品卫生法》《学校卫生工作条例》《学校食堂与集体用餐卫生管理的规定》等法律法规的要求，以及广元市利州区食药局、教育局相关要求、精神，结合学校食品卫生安全工作的特点，我们制定和完善了符合本校实际的各种食品卫生安全管理规章制度和工作职责，学校还层层签订《学校安全工作责任书》，严把食品安全关。建立食材索源机制，规范采购。始终坚持对供货商的《食品卫生许可证》《工商行政管理登记证》《健康证》《税务登记证》《质检报告》等进行严格审查。大宗商品的采购，实行“集体考察，集体定点，集体定价”的采购机制，对小宗商品及蔬菜的采购由伙食团长采买，通过阳光采购，从源头上堵住了不合格食品流入学校。</w:t>
      </w:r>
    </w:p>
    <w:p>
      <w:pPr>
        <w:pStyle w:val="2"/>
        <w:spacing w:before="93"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三是加强培训教育，不断完善学校食品安全管理体系。</w:t>
      </w:r>
      <w:r>
        <w:rPr>
          <w:rFonts w:hint="eastAsia" w:ascii="仿宋" w:hAnsi="仿宋" w:eastAsia="仿宋" w:cs="仿宋"/>
          <w:sz w:val="28"/>
          <w:szCs w:val="28"/>
        </w:rPr>
        <w:t>加强对后勤人员的思想教育，定期培训，持证上岗，业务培训、技能操作培训。形成日常管理精细化，业务技能专业化，学习培训常态化。通过主题班会、主题升旗仪式、手抄报竞赛，LED宣传、专题宣传栏等多种形式对全体师生进行食品安全教育，强化食品安全意识。</w:t>
      </w:r>
    </w:p>
    <w:p>
      <w:pPr>
        <w:pStyle w:val="2"/>
        <w:spacing w:before="93"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四是强化督导检查，执行好领导、教师陪餐制度。</w:t>
      </w:r>
      <w:r>
        <w:rPr>
          <w:rFonts w:hint="eastAsia" w:ascii="仿宋" w:hAnsi="仿宋" w:eastAsia="仿宋" w:cs="仿宋"/>
          <w:sz w:val="28"/>
          <w:szCs w:val="28"/>
        </w:rPr>
        <w:t>展开学校后勤生活服务质量和食品安全问题调查。每天早中餐时间，学校每个班除了语、数、科任教师负责分餐陪餐外，每天都有学校校级领导进行陪餐，与学生同吃一锅饭，及时了解掌握食堂饭菜质量、掌握学生就餐情况，对食堂有了更进一步的监督管理，有利于着力改善伙食质量，加强对食堂食品安全督导检查共同排查食品安全隐患。总务处每天按时试尝，并对学生两餐情况及教师服务进行检查和督促，及时督促整改检查中发现的问题，有效防控食品安全风险。</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五是精打细算，模范执行财务规章制度。</w:t>
      </w:r>
      <w:r>
        <w:rPr>
          <w:rFonts w:hint="eastAsia" w:ascii="仿宋" w:hAnsi="仿宋" w:eastAsia="仿宋" w:cs="仿宋"/>
          <w:sz w:val="28"/>
          <w:szCs w:val="28"/>
        </w:rPr>
        <w:t>财务工作人员定期参加培训，持证上岗，业务素质得到提高。严格执行经费预决算机制，节约每一分钱，用于教育教学，保证学校正常工作运转。严格财经纪律，定期公布财务开支情况。</w:t>
      </w:r>
    </w:p>
    <w:p>
      <w:pPr>
        <w:pStyle w:val="2"/>
        <w:spacing w:before="93" w:line="480" w:lineRule="exact"/>
        <w:ind w:firstLine="560" w:firstLineChars="200"/>
        <w:rPr>
          <w:rFonts w:ascii="黑体" w:hAnsi="黑体" w:eastAsia="黑体" w:cs="黑体"/>
          <w:sz w:val="28"/>
          <w:szCs w:val="28"/>
        </w:rPr>
      </w:pPr>
      <w:r>
        <w:rPr>
          <w:rFonts w:hint="eastAsia" w:ascii="黑体" w:hAnsi="黑体" w:eastAsia="黑体" w:cs="黑体"/>
          <w:sz w:val="28"/>
          <w:szCs w:val="28"/>
        </w:rPr>
        <w:t>（七）</w:t>
      </w:r>
      <w:r>
        <w:rPr>
          <w:rFonts w:ascii="黑体" w:hAnsi="黑体" w:eastAsia="黑体" w:cs="黑体"/>
          <w:kern w:val="2"/>
          <w:sz w:val="28"/>
          <w:szCs w:val="28"/>
        </w:rPr>
        <w:t>工会</w:t>
      </w:r>
      <w:r>
        <w:rPr>
          <w:rFonts w:hint="eastAsia" w:ascii="黑体" w:hAnsi="黑体" w:eastAsia="黑体" w:cs="黑体"/>
          <w:kern w:val="2"/>
          <w:sz w:val="28"/>
          <w:szCs w:val="28"/>
        </w:rPr>
        <w:t>温暖人心，宣传幼教出彩</w:t>
      </w:r>
    </w:p>
    <w:p>
      <w:pPr>
        <w:pStyle w:val="2"/>
        <w:spacing w:before="93"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一是强化工会建设，深化民主管理。</w:t>
      </w:r>
      <w:r>
        <w:rPr>
          <w:rFonts w:hint="eastAsia" w:ascii="仿宋" w:hAnsi="仿宋" w:eastAsia="仿宋" w:cs="仿宋"/>
          <w:sz w:val="28"/>
          <w:szCs w:val="28"/>
        </w:rPr>
        <w:t>1、建工会之家“南馨书屋”；</w:t>
      </w:r>
      <w:r>
        <w:rPr>
          <w:rFonts w:hint="eastAsia" w:ascii="仿宋" w:hAnsi="仿宋" w:eastAsia="仿宋" w:cs="仿宋"/>
          <w:b/>
          <w:bCs/>
          <w:sz w:val="28"/>
          <w:szCs w:val="28"/>
        </w:rPr>
        <w:t>2、</w:t>
      </w:r>
      <w:r>
        <w:rPr>
          <w:rFonts w:ascii="仿宋" w:hAnsi="仿宋" w:eastAsia="仿宋" w:cs="仿宋"/>
          <w:sz w:val="28"/>
          <w:szCs w:val="28"/>
        </w:rPr>
        <w:t>关注教职工身心健康，组织开展了多项工会活动。“三八”节期间组织离退休教师、在职教职工进行有利于身心的庆祝活动。</w:t>
      </w:r>
      <w:r>
        <w:rPr>
          <w:rFonts w:hint="eastAsia" w:ascii="仿宋" w:hAnsi="仿宋" w:eastAsia="仿宋" w:cs="仿宋"/>
          <w:sz w:val="28"/>
          <w:szCs w:val="28"/>
        </w:rPr>
        <w:t>开展校际交流，本期组织学校篮球队与上西中学、雪峰小学联队男子篮球队进行了友谊比赛。3、做好关心关爱工作，保障工会会员的福利待遇，规范使用工会经费；4、积极做好民主监督、校务公开，搜集教职工对于学校发展的议题，筹备召开教代会职代会。</w:t>
      </w:r>
    </w:p>
    <w:p>
      <w:pPr>
        <w:pStyle w:val="2"/>
        <w:spacing w:before="93"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二</w:t>
      </w:r>
      <w:r>
        <w:rPr>
          <w:rFonts w:ascii="仿宋" w:hAnsi="仿宋" w:eastAsia="仿宋" w:cs="仿宋"/>
          <w:b/>
          <w:bCs/>
          <w:sz w:val="28"/>
          <w:szCs w:val="28"/>
        </w:rPr>
        <w:t>是加强学校宣传，</w:t>
      </w:r>
      <w:r>
        <w:rPr>
          <w:rFonts w:hint="eastAsia" w:ascii="仿宋" w:hAnsi="仿宋" w:eastAsia="仿宋" w:cs="仿宋"/>
          <w:b/>
          <w:bCs/>
          <w:sz w:val="28"/>
          <w:szCs w:val="28"/>
        </w:rPr>
        <w:t>提升学校形象</w:t>
      </w:r>
      <w:r>
        <w:rPr>
          <w:rFonts w:ascii="仿宋" w:hAnsi="仿宋" w:eastAsia="仿宋" w:cs="仿宋"/>
          <w:b/>
          <w:bCs/>
          <w:sz w:val="28"/>
          <w:szCs w:val="28"/>
        </w:rPr>
        <w:t>。</w:t>
      </w:r>
      <w:r>
        <w:rPr>
          <w:rFonts w:ascii="仿宋" w:hAnsi="仿宋" w:eastAsia="仿宋" w:cs="仿宋"/>
          <w:sz w:val="28"/>
          <w:szCs w:val="28"/>
        </w:rPr>
        <w:t>本年度共在各级纸质媒体，各级网站发表专题报道、新闻、信息共：</w:t>
      </w:r>
      <w:r>
        <w:rPr>
          <w:rFonts w:hint="eastAsia" w:ascii="仿宋" w:hAnsi="仿宋" w:eastAsia="仿宋" w:cs="仿宋"/>
          <w:sz w:val="28"/>
          <w:szCs w:val="28"/>
        </w:rPr>
        <w:t>95篇</w:t>
      </w:r>
      <w:r>
        <w:rPr>
          <w:rFonts w:ascii="仿宋" w:hAnsi="仿宋" w:eastAsia="仿宋" w:cs="仿宋"/>
          <w:sz w:val="28"/>
          <w:szCs w:val="28"/>
        </w:rPr>
        <w:t>。其中省级媒体32</w:t>
      </w:r>
      <w:r>
        <w:rPr>
          <w:rFonts w:hint="eastAsia" w:ascii="仿宋" w:hAnsi="仿宋" w:eastAsia="仿宋" w:cs="仿宋"/>
          <w:sz w:val="28"/>
          <w:szCs w:val="28"/>
        </w:rPr>
        <w:t>篇，</w:t>
      </w:r>
      <w:r>
        <w:rPr>
          <w:rFonts w:ascii="仿宋" w:hAnsi="仿宋" w:eastAsia="仿宋" w:cs="仿宋"/>
          <w:sz w:val="28"/>
          <w:szCs w:val="28"/>
        </w:rPr>
        <w:t>市级媒体2</w:t>
      </w:r>
      <w:r>
        <w:rPr>
          <w:rFonts w:hint="eastAsia" w:ascii="仿宋" w:hAnsi="仿宋" w:eastAsia="仿宋" w:cs="仿宋"/>
          <w:sz w:val="28"/>
          <w:szCs w:val="28"/>
        </w:rPr>
        <w:t>篇，</w:t>
      </w:r>
      <w:r>
        <w:rPr>
          <w:rFonts w:ascii="仿宋" w:hAnsi="仿宋" w:eastAsia="仿宋" w:cs="仿宋"/>
          <w:sz w:val="28"/>
          <w:szCs w:val="28"/>
        </w:rPr>
        <w:t>公众号47</w:t>
      </w:r>
      <w:r>
        <w:rPr>
          <w:rFonts w:hint="eastAsia" w:ascii="仿宋" w:hAnsi="仿宋" w:eastAsia="仿宋" w:cs="仿宋"/>
          <w:sz w:val="28"/>
          <w:szCs w:val="28"/>
        </w:rPr>
        <w:t>篇，</w:t>
      </w:r>
      <w:r>
        <w:rPr>
          <w:rFonts w:ascii="仿宋" w:hAnsi="仿宋" w:eastAsia="仿宋" w:cs="仿宋"/>
          <w:sz w:val="28"/>
          <w:szCs w:val="28"/>
        </w:rPr>
        <w:t>美篇</w:t>
      </w:r>
      <w:r>
        <w:rPr>
          <w:rFonts w:hint="eastAsia" w:ascii="仿宋" w:hAnsi="仿宋" w:eastAsia="仿宋" w:cs="仿宋"/>
          <w:sz w:val="28"/>
          <w:szCs w:val="28"/>
        </w:rPr>
        <w:t>16篇</w:t>
      </w:r>
      <w:r>
        <w:rPr>
          <w:rFonts w:ascii="仿宋" w:hAnsi="仿宋" w:eastAsia="仿宋" w:cs="仿宋"/>
          <w:sz w:val="28"/>
          <w:szCs w:val="28"/>
        </w:rPr>
        <w:t>，上述新闻宣传报道为学校赢得了良好的社会声誉</w:t>
      </w:r>
      <w:r>
        <w:rPr>
          <w:rFonts w:hint="eastAsia" w:ascii="仿宋" w:hAnsi="仿宋" w:eastAsia="仿宋" w:cs="仿宋"/>
          <w:sz w:val="28"/>
          <w:szCs w:val="28"/>
        </w:rPr>
        <w:t>，本学年被评为广元市教育宣传信息先进单位</w:t>
      </w:r>
      <w:r>
        <w:rPr>
          <w:rFonts w:ascii="仿宋" w:hAnsi="仿宋" w:eastAsia="仿宋" w:cs="仿宋"/>
          <w:sz w:val="28"/>
          <w:szCs w:val="28"/>
        </w:rPr>
        <w:t>。</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三</w:t>
      </w:r>
      <w:r>
        <w:rPr>
          <w:rFonts w:ascii="仿宋" w:hAnsi="仿宋" w:eastAsia="仿宋" w:cs="仿宋"/>
          <w:b/>
          <w:bCs/>
          <w:sz w:val="28"/>
          <w:szCs w:val="28"/>
        </w:rPr>
        <w:t>是</w:t>
      </w:r>
      <w:r>
        <w:rPr>
          <w:rFonts w:hint="eastAsia" w:ascii="仿宋" w:hAnsi="仿宋" w:eastAsia="仿宋" w:cs="仿宋"/>
          <w:b/>
          <w:bCs/>
          <w:sz w:val="28"/>
          <w:szCs w:val="28"/>
        </w:rPr>
        <w:t>注重幼小衔接，</w:t>
      </w:r>
      <w:r>
        <w:rPr>
          <w:rFonts w:ascii="仿宋" w:hAnsi="仿宋" w:eastAsia="仿宋" w:cs="仿宋"/>
          <w:b/>
          <w:bCs/>
          <w:sz w:val="28"/>
          <w:szCs w:val="28"/>
        </w:rPr>
        <w:t>提升幼</w:t>
      </w:r>
      <w:r>
        <w:rPr>
          <w:rFonts w:hint="eastAsia" w:ascii="仿宋" w:hAnsi="仿宋" w:eastAsia="仿宋" w:cs="仿宋"/>
          <w:b/>
          <w:bCs/>
          <w:sz w:val="28"/>
          <w:szCs w:val="28"/>
        </w:rPr>
        <w:t>教水平</w:t>
      </w:r>
      <w:r>
        <w:rPr>
          <w:rFonts w:ascii="仿宋" w:hAnsi="仿宋" w:eastAsia="仿宋" w:cs="仿宋"/>
          <w:b/>
          <w:bCs/>
          <w:sz w:val="28"/>
          <w:szCs w:val="28"/>
        </w:rPr>
        <w:t>。</w:t>
      </w:r>
      <w:r>
        <w:rPr>
          <w:rFonts w:hint="eastAsia" w:ascii="仿宋" w:hAnsi="仿宋" w:eastAsia="仿宋" w:cs="仿宋"/>
          <w:sz w:val="28"/>
          <w:szCs w:val="28"/>
        </w:rPr>
        <w:t>我校是利州区“幼小衔接试点学校”，2022年，学校高度重视，列入工作计划和重点工作，邀请专家讲座、指导，积极探索“以习惯培养为重点、以品格教育为抓手”幼小衔接的有效途径。2022年6月，杨方和副校长在广元市幼小衔接工作会上进行经验分享，获得与会领导老师的好评。</w:t>
      </w:r>
    </w:p>
    <w:p>
      <w:pPr>
        <w:spacing w:line="480" w:lineRule="exact"/>
        <w:ind w:firstLine="560" w:firstLineChars="200"/>
        <w:rPr>
          <w:rFonts w:ascii="黑体" w:hAnsi="黑体" w:eastAsia="黑体" w:cs="黑体"/>
          <w:sz w:val="28"/>
          <w:szCs w:val="28"/>
        </w:rPr>
      </w:pPr>
      <w:r>
        <w:rPr>
          <w:rFonts w:hint="eastAsia" w:ascii="黑体" w:hAnsi="黑体" w:eastAsia="黑体" w:cs="黑体"/>
          <w:sz w:val="28"/>
          <w:szCs w:val="28"/>
        </w:rPr>
        <w:t>（八）强化警醒自律，依法廉洁治校</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1</w:t>
      </w:r>
      <w:r>
        <w:rPr>
          <w:rFonts w:ascii="仿宋" w:hAnsi="仿宋" w:eastAsia="仿宋" w:cs="仿宋"/>
          <w:b/>
          <w:bCs/>
          <w:sz w:val="28"/>
          <w:szCs w:val="28"/>
        </w:rPr>
        <w:t>.</w:t>
      </w:r>
      <w:r>
        <w:rPr>
          <w:rFonts w:hint="eastAsia" w:ascii="仿宋" w:hAnsi="仿宋" w:eastAsia="仿宋" w:cs="仿宋"/>
          <w:b/>
          <w:bCs/>
          <w:sz w:val="28"/>
          <w:szCs w:val="28"/>
        </w:rPr>
        <w:t>率先垂范，严格自律。</w:t>
      </w:r>
      <w:r>
        <w:rPr>
          <w:rFonts w:hint="eastAsia" w:ascii="仿宋" w:hAnsi="仿宋" w:eastAsia="仿宋" w:cs="仿宋"/>
          <w:sz w:val="28"/>
          <w:szCs w:val="28"/>
        </w:rPr>
        <w:t>过去的一年里,我对工作认真负责，勤于思考，用心谋划学校建设和发展，恪尽职守。一切以学校工作为重，不计较个人得失，能够正确处理好集体与个人之间利益关系。在公务活动中卡能做到廉洁自律，不以权谋私坚持原则，严格把关。在财务开支、接待方面力求节约,坚决维护财务管理制度。</w:t>
      </w:r>
    </w:p>
    <w:p>
      <w:pPr>
        <w:spacing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2</w:t>
      </w:r>
      <w:r>
        <w:rPr>
          <w:rFonts w:ascii="仿宋" w:hAnsi="仿宋" w:eastAsia="仿宋" w:cs="仿宋"/>
          <w:b/>
          <w:bCs/>
          <w:sz w:val="28"/>
          <w:szCs w:val="28"/>
        </w:rPr>
        <w:t>.</w:t>
      </w:r>
      <w:r>
        <w:rPr>
          <w:rFonts w:hint="eastAsia" w:ascii="仿宋" w:hAnsi="仿宋" w:eastAsia="仿宋" w:cs="仿宋"/>
          <w:b/>
          <w:bCs/>
          <w:sz w:val="28"/>
          <w:szCs w:val="28"/>
        </w:rPr>
        <w:t>规范管理，按章办事。</w:t>
      </w:r>
      <w:r>
        <w:rPr>
          <w:rFonts w:hint="eastAsia" w:ascii="仿宋" w:hAnsi="仿宋" w:eastAsia="仿宋" w:cs="仿宋"/>
          <w:sz w:val="28"/>
          <w:szCs w:val="28"/>
        </w:rPr>
        <w:t>凡需采购的物品、工程招标和服务，按照规定的方案进行操作处置。严格执行党委“三重一大议事”制度，严格执行民主集中制，坚持校务公开制度，对学校重大事项如：教学楼维修改造项目、教室灯光改造、班班通等教学设施设备采购、教师绩效工资分配、评职评优、财务核算等，采用校务会、教师会、校务公开专栏等形式予以公开公示,自觉接受群众监督。实现了依法办学、公开办学、民主办学。</w:t>
      </w:r>
    </w:p>
    <w:p>
      <w:pPr>
        <w:spacing w:line="480" w:lineRule="exact"/>
        <w:ind w:firstLine="562" w:firstLineChars="200"/>
      </w:pPr>
      <w:r>
        <w:rPr>
          <w:rFonts w:hint="eastAsia" w:ascii="仿宋" w:hAnsi="仿宋" w:eastAsia="仿宋" w:cs="仿宋"/>
          <w:b/>
          <w:bCs/>
          <w:sz w:val="28"/>
          <w:szCs w:val="28"/>
        </w:rPr>
        <w:t>3</w:t>
      </w:r>
      <w:r>
        <w:rPr>
          <w:rFonts w:ascii="仿宋" w:hAnsi="仿宋" w:eastAsia="仿宋" w:cs="仿宋"/>
          <w:b/>
          <w:bCs/>
          <w:sz w:val="28"/>
          <w:szCs w:val="28"/>
        </w:rPr>
        <w:t>.</w:t>
      </w:r>
      <w:r>
        <w:rPr>
          <w:rFonts w:hint="eastAsia" w:ascii="仿宋" w:hAnsi="仿宋" w:eastAsia="仿宋" w:cs="仿宋"/>
          <w:b/>
          <w:bCs/>
          <w:sz w:val="28"/>
          <w:szCs w:val="28"/>
        </w:rPr>
        <w:t>廉洁奉公，依法治校。</w:t>
      </w:r>
      <w:r>
        <w:rPr>
          <w:rFonts w:hint="eastAsia" w:ascii="仿宋" w:hAnsi="仿宋" w:eastAsia="仿宋" w:cs="仿宋"/>
          <w:sz w:val="28"/>
          <w:szCs w:val="28"/>
        </w:rPr>
        <w:t>在利益面前，从不伸手，在名誉面前，主动让出。依法办学，坚决按照各级主管部门的要求办事，绝不做损害教育形象和领导班子形象的事，维护学校安全稳定大局。</w:t>
      </w:r>
    </w:p>
    <w:p>
      <w:pPr>
        <w:pStyle w:val="2"/>
        <w:spacing w:before="93" w:line="48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（九）办学成果显著，赢得社会美誉</w:t>
      </w:r>
    </w:p>
    <w:p>
      <w:pPr>
        <w:pStyle w:val="2"/>
        <w:spacing w:before="93" w:line="480" w:lineRule="exact"/>
        <w:ind w:firstLine="560" w:firstLineChars="200"/>
        <w:rPr>
          <w:rFonts w:ascii="仿宋" w:hAnsi="仿宋" w:eastAsia="仿宋" w:cs="仿宋"/>
          <w:sz w:val="28"/>
          <w:szCs w:val="28"/>
        </w:rPr>
      </w:pPr>
      <w:r>
        <w:rPr>
          <w:rFonts w:hint="eastAsia" w:ascii="仿宋" w:hAnsi="仿宋" w:eastAsia="仿宋" w:cs="仿宋"/>
          <w:sz w:val="28"/>
          <w:szCs w:val="28"/>
        </w:rPr>
        <w:t>一年来，在上级正确领导和全体教职工大力支持下，学校各项工作顺利推进并取得显著成绩。</w:t>
      </w:r>
    </w:p>
    <w:p>
      <w:pPr>
        <w:pStyle w:val="2"/>
        <w:spacing w:before="93"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一是办学条件大力改善。</w:t>
      </w:r>
      <w:r>
        <w:rPr>
          <w:rFonts w:hint="eastAsia" w:ascii="仿宋" w:hAnsi="仿宋" w:eastAsia="仿宋" w:cs="仿宋"/>
          <w:sz w:val="28"/>
          <w:szCs w:val="28"/>
        </w:rPr>
        <w:t>1.基础改善，硬件大改观；学校实施了22个教室的灯光改造项目，11间教室的86吋班班通建设，会议室led屏建设，申请立项了南街小学教学楼维修改造工程，建好布艺工作坊，课例研讨室，心理成长体验中心，更换了楼道走廊墙裙瓷砖。2.文化育人，校园精品化。开展了校园文化建设，梳理了南街小学的办学历史，形成了“皂荚树”为文化符号的“蔼蔼绿荫、葱葱嘉木”的独特校园文化。文化理念上墙，办学历史呈现于年轮景观，醴泉井，校赋墙，石栏杆，花园围墙等。设计精巧，校园精致，走向精品。</w:t>
      </w:r>
    </w:p>
    <w:p>
      <w:pPr>
        <w:pStyle w:val="2"/>
        <w:spacing w:before="93" w:line="480" w:lineRule="exact"/>
        <w:ind w:firstLine="562" w:firstLineChars="200"/>
        <w:rPr>
          <w:rFonts w:ascii="仿宋" w:hAnsi="仿宋" w:eastAsia="仿宋" w:cs="仿宋"/>
          <w:sz w:val="28"/>
          <w:szCs w:val="28"/>
        </w:rPr>
      </w:pPr>
      <w:r>
        <w:rPr>
          <w:rFonts w:hint="eastAsia" w:ascii="仿宋" w:hAnsi="仿宋" w:eastAsia="仿宋" w:cs="仿宋"/>
          <w:b/>
          <w:bCs/>
          <w:sz w:val="28"/>
          <w:szCs w:val="28"/>
        </w:rPr>
        <w:t>二是办学成果丰硕。</w:t>
      </w:r>
      <w:r>
        <w:rPr>
          <w:rFonts w:hint="eastAsia" w:ascii="仿宋" w:hAnsi="仿宋" w:eastAsia="仿宋" w:cs="仿宋"/>
          <w:sz w:val="28"/>
          <w:szCs w:val="28"/>
        </w:rPr>
        <w:t>1.教师人心凝聚，专业提升快，音乐教学、禁毒教育大比武均获省级奖励，品格教育成为省级示范学校，幼小衔接在全市经验交流，文明城市创建原市委书记邹自景亲临指导，宣传报道市区表彰；2.学生成长五育并举，全面发展，精英辈出。2022年8月冯楚于同学考取了北京舞蹈学院附属中等舞蹈学校。杨昊天同学，一位酷爱科学，执著的航模军事迷，上热搜，央视网等多家网站报道，点击量达几十万，并受到留守儿童报的专访。3.家长信任，社会美誉度越来越高，办学规模历史新高。2023春季学期，小学幼儿园学生人数已达3015人，虽然与优质均衡发展的目标还有很大的距离，但也充分看到南街小学，这所百年老校，赢得了家长的认可，学生的喜欢。</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20</w:t>
      </w:r>
      <w:r>
        <w:rPr>
          <w:rFonts w:ascii="仿宋" w:hAnsi="仿宋" w:eastAsia="仿宋" w:cs="仿宋"/>
          <w:sz w:val="28"/>
          <w:szCs w:val="28"/>
        </w:rPr>
        <w:t>23</w:t>
      </w:r>
      <w:r>
        <w:rPr>
          <w:rFonts w:hint="eastAsia" w:ascii="仿宋" w:hAnsi="仿宋" w:eastAsia="仿宋" w:cs="仿宋"/>
          <w:sz w:val="28"/>
          <w:szCs w:val="28"/>
        </w:rPr>
        <w:t>年，一个崭新的开始，孕育着希望和梦想。我们将以“拼工作、比质量、共创南小新辉煌”为目标，不忘初心，牢记使命，创新管理机制，激活每一个南小人火热的教育激情，笃定“建设高品质学校”的美好愿景，踔厉奋发、勇毅前行，书写华美利州教育南街小学最美的乐章。</w:t>
      </w:r>
    </w:p>
    <w:p>
      <w:pPr>
        <w:pStyle w:val="2"/>
        <w:spacing w:before="93"/>
        <w:rPr>
          <w:rFonts w:ascii="仿宋" w:hAnsi="仿宋" w:eastAsia="仿宋" w:cs="仿宋"/>
          <w:sz w:val="28"/>
          <w:szCs w:val="28"/>
        </w:rPr>
      </w:pPr>
    </w:p>
    <w:p/>
    <w:p>
      <w:pPr>
        <w:pStyle w:val="2"/>
        <w:spacing w:before="93" w:line="48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p>
    <w:p>
      <w:pPr>
        <w:pStyle w:val="4"/>
        <w:snapToGrid w:val="0"/>
        <w:spacing w:before="0" w:after="0" w:line="540" w:lineRule="exact"/>
        <w:ind w:firstLine="643" w:firstLineChars="200"/>
        <w:rPr>
          <w:rFonts w:ascii="黑体" w:hAnsi="黑体" w:eastAsia="黑体" w:cs="黑体"/>
          <w:b w:val="0"/>
          <w:bCs w:val="0"/>
        </w:rPr>
      </w:pPr>
      <w:r>
        <w:rPr>
          <w:rFonts w:hint="eastAsia" w:ascii="黑体" w:hAnsi="黑体" w:eastAsia="黑体"/>
        </w:rPr>
        <w:br w:type="page"/>
      </w:r>
    </w:p>
    <w:p>
      <w:pPr>
        <w:pStyle w:val="3"/>
        <w:snapToGrid w:val="0"/>
        <w:spacing w:before="0" w:after="0" w:line="240" w:lineRule="auto"/>
        <w:ind w:right="23"/>
        <w:jc w:val="center"/>
        <w:rPr>
          <w:rStyle w:val="26"/>
          <w:rFonts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rPr>
        <w:t>第二部分 2022年度</w:t>
      </w:r>
      <w:r>
        <w:rPr>
          <w:rStyle w:val="26"/>
          <w:rFonts w:hint="eastAsia" w:ascii="方正小标宋简体" w:hAnsi="方正小标宋简体" w:eastAsia="方正小标宋简体" w:cs="方正小标宋简体"/>
          <w:b w:val="0"/>
          <w:bCs/>
        </w:rPr>
        <w:t>单位决算情况说明</w:t>
      </w:r>
      <w:bookmarkEnd w:id="16"/>
      <w:bookmarkEnd w:id="17"/>
    </w:p>
    <w:p/>
    <w:p>
      <w:pPr>
        <w:pStyle w:val="25"/>
        <w:numPr>
          <w:ilvl w:val="0"/>
          <w:numId w:val="1"/>
        </w:numPr>
        <w:spacing w:line="600" w:lineRule="exact"/>
        <w:ind w:firstLineChars="0"/>
        <w:outlineLvl w:val="1"/>
        <w:rPr>
          <w:rStyle w:val="27"/>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7"/>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w:t>
      </w:r>
      <w:r>
        <w:rPr>
          <w:rFonts w:ascii="仿宋" w:hAnsi="仿宋" w:eastAsia="仿宋"/>
          <w:sz w:val="32"/>
          <w:szCs w:val="32"/>
        </w:rPr>
        <w:t>2581.20</w:t>
      </w:r>
      <w:r>
        <w:rPr>
          <w:rFonts w:hint="eastAsia" w:ascii="仿宋" w:hAnsi="仿宋" w:eastAsia="仿宋"/>
          <w:sz w:val="32"/>
          <w:szCs w:val="32"/>
        </w:rPr>
        <w:t>万元，含上年结转</w:t>
      </w:r>
      <w:r>
        <w:rPr>
          <w:rFonts w:ascii="仿宋" w:hAnsi="仿宋" w:eastAsia="仿宋"/>
          <w:sz w:val="32"/>
          <w:szCs w:val="32"/>
        </w:rPr>
        <w:t>320.49</w:t>
      </w:r>
      <w:r>
        <w:rPr>
          <w:rFonts w:hint="eastAsia" w:ascii="仿宋" w:hAnsi="仿宋" w:eastAsia="仿宋"/>
          <w:sz w:val="32"/>
          <w:szCs w:val="32"/>
        </w:rPr>
        <w:t>万元。与2021年相比，收、支总计</w:t>
      </w:r>
      <w:r>
        <w:rPr>
          <w:rFonts w:ascii="仿宋" w:hAnsi="仿宋" w:eastAsia="仿宋"/>
          <w:sz w:val="32"/>
          <w:szCs w:val="32"/>
        </w:rPr>
        <w:t>2773.73</w:t>
      </w:r>
      <w:r>
        <w:rPr>
          <w:rFonts w:hint="eastAsia" w:ascii="仿宋" w:hAnsi="仿宋" w:eastAsia="仿宋"/>
          <w:sz w:val="32"/>
          <w:szCs w:val="32"/>
        </w:rPr>
        <w:t>万元减少1</w:t>
      </w:r>
      <w:r>
        <w:rPr>
          <w:rFonts w:ascii="仿宋" w:hAnsi="仿宋" w:eastAsia="仿宋"/>
          <w:sz w:val="32"/>
          <w:szCs w:val="32"/>
        </w:rPr>
        <w:t>92.53</w:t>
      </w:r>
      <w:r>
        <w:rPr>
          <w:rFonts w:hint="eastAsia" w:ascii="仿宋" w:hAnsi="仿宋" w:eastAsia="仿宋"/>
          <w:sz w:val="32"/>
          <w:szCs w:val="32"/>
        </w:rPr>
        <w:t>万元，减少6.</w:t>
      </w:r>
      <w:r>
        <w:rPr>
          <w:rFonts w:ascii="仿宋" w:hAnsi="仿宋" w:eastAsia="仿宋"/>
          <w:sz w:val="32"/>
          <w:szCs w:val="32"/>
        </w:rPr>
        <w:t>9%</w:t>
      </w:r>
      <w:r>
        <w:rPr>
          <w:rFonts w:hint="eastAsia" w:ascii="仿宋" w:hAnsi="仿宋" w:eastAsia="仿宋"/>
          <w:sz w:val="32"/>
          <w:szCs w:val="32"/>
        </w:rPr>
        <w:t>。主要变动原因是人员经费和公用经费的收入和支出减少。</w:t>
      </w:r>
    </w:p>
    <w:p>
      <w:pPr>
        <w:pStyle w:val="2"/>
        <w:spacing w:before="93"/>
      </w:pPr>
      <w:r>
        <w:rPr>
          <w:rFonts w:hint="eastAsia"/>
        </w:rPr>
        <w:drawing>
          <wp:inline distT="0" distB="0" distL="114300" distR="114300">
            <wp:extent cx="5080000" cy="2454275"/>
            <wp:effectExtent l="0" t="0" r="6350" b="31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jc w:val="left"/>
        <w:rPr>
          <w:rFonts w:ascii="仿宋_GB2312" w:eastAsia="仿宋_GB2312"/>
          <w:sz w:val="32"/>
          <w:szCs w:val="32"/>
        </w:rPr>
      </w:pPr>
    </w:p>
    <w:p>
      <w:pPr>
        <w:pStyle w:val="25"/>
        <w:numPr>
          <w:ilvl w:val="0"/>
          <w:numId w:val="1"/>
        </w:numPr>
        <w:spacing w:line="600" w:lineRule="exact"/>
        <w:ind w:firstLineChars="0"/>
        <w:outlineLvl w:val="1"/>
        <w:rPr>
          <w:rStyle w:val="27"/>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7"/>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年本年收入合计</w:t>
      </w:r>
      <w:r>
        <w:rPr>
          <w:rFonts w:ascii="仿宋" w:hAnsi="仿宋" w:eastAsia="仿宋"/>
          <w:sz w:val="32"/>
          <w:szCs w:val="32"/>
        </w:rPr>
        <w:t>2370.97</w:t>
      </w:r>
      <w:r>
        <w:rPr>
          <w:rFonts w:hint="eastAsia" w:ascii="仿宋" w:hAnsi="仿宋" w:eastAsia="仿宋"/>
          <w:sz w:val="32"/>
          <w:szCs w:val="32"/>
        </w:rPr>
        <w:t>万元，其中：一般公共预算财政拨款收入</w:t>
      </w:r>
      <w:r>
        <w:rPr>
          <w:rFonts w:ascii="仿宋" w:hAnsi="仿宋" w:eastAsia="仿宋"/>
          <w:sz w:val="32"/>
          <w:szCs w:val="32"/>
        </w:rPr>
        <w:t>2309.38</w:t>
      </w:r>
      <w:r>
        <w:rPr>
          <w:rFonts w:hint="eastAsia" w:ascii="仿宋" w:hAnsi="仿宋" w:eastAsia="仿宋"/>
          <w:sz w:val="32"/>
          <w:szCs w:val="32"/>
        </w:rPr>
        <w:t>万元，占9</w:t>
      </w:r>
      <w:r>
        <w:rPr>
          <w:rFonts w:ascii="仿宋" w:hAnsi="仿宋" w:eastAsia="仿宋"/>
          <w:sz w:val="32"/>
          <w:szCs w:val="32"/>
        </w:rPr>
        <w:t>7</w:t>
      </w:r>
      <w:r>
        <w:rPr>
          <w:rFonts w:hint="eastAsia" w:ascii="仿宋" w:hAnsi="仿宋" w:eastAsia="仿宋"/>
          <w:sz w:val="32"/>
          <w:szCs w:val="32"/>
        </w:rPr>
        <w:t>.</w:t>
      </w:r>
      <w:r>
        <w:rPr>
          <w:rFonts w:ascii="仿宋" w:hAnsi="仿宋" w:eastAsia="仿宋"/>
          <w:sz w:val="32"/>
          <w:szCs w:val="32"/>
        </w:rPr>
        <w:t>40%</w:t>
      </w:r>
      <w:r>
        <w:rPr>
          <w:rFonts w:hint="eastAsia" w:ascii="仿宋" w:hAnsi="仿宋" w:eastAsia="仿宋"/>
          <w:sz w:val="32"/>
          <w:szCs w:val="32"/>
        </w:rPr>
        <w:t>；事业收入6</w:t>
      </w:r>
      <w:r>
        <w:rPr>
          <w:rFonts w:ascii="仿宋" w:hAnsi="仿宋" w:eastAsia="仿宋"/>
          <w:sz w:val="32"/>
          <w:szCs w:val="32"/>
        </w:rPr>
        <w:t>0.3</w:t>
      </w:r>
      <w:r>
        <w:rPr>
          <w:rFonts w:hint="eastAsia" w:ascii="仿宋" w:hAnsi="仿宋" w:eastAsia="仿宋"/>
          <w:sz w:val="32"/>
          <w:szCs w:val="32"/>
        </w:rPr>
        <w:t>0万元，占</w:t>
      </w:r>
      <w:r>
        <w:rPr>
          <w:rFonts w:ascii="仿宋" w:hAnsi="仿宋" w:eastAsia="仿宋"/>
          <w:sz w:val="32"/>
          <w:szCs w:val="32"/>
        </w:rPr>
        <w:t>2.54%</w:t>
      </w:r>
      <w:r>
        <w:rPr>
          <w:rFonts w:hint="eastAsia" w:ascii="仿宋" w:hAnsi="仿宋" w:eastAsia="仿宋"/>
          <w:sz w:val="32"/>
          <w:szCs w:val="32"/>
        </w:rPr>
        <w:t>；其他收入</w:t>
      </w:r>
      <w:r>
        <w:rPr>
          <w:rFonts w:ascii="仿宋" w:hAnsi="仿宋" w:eastAsia="仿宋"/>
          <w:sz w:val="32"/>
          <w:szCs w:val="32"/>
        </w:rPr>
        <w:t>1.29</w:t>
      </w:r>
      <w:r>
        <w:rPr>
          <w:rFonts w:hint="eastAsia" w:ascii="仿宋" w:hAnsi="仿宋" w:eastAsia="仿宋"/>
          <w:sz w:val="32"/>
          <w:szCs w:val="32"/>
        </w:rPr>
        <w:t>万元，占</w:t>
      </w:r>
      <w:r>
        <w:rPr>
          <w:rFonts w:ascii="仿宋" w:hAnsi="仿宋" w:eastAsia="仿宋"/>
          <w:sz w:val="32"/>
          <w:szCs w:val="32"/>
        </w:rPr>
        <w:t>0.06%</w:t>
      </w:r>
      <w:r>
        <w:rPr>
          <w:rFonts w:hint="eastAsia" w:ascii="仿宋" w:hAnsi="仿宋" w:eastAsia="仿宋"/>
          <w:sz w:val="32"/>
          <w:szCs w:val="32"/>
        </w:rPr>
        <w:t>。</w:t>
      </w:r>
    </w:p>
    <w:p>
      <w:pPr>
        <w:pStyle w:val="2"/>
        <w:spacing w:before="93"/>
        <w:rPr>
          <w:rFonts w:ascii="仿宋" w:hAnsi="仿宋" w:eastAsia="仿宋"/>
          <w:b/>
          <w:sz w:val="32"/>
          <w:szCs w:val="32"/>
        </w:rPr>
      </w:pPr>
      <w:r>
        <w:rPr>
          <w:rFonts w:hint="eastAsia" w:ascii="仿宋" w:hAnsi="仿宋" w:eastAsia="仿宋"/>
          <w:b/>
          <w:sz w:val="32"/>
          <w:szCs w:val="32"/>
        </w:rPr>
        <w:drawing>
          <wp:inline distT="0" distB="0" distL="114300" distR="114300">
            <wp:extent cx="5114290" cy="2509520"/>
            <wp:effectExtent l="0" t="0" r="10160" b="50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jc w:val="center"/>
        <w:rPr>
          <w:rFonts w:ascii="仿宋" w:hAnsi="仿宋" w:eastAsia="仿宋"/>
          <w:sz w:val="32"/>
          <w:szCs w:val="32"/>
        </w:rPr>
      </w:pPr>
      <w:r>
        <w:rPr>
          <w:rFonts w:hint="eastAsia" w:ascii="仿宋" w:hAnsi="仿宋" w:eastAsia="仿宋"/>
          <w:sz w:val="32"/>
          <w:szCs w:val="32"/>
        </w:rPr>
        <w:t>（图2：收入决算结构图）（饼状图）</w:t>
      </w:r>
    </w:p>
    <w:p>
      <w:pPr>
        <w:pStyle w:val="25"/>
        <w:numPr>
          <w:ilvl w:val="0"/>
          <w:numId w:val="1"/>
        </w:numPr>
        <w:spacing w:line="600" w:lineRule="exact"/>
        <w:ind w:firstLineChars="0"/>
        <w:outlineLvl w:val="1"/>
        <w:rPr>
          <w:rStyle w:val="27"/>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7"/>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年本年支出合计25</w:t>
      </w:r>
      <w:r>
        <w:rPr>
          <w:rFonts w:ascii="仿宋" w:hAnsi="仿宋" w:eastAsia="仿宋"/>
          <w:sz w:val="32"/>
          <w:szCs w:val="32"/>
        </w:rPr>
        <w:t>81.2</w:t>
      </w:r>
      <w:r>
        <w:rPr>
          <w:rFonts w:hint="eastAsia" w:ascii="仿宋" w:hAnsi="仿宋" w:eastAsia="仿宋"/>
          <w:sz w:val="32"/>
          <w:szCs w:val="32"/>
        </w:rPr>
        <w:t>万元，其中：基本支出</w:t>
      </w:r>
      <w:r>
        <w:rPr>
          <w:rFonts w:ascii="仿宋" w:hAnsi="仿宋" w:eastAsia="仿宋"/>
          <w:sz w:val="32"/>
          <w:szCs w:val="32"/>
        </w:rPr>
        <w:t>2320.73</w:t>
      </w:r>
      <w:r>
        <w:rPr>
          <w:rFonts w:hint="eastAsia" w:ascii="仿宋" w:hAnsi="仿宋" w:eastAsia="仿宋"/>
          <w:sz w:val="32"/>
          <w:szCs w:val="32"/>
        </w:rPr>
        <w:t>万元，占</w:t>
      </w:r>
      <w:r>
        <w:rPr>
          <w:rFonts w:ascii="仿宋" w:hAnsi="仿宋" w:eastAsia="仿宋"/>
          <w:sz w:val="32"/>
          <w:szCs w:val="32"/>
        </w:rPr>
        <w:t>89.91%</w:t>
      </w:r>
      <w:r>
        <w:rPr>
          <w:rFonts w:hint="eastAsia" w:ascii="仿宋" w:hAnsi="仿宋" w:eastAsia="仿宋"/>
          <w:sz w:val="32"/>
          <w:szCs w:val="32"/>
        </w:rPr>
        <w:t>；项目支出</w:t>
      </w:r>
      <w:r>
        <w:rPr>
          <w:rFonts w:ascii="仿宋" w:hAnsi="仿宋" w:eastAsia="仿宋"/>
          <w:sz w:val="32"/>
          <w:szCs w:val="32"/>
        </w:rPr>
        <w:t>260.48</w:t>
      </w:r>
      <w:r>
        <w:rPr>
          <w:rFonts w:hint="eastAsia" w:ascii="仿宋" w:hAnsi="仿宋" w:eastAsia="仿宋"/>
          <w:sz w:val="32"/>
          <w:szCs w:val="32"/>
        </w:rPr>
        <w:t>万元，占</w:t>
      </w:r>
      <w:r>
        <w:rPr>
          <w:rFonts w:ascii="仿宋" w:hAnsi="仿宋" w:eastAsia="仿宋"/>
          <w:sz w:val="32"/>
          <w:szCs w:val="32"/>
        </w:rPr>
        <w:t>10.09%</w:t>
      </w:r>
      <w:r>
        <w:rPr>
          <w:rFonts w:hint="eastAsia" w:ascii="仿宋" w:hAnsi="仿宋" w:eastAsia="仿宋"/>
          <w:sz w:val="32"/>
          <w:szCs w:val="32"/>
        </w:rPr>
        <w:t>。</w:t>
      </w:r>
    </w:p>
    <w:p>
      <w:pPr>
        <w:spacing w:line="600" w:lineRule="exact"/>
        <w:ind w:firstLine="640" w:firstLineChars="200"/>
        <w:outlineLvl w:val="1"/>
        <w:rPr>
          <w:rFonts w:ascii="仿宋" w:hAnsi="仿宋" w:eastAsia="仿宋"/>
          <w:sz w:val="32"/>
          <w:szCs w:val="32"/>
          <w:shd w:val="pct10" w:color="auto" w:fill="FFFFFF"/>
        </w:rPr>
      </w:pPr>
    </w:p>
    <w:p>
      <w:pPr>
        <w:pStyle w:val="2"/>
        <w:spacing w:before="93"/>
        <w:rPr>
          <w:rFonts w:ascii="仿宋" w:hAnsi="仿宋" w:eastAsia="仿宋"/>
          <w:sz w:val="32"/>
          <w:szCs w:val="32"/>
          <w:shd w:val="pct10" w:color="auto" w:fill="FFFFFF"/>
        </w:rPr>
      </w:pPr>
      <w:r>
        <w:rPr>
          <w:rFonts w:hint="eastAsia" w:ascii="仿宋" w:hAnsi="仿宋" w:eastAsia="仿宋"/>
          <w:sz w:val="32"/>
          <w:szCs w:val="32"/>
          <w:shd w:val="pct10" w:color="auto" w:fill="FFFFFF"/>
        </w:rPr>
        <w:drawing>
          <wp:inline distT="0" distB="0" distL="114300" distR="114300">
            <wp:extent cx="5476240" cy="1902460"/>
            <wp:effectExtent l="0" t="0" r="10160" b="254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jc w:val="center"/>
        <w:rPr>
          <w:rFonts w:ascii="仿宋_GB2312" w:eastAsia="仿宋_GB2312"/>
          <w:sz w:val="32"/>
          <w:szCs w:val="32"/>
        </w:rPr>
      </w:pPr>
      <w:r>
        <w:rPr>
          <w:rFonts w:hint="eastAsia" w:ascii="仿宋" w:hAnsi="仿宋" w:eastAsia="仿宋"/>
          <w:sz w:val="32"/>
          <w:szCs w:val="32"/>
        </w:rPr>
        <w:t>（图3：支出决算结构图）（饼状图）</w:t>
      </w:r>
    </w:p>
    <w:p>
      <w:pPr>
        <w:spacing w:line="640" w:lineRule="exact"/>
        <w:ind w:firstLine="640" w:firstLineChars="200"/>
        <w:outlineLvl w:val="1"/>
        <w:rPr>
          <w:rStyle w:val="27"/>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24"/>
      <w:bookmarkEnd w:id="25"/>
    </w:p>
    <w:p>
      <w:pPr>
        <w:spacing w:line="640" w:lineRule="exact"/>
        <w:ind w:firstLine="640" w:firstLineChars="200"/>
        <w:rPr>
          <w:rFonts w:ascii="仿宋" w:hAnsi="仿宋" w:eastAsia="仿宋"/>
          <w:sz w:val="32"/>
          <w:szCs w:val="32"/>
        </w:rPr>
      </w:pPr>
      <w:r>
        <w:rPr>
          <w:rFonts w:hint="eastAsia" w:ascii="仿宋" w:hAnsi="仿宋" w:eastAsia="仿宋"/>
          <w:sz w:val="32"/>
          <w:szCs w:val="32"/>
        </w:rPr>
        <w:t>2022年度收、支总计2</w:t>
      </w:r>
      <w:r>
        <w:rPr>
          <w:rFonts w:ascii="仿宋" w:hAnsi="仿宋" w:eastAsia="仿宋"/>
          <w:sz w:val="32"/>
          <w:szCs w:val="32"/>
        </w:rPr>
        <w:t>519.62</w:t>
      </w:r>
      <w:r>
        <w:rPr>
          <w:rFonts w:hint="eastAsia" w:ascii="仿宋" w:hAnsi="仿宋" w:eastAsia="仿宋"/>
          <w:sz w:val="32"/>
          <w:szCs w:val="32"/>
        </w:rPr>
        <w:t>万元。与2021年相比，收、支总计(2659.27万元)减少</w:t>
      </w:r>
      <w:r>
        <w:rPr>
          <w:rFonts w:ascii="仿宋" w:hAnsi="仿宋" w:eastAsia="仿宋"/>
          <w:sz w:val="32"/>
          <w:szCs w:val="32"/>
        </w:rPr>
        <w:t>139.65</w:t>
      </w:r>
      <w:r>
        <w:rPr>
          <w:rFonts w:hint="eastAsia" w:ascii="仿宋" w:hAnsi="仿宋" w:eastAsia="仿宋"/>
          <w:sz w:val="32"/>
          <w:szCs w:val="32"/>
        </w:rPr>
        <w:t>万元，减少</w:t>
      </w:r>
      <w:r>
        <w:rPr>
          <w:rFonts w:ascii="仿宋" w:hAnsi="仿宋" w:eastAsia="仿宋"/>
          <w:sz w:val="32"/>
          <w:szCs w:val="32"/>
        </w:rPr>
        <w:t>5.54%</w:t>
      </w:r>
      <w:r>
        <w:rPr>
          <w:rFonts w:hint="eastAsia" w:ascii="仿宋" w:hAnsi="仿宋" w:eastAsia="仿宋"/>
          <w:sz w:val="32"/>
          <w:szCs w:val="32"/>
        </w:rPr>
        <w:t>。主要变动原因是人员经费和公用经费的收入和支出减少。</w:t>
      </w:r>
    </w:p>
    <w:p>
      <w:pPr>
        <w:pStyle w:val="2"/>
        <w:spacing w:before="93"/>
      </w:pPr>
    </w:p>
    <w:p>
      <w:pPr>
        <w:pStyle w:val="2"/>
        <w:spacing w:before="93"/>
        <w:rPr>
          <w:rFonts w:ascii="仿宋" w:hAnsi="仿宋" w:eastAsia="仿宋"/>
          <w:b/>
          <w:sz w:val="32"/>
          <w:szCs w:val="32"/>
        </w:rPr>
      </w:pPr>
      <w:r>
        <w:rPr>
          <w:rFonts w:hint="eastAsia" w:ascii="仿宋" w:hAnsi="仿宋" w:eastAsia="仿宋"/>
          <w:b/>
          <w:sz w:val="32"/>
          <w:szCs w:val="32"/>
        </w:rPr>
        <w:drawing>
          <wp:inline distT="0" distB="0" distL="114300" distR="114300">
            <wp:extent cx="5454650" cy="2719705"/>
            <wp:effectExtent l="0" t="0" r="12700" b="44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spacing w:line="600" w:lineRule="exact"/>
        <w:ind w:firstLine="640" w:firstLineChars="200"/>
        <w:outlineLvl w:val="1"/>
        <w:rPr>
          <w:rStyle w:val="27"/>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26"/>
      <w:bookmarkEnd w:id="27"/>
    </w:p>
    <w:p>
      <w:pPr>
        <w:spacing w:line="600" w:lineRule="exact"/>
        <w:ind w:firstLine="640" w:firstLineChars="200"/>
        <w:outlineLvl w:val="2"/>
        <w:rPr>
          <w:rFonts w:ascii="楷体" w:hAnsi="楷体" w:eastAsia="楷体" w:cs="楷体"/>
          <w:bCs/>
          <w:sz w:val="32"/>
          <w:szCs w:val="32"/>
        </w:rPr>
      </w:pPr>
      <w:bookmarkStart w:id="28" w:name="_Toc15377210"/>
      <w:r>
        <w:rPr>
          <w:rFonts w:hint="eastAsia" w:ascii="楷体" w:hAnsi="楷体" w:eastAsia="楷体" w:cs="楷体"/>
          <w:bCs/>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年一般公共预算财政拨款支出2</w:t>
      </w:r>
      <w:r>
        <w:rPr>
          <w:rFonts w:ascii="仿宋" w:hAnsi="仿宋" w:eastAsia="仿宋"/>
          <w:sz w:val="32"/>
          <w:szCs w:val="32"/>
        </w:rPr>
        <w:t>519.62</w:t>
      </w:r>
      <w:r>
        <w:rPr>
          <w:rFonts w:hint="eastAsia" w:ascii="仿宋" w:hAnsi="仿宋" w:eastAsia="仿宋"/>
          <w:sz w:val="32"/>
          <w:szCs w:val="32"/>
        </w:rPr>
        <w:t>万元，占本年支出合计（</w:t>
      </w:r>
      <w:r>
        <w:rPr>
          <w:rFonts w:ascii="仿宋" w:hAnsi="仿宋" w:eastAsia="仿宋"/>
          <w:sz w:val="32"/>
          <w:szCs w:val="32"/>
        </w:rPr>
        <w:t>2581.20</w:t>
      </w:r>
      <w:r>
        <w:rPr>
          <w:rFonts w:hint="eastAsia" w:ascii="仿宋" w:hAnsi="仿宋" w:eastAsia="仿宋"/>
          <w:sz w:val="32"/>
          <w:szCs w:val="32"/>
        </w:rPr>
        <w:t>万元）的</w:t>
      </w:r>
      <w:r>
        <w:rPr>
          <w:rFonts w:ascii="仿宋" w:hAnsi="仿宋" w:eastAsia="仿宋"/>
          <w:sz w:val="32"/>
          <w:szCs w:val="32"/>
        </w:rPr>
        <w:t>97.61%</w:t>
      </w:r>
      <w:r>
        <w:rPr>
          <w:rFonts w:hint="eastAsia" w:ascii="仿宋" w:hAnsi="仿宋" w:eastAsia="仿宋"/>
          <w:sz w:val="32"/>
          <w:szCs w:val="32"/>
        </w:rPr>
        <w:t>。与</w:t>
      </w:r>
      <w:r>
        <w:rPr>
          <w:rFonts w:ascii="仿宋" w:hAnsi="仿宋" w:eastAsia="仿宋"/>
          <w:sz w:val="32"/>
          <w:szCs w:val="32"/>
        </w:rPr>
        <w:t>2021</w:t>
      </w:r>
      <w:r>
        <w:rPr>
          <w:rFonts w:hint="eastAsia" w:ascii="仿宋" w:hAnsi="仿宋" w:eastAsia="仿宋"/>
          <w:sz w:val="32"/>
          <w:szCs w:val="32"/>
        </w:rPr>
        <w:t>年（2427.04万元）相比，一般公共预算财政拨款支出增加</w:t>
      </w:r>
      <w:r>
        <w:rPr>
          <w:rFonts w:ascii="仿宋" w:hAnsi="仿宋" w:eastAsia="仿宋"/>
          <w:sz w:val="32"/>
          <w:szCs w:val="32"/>
        </w:rPr>
        <w:t>92.58</w:t>
      </w:r>
      <w:r>
        <w:rPr>
          <w:rFonts w:hint="eastAsia" w:ascii="仿宋" w:hAnsi="仿宋" w:eastAsia="仿宋"/>
          <w:sz w:val="32"/>
          <w:szCs w:val="32"/>
        </w:rPr>
        <w:t>万元，增长</w:t>
      </w:r>
      <w:r>
        <w:rPr>
          <w:rFonts w:ascii="仿宋" w:hAnsi="仿宋" w:eastAsia="仿宋"/>
          <w:sz w:val="32"/>
          <w:szCs w:val="32"/>
        </w:rPr>
        <w:t>3.81%</w:t>
      </w:r>
      <w:r>
        <w:rPr>
          <w:rFonts w:hint="eastAsia" w:ascii="仿宋" w:hAnsi="仿宋" w:eastAsia="仿宋"/>
          <w:sz w:val="32"/>
          <w:szCs w:val="32"/>
        </w:rPr>
        <w:t>。主要变动原因是人员经费和公用经费的收入和支出增加。</w:t>
      </w:r>
    </w:p>
    <w:p>
      <w:pPr>
        <w:pStyle w:val="2"/>
        <w:spacing w:before="93"/>
      </w:pPr>
      <w:r>
        <w:drawing>
          <wp:inline distT="0" distB="0" distL="114300" distR="114300">
            <wp:extent cx="5625465" cy="2684780"/>
            <wp:effectExtent l="0" t="0" r="13335" b="12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outlineLvl w:val="2"/>
        <w:rPr>
          <w:rFonts w:ascii="楷体" w:hAnsi="楷体" w:eastAsia="楷体" w:cs="楷体"/>
          <w:bCs/>
          <w:sz w:val="32"/>
          <w:szCs w:val="32"/>
        </w:rPr>
      </w:pPr>
      <w:bookmarkStart w:id="29" w:name="_Toc15377211"/>
      <w:r>
        <w:rPr>
          <w:rFonts w:hint="eastAsia" w:ascii="楷体" w:hAnsi="楷体" w:eastAsia="楷体" w:cs="楷体"/>
          <w:bCs/>
          <w:sz w:val="32"/>
          <w:szCs w:val="32"/>
        </w:rPr>
        <w:t>（二）一般公共预算财政拨款支出决算结构情况</w:t>
      </w:r>
      <w:bookmarkEnd w:id="29"/>
    </w:p>
    <w:p>
      <w:pPr>
        <w:spacing w:line="600" w:lineRule="exact"/>
        <w:ind w:firstLine="640"/>
        <w:rPr>
          <w:rFonts w:ascii="仿宋" w:hAnsi="仿宋" w:eastAsia="仿宋"/>
          <w:b/>
          <w:sz w:val="32"/>
          <w:szCs w:val="32"/>
        </w:rPr>
      </w:pPr>
      <w:r>
        <w:rPr>
          <w:rFonts w:ascii="仿宋" w:hAnsi="仿宋" w:eastAsia="仿宋"/>
          <w:sz w:val="32"/>
          <w:szCs w:val="32"/>
        </w:rPr>
        <w:t>2022</w:t>
      </w:r>
      <w:r>
        <w:rPr>
          <w:rFonts w:hint="eastAsia" w:ascii="仿宋" w:hAnsi="仿宋" w:eastAsia="仿宋"/>
          <w:sz w:val="32"/>
          <w:szCs w:val="32"/>
        </w:rPr>
        <w:t>年一般公共预算财政拨款支出2</w:t>
      </w:r>
      <w:r>
        <w:rPr>
          <w:rFonts w:ascii="仿宋" w:hAnsi="仿宋" w:eastAsia="仿宋"/>
          <w:sz w:val="32"/>
          <w:szCs w:val="32"/>
        </w:rPr>
        <w:t>519.62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教育支出（类）</w:t>
      </w:r>
      <w:r>
        <w:rPr>
          <w:rFonts w:ascii="仿宋" w:hAnsi="仿宋" w:eastAsia="仿宋"/>
          <w:sz w:val="32"/>
          <w:szCs w:val="32"/>
        </w:rPr>
        <w:t>2170.49</w:t>
      </w:r>
      <w:r>
        <w:rPr>
          <w:rFonts w:hint="eastAsia" w:ascii="仿宋" w:hAnsi="仿宋" w:eastAsia="仿宋"/>
          <w:sz w:val="32"/>
          <w:szCs w:val="32"/>
        </w:rPr>
        <w:t>万元，占8</w:t>
      </w:r>
      <w:r>
        <w:rPr>
          <w:rFonts w:ascii="仿宋" w:hAnsi="仿宋" w:eastAsia="仿宋"/>
          <w:sz w:val="32"/>
          <w:szCs w:val="32"/>
        </w:rPr>
        <w:t>6.14%</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ascii="仿宋" w:hAnsi="仿宋" w:eastAsia="仿宋"/>
          <w:sz w:val="32"/>
          <w:szCs w:val="32"/>
        </w:rPr>
        <w:t>147.10</w:t>
      </w:r>
      <w:r>
        <w:rPr>
          <w:rFonts w:hint="eastAsia" w:ascii="仿宋" w:hAnsi="仿宋" w:eastAsia="仿宋"/>
          <w:sz w:val="32"/>
          <w:szCs w:val="32"/>
        </w:rPr>
        <w:t>万元，占</w:t>
      </w:r>
      <w:r>
        <w:rPr>
          <w:rFonts w:ascii="仿宋" w:hAnsi="仿宋" w:eastAsia="仿宋"/>
          <w:sz w:val="32"/>
          <w:szCs w:val="32"/>
        </w:rPr>
        <w:t>5.84%</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9</w:t>
      </w:r>
      <w:r>
        <w:rPr>
          <w:rFonts w:ascii="仿宋" w:hAnsi="仿宋" w:eastAsia="仿宋"/>
          <w:sz w:val="32"/>
          <w:szCs w:val="32"/>
        </w:rPr>
        <w:t>1.71</w:t>
      </w:r>
      <w:r>
        <w:rPr>
          <w:rFonts w:hint="eastAsia" w:ascii="仿宋" w:hAnsi="仿宋" w:eastAsia="仿宋"/>
          <w:sz w:val="32"/>
          <w:szCs w:val="32"/>
        </w:rPr>
        <w:t>万元，占</w:t>
      </w:r>
      <w:r>
        <w:rPr>
          <w:rFonts w:ascii="仿宋" w:hAnsi="仿宋" w:eastAsia="仿宋"/>
          <w:sz w:val="32"/>
          <w:szCs w:val="32"/>
        </w:rPr>
        <w:t>3.64%</w:t>
      </w:r>
      <w:r>
        <w:rPr>
          <w:rFonts w:hint="eastAsia" w:ascii="仿宋" w:hAnsi="仿宋" w:eastAsia="仿宋"/>
          <w:sz w:val="32"/>
          <w:szCs w:val="32"/>
        </w:rPr>
        <w:t>；住房保障支出1</w:t>
      </w:r>
      <w:r>
        <w:rPr>
          <w:rFonts w:ascii="仿宋" w:hAnsi="仿宋" w:eastAsia="仿宋"/>
          <w:sz w:val="32"/>
          <w:szCs w:val="32"/>
        </w:rPr>
        <w:t>10.32</w:t>
      </w:r>
      <w:r>
        <w:rPr>
          <w:rFonts w:hint="eastAsia" w:ascii="仿宋" w:hAnsi="仿宋" w:eastAsia="仿宋"/>
          <w:sz w:val="32"/>
          <w:szCs w:val="32"/>
        </w:rPr>
        <w:t>万元，占</w:t>
      </w:r>
      <w:r>
        <w:rPr>
          <w:rFonts w:ascii="仿宋" w:hAnsi="仿宋" w:eastAsia="仿宋"/>
          <w:sz w:val="32"/>
          <w:szCs w:val="32"/>
        </w:rPr>
        <w:t>4.38%</w:t>
      </w:r>
      <w:r>
        <w:rPr>
          <w:rFonts w:hint="eastAsia" w:ascii="仿宋" w:hAnsi="仿宋" w:eastAsia="仿宋"/>
          <w:sz w:val="32"/>
          <w:szCs w:val="32"/>
        </w:rPr>
        <w:t>。</w:t>
      </w:r>
    </w:p>
    <w:p>
      <w:pPr>
        <w:pStyle w:val="2"/>
        <w:spacing w:before="93"/>
        <w:rPr>
          <w:rFonts w:ascii="仿宋" w:hAnsi="仿宋" w:eastAsia="仿宋"/>
          <w:sz w:val="32"/>
          <w:szCs w:val="32"/>
        </w:rPr>
      </w:pPr>
      <w:r>
        <w:rPr>
          <w:rFonts w:hint="eastAsia" w:ascii="仿宋" w:hAnsi="仿宋" w:eastAsia="仿宋"/>
          <w:sz w:val="32"/>
          <w:szCs w:val="32"/>
        </w:rPr>
        <w:drawing>
          <wp:inline distT="0" distB="0" distL="114300" distR="114300">
            <wp:extent cx="5525770" cy="2177415"/>
            <wp:effectExtent l="0" t="0" r="17780" b="1333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outlineLvl w:val="2"/>
        <w:rPr>
          <w:rFonts w:ascii="楷体" w:hAnsi="楷体" w:eastAsia="楷体" w:cs="楷体"/>
          <w:bCs/>
          <w:sz w:val="32"/>
          <w:szCs w:val="32"/>
        </w:rPr>
      </w:pPr>
      <w:bookmarkStart w:id="30" w:name="_Toc15377212"/>
      <w:r>
        <w:rPr>
          <w:rFonts w:hint="eastAsia" w:ascii="楷体" w:hAnsi="楷体" w:eastAsia="楷体" w:cs="楷体"/>
          <w:bCs/>
          <w:sz w:val="32"/>
          <w:szCs w:val="32"/>
        </w:rPr>
        <w:t>（三）一般公共预算财政拨款支出决算具体情况</w:t>
      </w:r>
      <w:bookmarkEnd w:id="30"/>
    </w:p>
    <w:p>
      <w:pPr>
        <w:spacing w:line="600" w:lineRule="exact"/>
        <w:ind w:firstLine="643" w:firstLineChars="200"/>
        <w:outlineLvl w:val="2"/>
        <w:rPr>
          <w:rFonts w:ascii="仿宋" w:hAnsi="仿宋" w:eastAsia="仿宋"/>
          <w:sz w:val="32"/>
          <w:szCs w:val="32"/>
        </w:rPr>
      </w:pPr>
      <w:bookmarkStart w:id="31" w:name="_Toc15377444"/>
      <w:bookmarkStart w:id="32" w:name="_Toc15377213"/>
      <w:bookmarkStart w:id="33" w:name="_Toc15378460"/>
      <w:r>
        <w:rPr>
          <w:rFonts w:hint="eastAsia" w:ascii="仿宋" w:hAnsi="仿宋" w:eastAsia="仿宋"/>
          <w:b/>
          <w:sz w:val="32"/>
          <w:szCs w:val="32"/>
        </w:rPr>
        <w:t>2022年一般公共预算支出决算数为</w:t>
      </w:r>
      <w:r>
        <w:rPr>
          <w:rFonts w:ascii="仿宋" w:hAnsi="仿宋" w:eastAsia="仿宋"/>
          <w:sz w:val="32"/>
          <w:szCs w:val="32"/>
        </w:rPr>
        <w:t>2519.62</w:t>
      </w:r>
      <w:r>
        <w:rPr>
          <w:rFonts w:hint="eastAsia" w:ascii="仿宋" w:hAnsi="仿宋" w:eastAsia="仿宋"/>
          <w:sz w:val="32"/>
          <w:szCs w:val="32"/>
        </w:rPr>
        <w:t>万元，</w:t>
      </w:r>
      <w:r>
        <w:rPr>
          <w:rStyle w:val="16"/>
          <w:rFonts w:hint="eastAsia" w:ascii="仿宋" w:hAnsi="仿宋" w:eastAsia="仿宋"/>
          <w:bCs/>
          <w:sz w:val="32"/>
          <w:szCs w:val="32"/>
        </w:rPr>
        <w:t>完成预算</w:t>
      </w:r>
      <w:r>
        <w:rPr>
          <w:rStyle w:val="16"/>
          <w:rFonts w:ascii="仿宋" w:hAnsi="仿宋" w:eastAsia="仿宋"/>
          <w:bCs/>
          <w:sz w:val="32"/>
          <w:szCs w:val="32"/>
        </w:rPr>
        <w:t>100%</w:t>
      </w:r>
      <w:r>
        <w:rPr>
          <w:rStyle w:val="16"/>
          <w:rFonts w:hint="eastAsia" w:ascii="仿宋" w:hAnsi="仿宋" w:eastAsia="仿宋"/>
          <w:bCs/>
          <w:sz w:val="32"/>
          <w:szCs w:val="32"/>
        </w:rPr>
        <w:t>。其中：</w:t>
      </w:r>
      <w:bookmarkEnd w:id="31"/>
      <w:bookmarkEnd w:id="32"/>
      <w:bookmarkEnd w:id="33"/>
    </w:p>
    <w:p>
      <w:pPr>
        <w:numPr>
          <w:ilvl w:val="0"/>
          <w:numId w:val="2"/>
        </w:numPr>
        <w:spacing w:line="600" w:lineRule="exact"/>
        <w:ind w:firstLine="643"/>
        <w:rPr>
          <w:rStyle w:val="16"/>
          <w:rFonts w:ascii="仿宋" w:hAnsi="仿宋" w:eastAsia="仿宋"/>
          <w:b w:val="0"/>
          <w:bCs/>
          <w:sz w:val="32"/>
          <w:szCs w:val="32"/>
        </w:rPr>
      </w:pPr>
      <w:r>
        <w:rPr>
          <w:rStyle w:val="16"/>
          <w:rFonts w:hint="eastAsia" w:ascii="仿宋" w:hAnsi="仿宋" w:eastAsia="仿宋"/>
          <w:bCs/>
          <w:sz w:val="32"/>
          <w:szCs w:val="32"/>
        </w:rPr>
        <w:t>教育（类）普通教育（款）学前教育（项）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ascii="仿宋" w:hAnsi="仿宋" w:eastAsia="仿宋"/>
          <w:b w:val="0"/>
          <w:bCs/>
          <w:sz w:val="32"/>
          <w:szCs w:val="32"/>
        </w:rPr>
        <w:t>101.46</w:t>
      </w:r>
      <w:r>
        <w:rPr>
          <w:rStyle w:val="16"/>
          <w:rFonts w:hint="eastAsia" w:ascii="仿宋" w:hAnsi="仿宋" w:eastAsia="仿宋"/>
          <w:b w:val="0"/>
          <w:bCs/>
          <w:sz w:val="32"/>
          <w:szCs w:val="32"/>
        </w:rPr>
        <w:t>万元，完成预算</w:t>
      </w:r>
      <w:r>
        <w:rPr>
          <w:rStyle w:val="16"/>
          <w:rFonts w:ascii="仿宋" w:hAnsi="仿宋" w:eastAsia="仿宋"/>
          <w:b w:val="0"/>
          <w:bCs/>
          <w:sz w:val="32"/>
          <w:szCs w:val="32"/>
        </w:rPr>
        <w:t>100%</w:t>
      </w:r>
      <w:r>
        <w:rPr>
          <w:rStyle w:val="16"/>
          <w:rFonts w:hint="eastAsia" w:ascii="仿宋" w:hAnsi="仿宋" w:eastAsia="仿宋"/>
          <w:b w:val="0"/>
          <w:bCs/>
          <w:sz w:val="32"/>
          <w:szCs w:val="32"/>
        </w:rPr>
        <w:t>。</w:t>
      </w:r>
      <w:r>
        <w:rPr>
          <w:rStyle w:val="16"/>
          <w:rFonts w:ascii="仿宋" w:hAnsi="仿宋" w:eastAsia="仿宋"/>
          <w:b w:val="0"/>
          <w:bCs/>
          <w:sz w:val="32"/>
          <w:szCs w:val="32"/>
        </w:rPr>
        <w:t xml:space="preserve"> </w:t>
      </w:r>
    </w:p>
    <w:p>
      <w:pPr>
        <w:numPr>
          <w:ilvl w:val="0"/>
          <w:numId w:val="2"/>
        </w:numPr>
        <w:spacing w:line="600" w:lineRule="exact"/>
        <w:ind w:firstLine="643"/>
        <w:rPr>
          <w:rStyle w:val="16"/>
          <w:rFonts w:ascii="仿宋" w:hAnsi="仿宋" w:eastAsia="仿宋" w:cstheme="minorBidi"/>
          <w:b w:val="0"/>
          <w:bCs/>
          <w:sz w:val="32"/>
          <w:szCs w:val="32"/>
        </w:rPr>
      </w:pPr>
      <w:r>
        <w:rPr>
          <w:rStyle w:val="16"/>
          <w:rFonts w:hint="eastAsia" w:ascii="仿宋" w:hAnsi="仿宋" w:eastAsia="仿宋" w:cstheme="minorBidi"/>
          <w:bCs/>
          <w:sz w:val="32"/>
          <w:szCs w:val="32"/>
        </w:rPr>
        <w:t>教育（类）普通教育（款）小学教育（项）：</w:t>
      </w:r>
      <w:r>
        <w:rPr>
          <w:rStyle w:val="16"/>
          <w:rFonts w:hint="eastAsia" w:ascii="仿宋" w:hAnsi="仿宋" w:eastAsia="仿宋" w:cstheme="minorBidi"/>
          <w:b w:val="0"/>
          <w:bCs/>
          <w:sz w:val="32"/>
          <w:szCs w:val="32"/>
        </w:rPr>
        <w:t>支出决算为</w:t>
      </w:r>
      <w:r>
        <w:rPr>
          <w:rStyle w:val="16"/>
          <w:rFonts w:ascii="仿宋" w:hAnsi="仿宋" w:eastAsia="仿宋" w:cstheme="minorBidi"/>
          <w:b w:val="0"/>
          <w:bCs/>
          <w:sz w:val="32"/>
          <w:szCs w:val="32"/>
        </w:rPr>
        <w:t>2069.03</w:t>
      </w:r>
      <w:r>
        <w:rPr>
          <w:rStyle w:val="16"/>
          <w:rFonts w:hint="eastAsia" w:ascii="仿宋" w:hAnsi="仿宋" w:eastAsia="仿宋" w:cstheme="minorBidi"/>
          <w:b w:val="0"/>
          <w:bCs/>
          <w:sz w:val="32"/>
          <w:szCs w:val="32"/>
        </w:rPr>
        <w:t>万元，完成预算</w:t>
      </w:r>
      <w:r>
        <w:rPr>
          <w:rStyle w:val="16"/>
          <w:rFonts w:ascii="仿宋" w:hAnsi="仿宋" w:eastAsia="仿宋" w:cstheme="minorBidi"/>
          <w:b w:val="0"/>
          <w:bCs/>
          <w:sz w:val="32"/>
          <w:szCs w:val="32"/>
        </w:rPr>
        <w:t>100</w:t>
      </w:r>
      <w:r>
        <w:rPr>
          <w:rStyle w:val="16"/>
          <w:rFonts w:hint="eastAsia" w:ascii="仿宋" w:hAnsi="仿宋" w:eastAsia="仿宋" w:cstheme="minorBidi"/>
          <w:b w:val="0"/>
          <w:bCs/>
          <w:sz w:val="32"/>
          <w:szCs w:val="32"/>
        </w:rPr>
        <w:t>%。</w:t>
      </w:r>
    </w:p>
    <w:p>
      <w:pPr>
        <w:numPr>
          <w:ilvl w:val="0"/>
          <w:numId w:val="2"/>
        </w:numPr>
        <w:spacing w:line="600" w:lineRule="exact"/>
        <w:ind w:firstLine="643"/>
        <w:rPr>
          <w:rStyle w:val="16"/>
          <w:rFonts w:ascii="仿宋" w:hAnsi="仿宋" w:eastAsia="仿宋"/>
          <w:b w:val="0"/>
          <w:bCs/>
          <w:sz w:val="32"/>
          <w:szCs w:val="32"/>
        </w:rPr>
      </w:pPr>
      <w:r>
        <w:rPr>
          <w:rStyle w:val="16"/>
          <w:rFonts w:hint="eastAsia" w:ascii="仿宋" w:hAnsi="仿宋" w:eastAsia="仿宋"/>
          <w:bCs/>
          <w:sz w:val="32"/>
          <w:szCs w:val="32"/>
        </w:rPr>
        <w:t>社会保障和就业（类）行政事业单位养老支出（款）  机关事业单位基本养老保险缴费支出（项）</w:t>
      </w:r>
      <w:r>
        <w:rPr>
          <w:rStyle w:val="16"/>
          <w:rFonts w:ascii="仿宋" w:hAnsi="仿宋" w:eastAsia="仿宋"/>
          <w:bCs/>
          <w:sz w:val="32"/>
          <w:szCs w:val="32"/>
        </w:rPr>
        <w:t>:</w:t>
      </w:r>
      <w:r>
        <w:rPr>
          <w:rStyle w:val="16"/>
          <w:rFonts w:ascii="仿宋" w:hAnsi="仿宋" w:eastAsia="仿宋"/>
          <w:b w:val="0"/>
          <w:bCs/>
          <w:sz w:val="32"/>
          <w:szCs w:val="32"/>
        </w:rPr>
        <w:t xml:space="preserve"> </w:t>
      </w:r>
      <w:r>
        <w:rPr>
          <w:rStyle w:val="16"/>
          <w:rFonts w:hint="eastAsia" w:ascii="仿宋" w:hAnsi="仿宋" w:eastAsia="仿宋"/>
          <w:b w:val="0"/>
          <w:bCs/>
          <w:sz w:val="32"/>
          <w:szCs w:val="32"/>
        </w:rPr>
        <w:t>支出决算为</w:t>
      </w:r>
      <w:r>
        <w:rPr>
          <w:rStyle w:val="16"/>
          <w:rFonts w:ascii="仿宋" w:hAnsi="仿宋" w:eastAsia="仿宋"/>
          <w:b w:val="0"/>
          <w:bCs/>
          <w:sz w:val="32"/>
          <w:szCs w:val="32"/>
        </w:rPr>
        <w:t>147.10</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pStyle w:val="25"/>
        <w:numPr>
          <w:ilvl w:val="0"/>
          <w:numId w:val="2"/>
        </w:numPr>
        <w:spacing w:line="600" w:lineRule="exact"/>
        <w:ind w:firstLineChars="0"/>
        <w:rPr>
          <w:rStyle w:val="16"/>
          <w:rFonts w:ascii="仿宋" w:hAnsi="仿宋" w:eastAsia="仿宋"/>
          <w:b w:val="0"/>
          <w:bCs/>
          <w:sz w:val="32"/>
          <w:szCs w:val="32"/>
        </w:rPr>
      </w:pPr>
      <w:r>
        <w:rPr>
          <w:rFonts w:hint="eastAsia" w:ascii="仿宋" w:hAnsi="仿宋" w:eastAsia="仿宋"/>
          <w:b/>
          <w:bCs/>
          <w:sz w:val="32"/>
          <w:szCs w:val="32"/>
        </w:rPr>
        <w:t>卫生健康</w:t>
      </w:r>
      <w:r>
        <w:rPr>
          <w:rStyle w:val="16"/>
          <w:rFonts w:hint="eastAsia" w:ascii="仿宋" w:hAnsi="仿宋" w:eastAsia="仿宋"/>
          <w:bCs/>
          <w:sz w:val="32"/>
          <w:szCs w:val="32"/>
        </w:rPr>
        <w:t>（类）卫生健康支出（款）事业单位医疗（项）</w:t>
      </w:r>
      <w:r>
        <w:rPr>
          <w:rStyle w:val="16"/>
          <w:rFonts w:ascii="仿宋" w:hAnsi="仿宋" w:eastAsia="仿宋"/>
          <w:bCs/>
          <w:sz w:val="32"/>
          <w:szCs w:val="32"/>
        </w:rPr>
        <w:t>:</w:t>
      </w:r>
      <w:r>
        <w:rPr>
          <w:rStyle w:val="16"/>
          <w:rFonts w:hint="eastAsia" w:ascii="仿宋" w:hAnsi="仿宋" w:eastAsia="仿宋"/>
          <w:b w:val="0"/>
          <w:bCs/>
          <w:sz w:val="32"/>
          <w:szCs w:val="32"/>
        </w:rPr>
        <w:t>支出决算为</w:t>
      </w:r>
      <w:r>
        <w:rPr>
          <w:rStyle w:val="16"/>
          <w:rFonts w:ascii="仿宋" w:hAnsi="仿宋" w:eastAsia="仿宋"/>
          <w:b w:val="0"/>
          <w:bCs/>
          <w:sz w:val="32"/>
          <w:szCs w:val="32"/>
        </w:rPr>
        <w:t>91.71</w:t>
      </w:r>
      <w:r>
        <w:rPr>
          <w:rStyle w:val="16"/>
          <w:rFonts w:hint="eastAsia" w:ascii="仿宋" w:hAnsi="仿宋" w:eastAsia="仿宋"/>
          <w:b w:val="0"/>
          <w:bCs/>
          <w:sz w:val="32"/>
          <w:szCs w:val="32"/>
        </w:rPr>
        <w:t>万元，完成预算100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pStyle w:val="2"/>
        <w:spacing w:before="93"/>
        <w:ind w:left="197" w:firstLine="321" w:firstLineChars="100"/>
        <w:rPr>
          <w:rStyle w:val="16"/>
        </w:rPr>
      </w:pPr>
      <w:r>
        <w:rPr>
          <w:rFonts w:hint="eastAsia" w:ascii="仿宋" w:hAnsi="仿宋" w:eastAsia="仿宋"/>
          <w:b/>
          <w:bCs/>
          <w:kern w:val="2"/>
          <w:sz w:val="32"/>
          <w:szCs w:val="32"/>
        </w:rPr>
        <w:t>5</w:t>
      </w:r>
      <w:r>
        <w:rPr>
          <w:rFonts w:ascii="仿宋" w:hAnsi="仿宋" w:eastAsia="仿宋"/>
          <w:b/>
          <w:bCs/>
          <w:kern w:val="2"/>
          <w:sz w:val="32"/>
          <w:szCs w:val="32"/>
        </w:rPr>
        <w:t>.</w:t>
      </w:r>
      <w:r>
        <w:rPr>
          <w:rFonts w:hint="eastAsia" w:ascii="仿宋" w:hAnsi="仿宋" w:eastAsia="仿宋"/>
          <w:b/>
          <w:bCs/>
          <w:kern w:val="2"/>
          <w:sz w:val="32"/>
          <w:szCs w:val="32"/>
        </w:rPr>
        <w:t>住房保障支出（类）住房改革支出（款）  住房公积金（项）:</w:t>
      </w:r>
      <w:r>
        <w:rPr>
          <w:rStyle w:val="16"/>
          <w:rFonts w:ascii="仿宋" w:hAnsi="仿宋" w:eastAsia="仿宋"/>
          <w:b w:val="0"/>
          <w:bCs/>
          <w:kern w:val="2"/>
          <w:sz w:val="32"/>
          <w:szCs w:val="32"/>
        </w:rPr>
        <w:t>支出</w:t>
      </w:r>
      <w:r>
        <w:rPr>
          <w:rStyle w:val="16"/>
          <w:rFonts w:hint="eastAsia" w:ascii="仿宋" w:hAnsi="仿宋" w:eastAsia="仿宋"/>
          <w:b w:val="0"/>
          <w:bCs/>
          <w:kern w:val="2"/>
          <w:sz w:val="32"/>
          <w:szCs w:val="32"/>
        </w:rPr>
        <w:t>决算为1</w:t>
      </w:r>
      <w:r>
        <w:rPr>
          <w:rStyle w:val="16"/>
          <w:rFonts w:ascii="仿宋" w:hAnsi="仿宋" w:eastAsia="仿宋"/>
          <w:b w:val="0"/>
          <w:bCs/>
          <w:kern w:val="2"/>
          <w:sz w:val="32"/>
          <w:szCs w:val="32"/>
        </w:rPr>
        <w:t>10.32</w:t>
      </w:r>
      <w:r>
        <w:rPr>
          <w:rStyle w:val="16"/>
          <w:rFonts w:hint="eastAsia" w:ascii="仿宋" w:hAnsi="仿宋" w:eastAsia="仿宋"/>
          <w:b w:val="0"/>
          <w:bCs/>
          <w:kern w:val="2"/>
          <w:sz w:val="32"/>
          <w:szCs w:val="32"/>
        </w:rPr>
        <w:t>万元，</w:t>
      </w:r>
      <w:r>
        <w:rPr>
          <w:rStyle w:val="16"/>
          <w:rFonts w:hint="eastAsia" w:ascii="仿宋" w:hAnsi="仿宋" w:eastAsia="仿宋"/>
          <w:b w:val="0"/>
          <w:bCs/>
          <w:sz w:val="32"/>
          <w:szCs w:val="32"/>
        </w:rPr>
        <w:t>完成预算100</w:t>
      </w:r>
      <w:r>
        <w:rPr>
          <w:rStyle w:val="16"/>
          <w:rFonts w:ascii="仿宋" w:hAnsi="仿宋" w:eastAsia="仿宋"/>
          <w:b w:val="0"/>
          <w:bCs/>
          <w:sz w:val="32"/>
          <w:szCs w:val="32"/>
        </w:rPr>
        <w:t>%</w:t>
      </w:r>
      <w:r>
        <w:rPr>
          <w:rStyle w:val="16"/>
          <w:rFonts w:hint="eastAsia" w:ascii="仿宋" w:hAnsi="仿宋" w:eastAsia="仿宋"/>
          <w:b w:val="0"/>
          <w:bCs/>
          <w:sz w:val="32"/>
          <w:szCs w:val="32"/>
        </w:rPr>
        <w:t>。</w:t>
      </w:r>
    </w:p>
    <w:p>
      <w:pPr>
        <w:tabs>
          <w:tab w:val="right" w:pos="8306"/>
        </w:tabs>
        <w:spacing w:line="600" w:lineRule="exact"/>
        <w:ind w:firstLine="640"/>
        <w:outlineLvl w:val="1"/>
        <w:rPr>
          <w:rStyle w:val="27"/>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34"/>
      <w:bookmarkEnd w:id="35"/>
      <w:r>
        <w:rPr>
          <w:rStyle w:val="27"/>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2022</w:t>
      </w:r>
      <w:r>
        <w:rPr>
          <w:rFonts w:hint="eastAsia" w:ascii="仿宋" w:hAnsi="仿宋" w:eastAsia="仿宋"/>
          <w:spacing w:val="-6"/>
          <w:sz w:val="32"/>
          <w:szCs w:val="32"/>
        </w:rPr>
        <w:t>年一般公共预算财政拨款基本支出22</w:t>
      </w:r>
      <w:r>
        <w:rPr>
          <w:rFonts w:ascii="仿宋" w:hAnsi="仿宋" w:eastAsia="仿宋"/>
          <w:spacing w:val="-6"/>
          <w:sz w:val="32"/>
          <w:szCs w:val="32"/>
        </w:rPr>
        <w:t>59.14</w:t>
      </w:r>
      <w:r>
        <w:rPr>
          <w:rFonts w:hint="eastAsia" w:ascii="仿宋" w:hAnsi="仿宋" w:eastAsia="仿宋"/>
          <w:spacing w:val="-6"/>
          <w:sz w:val="32"/>
          <w:szCs w:val="32"/>
        </w:rPr>
        <w:t>万元，其中：</w:t>
      </w:r>
    </w:p>
    <w:p>
      <w:pPr>
        <w:spacing w:line="600" w:lineRule="exact"/>
        <w:ind w:firstLine="645"/>
        <w:rPr>
          <w:rFonts w:hint="eastAsia" w:ascii="仿宋" w:hAnsi="仿宋" w:eastAsia="仿宋"/>
          <w:color w:val="auto"/>
          <w:sz w:val="32"/>
          <w:szCs w:val="32"/>
          <w:highlight w:val="none"/>
        </w:rPr>
      </w:pPr>
      <w:r>
        <w:rPr>
          <w:rFonts w:hint="eastAsia" w:ascii="仿宋" w:hAnsi="仿宋" w:eastAsia="仿宋"/>
          <w:sz w:val="32"/>
          <w:szCs w:val="32"/>
        </w:rPr>
        <w:t>人员经费2030.</w:t>
      </w:r>
      <w:r>
        <w:rPr>
          <w:rFonts w:ascii="仿宋" w:hAnsi="仿宋" w:eastAsia="仿宋"/>
          <w:sz w:val="32"/>
          <w:szCs w:val="32"/>
        </w:rPr>
        <w:t>91</w:t>
      </w:r>
      <w:r>
        <w:rPr>
          <w:rFonts w:hint="eastAsia" w:ascii="仿宋" w:hAnsi="仿宋" w:eastAsia="仿宋"/>
          <w:sz w:val="32"/>
          <w:szCs w:val="32"/>
        </w:rPr>
        <w:t>万元，主要包括：</w:t>
      </w:r>
      <w:r>
        <w:rPr>
          <w:rFonts w:hint="eastAsia" w:ascii="仿宋" w:hAnsi="仿宋" w:eastAsia="仿宋"/>
          <w:color w:val="auto"/>
          <w:sz w:val="32"/>
          <w:szCs w:val="32"/>
          <w:highlight w:val="none"/>
        </w:rPr>
        <w:t>基本工资、津贴补贴、奖金、绩效工资、机关事业单位基本养老保险缴费、职业年金缴费、其他社会保障缴费、其他工资福利支出、抚恤金、生活补助、奖励金、住房公积金、其他对个人和家庭的补助支出等。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rPr>
        <w:t>228.23</w:t>
      </w:r>
      <w:r>
        <w:rPr>
          <w:rFonts w:hint="eastAsia" w:ascii="仿宋" w:hAnsi="仿宋" w:eastAsia="仿宋"/>
          <w:sz w:val="32"/>
          <w:szCs w:val="32"/>
        </w:rPr>
        <w:t>万元，主要包括：</w:t>
      </w:r>
      <w:r>
        <w:rPr>
          <w:rFonts w:hint="eastAsia" w:ascii="仿宋" w:hAnsi="仿宋" w:eastAsia="仿宋"/>
          <w:color w:val="auto"/>
          <w:sz w:val="32"/>
          <w:szCs w:val="32"/>
          <w:highlight w:val="none"/>
        </w:rPr>
        <w:t>办公费、印刷费、咨询费、手续费、水费、电费、邮电费、取暖费、差旅费、维修（护）费、租赁费、会议费、培训费、劳务费、工会经费、福利费、其他交通费、其他商品和服务支出、办公设备购置、专用设备购置、信息网络及软件购置更新、其他资本性支出等。</w:t>
      </w:r>
    </w:p>
    <w:p>
      <w:pPr>
        <w:spacing w:line="600" w:lineRule="exact"/>
        <w:ind w:firstLine="640"/>
        <w:outlineLvl w:val="1"/>
        <w:rPr>
          <w:rStyle w:val="27"/>
          <w:rFonts w:ascii="黑体" w:hAnsi="黑体" w:eastAsia="黑体"/>
          <w:b w:val="0"/>
        </w:rPr>
      </w:pPr>
      <w:bookmarkStart w:id="36" w:name="_Toc15377215"/>
      <w:bookmarkStart w:id="37" w:name="_Toc15396609"/>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36"/>
      <w:bookmarkEnd w:id="37"/>
    </w:p>
    <w:p>
      <w:pPr>
        <w:spacing w:line="600" w:lineRule="exact"/>
        <w:ind w:firstLine="640"/>
        <w:outlineLvl w:val="1"/>
        <w:rPr>
          <w:rFonts w:hint="eastAsia" w:ascii="仿宋" w:hAnsi="仿宋" w:eastAsia="仿宋"/>
          <w:sz w:val="32"/>
          <w:szCs w:val="32"/>
        </w:rPr>
      </w:pPr>
      <w:bookmarkStart w:id="38" w:name="_Toc15377218"/>
      <w:bookmarkStart w:id="39" w:name="_Toc15396610"/>
      <w:r>
        <w:rPr>
          <w:rFonts w:hint="eastAsia" w:ascii="仿宋" w:hAnsi="仿宋" w:eastAsia="仿宋"/>
          <w:sz w:val="32"/>
          <w:szCs w:val="32"/>
        </w:rPr>
        <w:t>（一）“三公”经费财政拨款支出决算总体情况说明</w:t>
      </w:r>
    </w:p>
    <w:p>
      <w:pPr>
        <w:spacing w:line="600" w:lineRule="exact"/>
        <w:ind w:firstLine="640"/>
        <w:outlineLvl w:val="1"/>
        <w:rPr>
          <w:rFonts w:hint="eastAsia" w:ascii="仿宋" w:hAnsi="仿宋" w:eastAsia="仿宋"/>
          <w:sz w:val="32"/>
          <w:szCs w:val="32"/>
        </w:rPr>
      </w:pPr>
      <w:r>
        <w:rPr>
          <w:rFonts w:hint="eastAsia" w:ascii="仿宋" w:hAnsi="仿宋" w:eastAsia="仿宋"/>
          <w:sz w:val="32"/>
          <w:szCs w:val="32"/>
        </w:rPr>
        <w:t>2022年“三公”经费财政拨款支出决算为0万元，与2021年持平。</w:t>
      </w:r>
    </w:p>
    <w:p>
      <w:pPr>
        <w:spacing w:line="600" w:lineRule="exact"/>
        <w:ind w:firstLine="640"/>
        <w:outlineLvl w:val="1"/>
        <w:rPr>
          <w:rFonts w:hint="eastAsia" w:ascii="仿宋" w:hAnsi="仿宋" w:eastAsia="仿宋"/>
          <w:sz w:val="32"/>
          <w:szCs w:val="32"/>
        </w:rPr>
      </w:pPr>
      <w:r>
        <w:rPr>
          <w:rFonts w:hint="eastAsia" w:ascii="仿宋" w:hAnsi="仿宋" w:eastAsia="仿宋"/>
          <w:sz w:val="32"/>
          <w:szCs w:val="32"/>
        </w:rPr>
        <w:t>（二）“三公”经费财政拨款支出决算具体情况说明</w:t>
      </w:r>
    </w:p>
    <w:p>
      <w:pPr>
        <w:spacing w:line="600" w:lineRule="exact"/>
        <w:ind w:firstLine="640"/>
        <w:outlineLvl w:val="1"/>
        <w:rPr>
          <w:rFonts w:hint="eastAsia" w:ascii="仿宋" w:hAnsi="仿宋" w:eastAsia="仿宋"/>
          <w:sz w:val="32"/>
          <w:szCs w:val="32"/>
        </w:rPr>
      </w:pPr>
      <w:r>
        <w:rPr>
          <w:rFonts w:hint="eastAsia" w:ascii="仿宋" w:hAnsi="仿宋" w:eastAsia="仿宋"/>
          <w:sz w:val="32"/>
          <w:szCs w:val="32"/>
        </w:rPr>
        <w:t>2022年“三公”经费财政拨款支出决算中，因公出国（境）费支出决算0万元，占0.00%；公务用车购置及运行维护费支出决算0万元，占0.00%；公务接待费支出决算0万元，占0.00%，与2021年持平。具体情况如下：</w:t>
      </w:r>
    </w:p>
    <w:p>
      <w:pPr>
        <w:spacing w:line="600" w:lineRule="exact"/>
        <w:ind w:firstLine="640"/>
        <w:outlineLvl w:val="1"/>
        <w:rPr>
          <w:rFonts w:hint="eastAsia" w:ascii="仿宋" w:hAnsi="仿宋" w:eastAsia="仿宋"/>
          <w:sz w:val="32"/>
          <w:szCs w:val="32"/>
        </w:rPr>
      </w:pPr>
      <w:r>
        <w:rPr>
          <w:rFonts w:hint="eastAsia" w:ascii="仿宋" w:hAnsi="仿宋" w:eastAsia="仿宋"/>
          <w:sz w:val="32"/>
          <w:szCs w:val="32"/>
        </w:rPr>
        <w:t>1.因公出国（境）经费支出0万元，完成预算0.00%。全年安排因公出国（境）团组0次，出国（境）0人。</w:t>
      </w:r>
    </w:p>
    <w:p>
      <w:pPr>
        <w:spacing w:line="600" w:lineRule="exact"/>
        <w:ind w:firstLine="640"/>
        <w:outlineLvl w:val="1"/>
        <w:rPr>
          <w:rFonts w:hint="eastAsia" w:ascii="仿宋" w:hAnsi="仿宋" w:eastAsia="仿宋"/>
          <w:sz w:val="32"/>
          <w:szCs w:val="32"/>
        </w:rPr>
      </w:pPr>
      <w:r>
        <w:rPr>
          <w:rFonts w:hint="eastAsia" w:ascii="仿宋" w:hAnsi="仿宋" w:eastAsia="仿宋"/>
          <w:sz w:val="32"/>
          <w:szCs w:val="32"/>
        </w:rPr>
        <w:t>2.公务用车购置及运行维护费支出0万元,完成预算0.00%。</w:t>
      </w:r>
    </w:p>
    <w:p>
      <w:pPr>
        <w:spacing w:line="600" w:lineRule="exact"/>
        <w:ind w:firstLine="640"/>
        <w:outlineLvl w:val="1"/>
        <w:rPr>
          <w:rFonts w:hint="eastAsia" w:ascii="仿宋" w:hAnsi="仿宋" w:eastAsia="仿宋"/>
          <w:sz w:val="32"/>
          <w:szCs w:val="32"/>
        </w:rPr>
      </w:pPr>
      <w:r>
        <w:rPr>
          <w:rFonts w:hint="eastAsia" w:ascii="仿宋" w:hAnsi="仿宋" w:eastAsia="仿宋"/>
          <w:sz w:val="32"/>
          <w:szCs w:val="32"/>
        </w:rPr>
        <w:t>其中：公务用车购置支出0万元。截至2022年12月底，单位共有公务用车0辆。</w:t>
      </w:r>
    </w:p>
    <w:p>
      <w:pPr>
        <w:spacing w:line="600" w:lineRule="exact"/>
        <w:ind w:firstLine="640"/>
        <w:outlineLvl w:val="1"/>
        <w:rPr>
          <w:rFonts w:hint="eastAsia" w:ascii="仿宋" w:hAnsi="仿宋" w:eastAsia="仿宋"/>
          <w:sz w:val="32"/>
          <w:szCs w:val="32"/>
        </w:rPr>
      </w:pPr>
      <w:r>
        <w:rPr>
          <w:rFonts w:hint="eastAsia" w:ascii="仿宋" w:hAnsi="仿宋" w:eastAsia="仿宋"/>
          <w:sz w:val="32"/>
          <w:szCs w:val="32"/>
        </w:rPr>
        <w:t>公务用车运行维护费支出0万元。</w:t>
      </w:r>
    </w:p>
    <w:p>
      <w:pPr>
        <w:spacing w:line="600" w:lineRule="exact"/>
        <w:ind w:firstLine="640"/>
        <w:outlineLvl w:val="1"/>
        <w:rPr>
          <w:rFonts w:hint="eastAsia" w:ascii="仿宋" w:hAnsi="仿宋" w:eastAsia="仿宋"/>
          <w:sz w:val="32"/>
          <w:szCs w:val="32"/>
        </w:rPr>
      </w:pPr>
      <w:r>
        <w:rPr>
          <w:rFonts w:hint="eastAsia" w:ascii="仿宋" w:hAnsi="仿宋" w:eastAsia="仿宋"/>
          <w:sz w:val="32"/>
          <w:szCs w:val="32"/>
        </w:rPr>
        <w:t>3.公务接待费支出0万元。其中：</w:t>
      </w:r>
    </w:p>
    <w:p>
      <w:pPr>
        <w:spacing w:line="600" w:lineRule="exact"/>
        <w:ind w:firstLine="640"/>
        <w:outlineLvl w:val="1"/>
        <w:rPr>
          <w:rFonts w:hint="eastAsia" w:ascii="仿宋" w:hAnsi="仿宋" w:eastAsia="仿宋"/>
          <w:sz w:val="32"/>
          <w:szCs w:val="32"/>
        </w:rPr>
      </w:pPr>
      <w:r>
        <w:rPr>
          <w:rFonts w:hint="eastAsia" w:ascii="仿宋" w:hAnsi="仿宋" w:eastAsia="仿宋"/>
          <w:sz w:val="32"/>
          <w:szCs w:val="32"/>
        </w:rPr>
        <w:t>国内公务接待支出0万元。</w:t>
      </w:r>
    </w:p>
    <w:p>
      <w:pPr>
        <w:spacing w:line="600" w:lineRule="exact"/>
        <w:ind w:firstLine="640"/>
        <w:outlineLvl w:val="1"/>
        <w:rPr>
          <w:rFonts w:hint="eastAsia" w:ascii="仿宋" w:hAnsi="仿宋" w:eastAsia="仿宋"/>
          <w:sz w:val="32"/>
          <w:szCs w:val="32"/>
        </w:rPr>
      </w:pPr>
      <w:r>
        <w:rPr>
          <w:rFonts w:hint="eastAsia" w:ascii="仿宋" w:hAnsi="仿宋" w:eastAsia="仿宋"/>
          <w:sz w:val="32"/>
          <w:szCs w:val="32"/>
        </w:rPr>
        <w:t>外事接待支出0万元。</w:t>
      </w:r>
    </w:p>
    <w:p>
      <w:pPr>
        <w:spacing w:line="600" w:lineRule="exact"/>
        <w:ind w:firstLine="640"/>
        <w:outlineLvl w:val="1"/>
        <w:rPr>
          <w:rStyle w:val="27"/>
          <w:rFonts w:ascii="黑体" w:hAnsi="黑体" w:eastAsia="黑体"/>
        </w:rPr>
      </w:pPr>
      <w:r>
        <w:rPr>
          <w:rFonts w:hint="eastAsia" w:ascii="黑体" w:eastAsia="黑体"/>
          <w:sz w:val="32"/>
          <w:szCs w:val="32"/>
        </w:rPr>
        <w:t>八、</w:t>
      </w:r>
      <w:r>
        <w:rPr>
          <w:rStyle w:val="27"/>
          <w:rFonts w:hint="eastAsia" w:ascii="黑体" w:hAnsi="黑体" w:eastAsia="黑体"/>
          <w:b w:val="0"/>
        </w:rPr>
        <w:t>政府性基金预算支出决算情况说明</w:t>
      </w:r>
      <w:bookmarkEnd w:id="38"/>
      <w:bookmarkEnd w:id="39"/>
    </w:p>
    <w:p>
      <w:pPr>
        <w:spacing w:line="600" w:lineRule="exact"/>
        <w:ind w:firstLine="64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年政府性基金预算财政拨款支出0万元。</w:t>
      </w:r>
    </w:p>
    <w:p>
      <w:pPr>
        <w:numPr>
          <w:ilvl w:val="0"/>
          <w:numId w:val="3"/>
        </w:numPr>
        <w:spacing w:line="600" w:lineRule="exact"/>
        <w:ind w:firstLine="640"/>
        <w:outlineLvl w:val="1"/>
        <w:rPr>
          <w:rStyle w:val="27"/>
          <w:rFonts w:ascii="黑体" w:hAnsi="黑体" w:eastAsia="黑体"/>
          <w:b w:val="0"/>
        </w:rPr>
      </w:pPr>
      <w:bookmarkStart w:id="40" w:name="_Toc15396611"/>
      <w:bookmarkStart w:id="41" w:name="_Toc15377219"/>
      <w:r>
        <w:rPr>
          <w:rStyle w:val="27"/>
          <w:rFonts w:hint="eastAsia" w:ascii="黑体" w:hAnsi="黑体" w:eastAsia="黑体"/>
          <w:b w:val="0"/>
        </w:rPr>
        <w:t>国有资本经营预算支出决算情况说明</w:t>
      </w:r>
      <w:bookmarkEnd w:id="40"/>
      <w:bookmarkEnd w:id="41"/>
    </w:p>
    <w:p>
      <w:pPr>
        <w:spacing w:line="600" w:lineRule="exact"/>
        <w:ind w:firstLine="64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年国有资本经营预算财政拨款支出0万元。</w:t>
      </w:r>
    </w:p>
    <w:p>
      <w:pPr>
        <w:numPr>
          <w:ilvl w:val="0"/>
          <w:numId w:val="3"/>
        </w:numPr>
        <w:spacing w:line="600" w:lineRule="exact"/>
        <w:ind w:firstLine="640"/>
        <w:outlineLvl w:val="1"/>
        <w:rPr>
          <w:rStyle w:val="27"/>
          <w:rFonts w:ascii="黑体" w:hAnsi="黑体" w:eastAsia="黑体"/>
          <w:b w:val="0"/>
        </w:rPr>
      </w:pPr>
      <w:bookmarkStart w:id="42" w:name="_Toc15377221"/>
      <w:bookmarkStart w:id="43" w:name="_Toc15396612"/>
      <w:r>
        <w:rPr>
          <w:rStyle w:val="27"/>
          <w:rFonts w:hint="eastAsia" w:ascii="黑体" w:hAnsi="黑体" w:eastAsia="黑体"/>
          <w:b w:val="0"/>
        </w:rPr>
        <w:t>其他重要事项的情况说明</w:t>
      </w:r>
      <w:bookmarkEnd w:id="42"/>
      <w:bookmarkEnd w:id="43"/>
    </w:p>
    <w:p>
      <w:pPr>
        <w:spacing w:line="600" w:lineRule="exact"/>
        <w:ind w:firstLine="640" w:firstLineChars="200"/>
        <w:outlineLvl w:val="2"/>
        <w:rPr>
          <w:rFonts w:ascii="楷体" w:hAnsi="楷体" w:eastAsia="楷体" w:cs="楷体"/>
          <w:bCs/>
          <w:sz w:val="32"/>
          <w:szCs w:val="32"/>
        </w:rPr>
      </w:pPr>
      <w:bookmarkStart w:id="44" w:name="_Toc15377222"/>
      <w:r>
        <w:rPr>
          <w:rFonts w:hint="eastAsia" w:ascii="楷体" w:hAnsi="楷体" w:eastAsia="楷体" w:cs="楷体"/>
          <w:bCs/>
          <w:sz w:val="32"/>
          <w:szCs w:val="32"/>
        </w:rPr>
        <w:t>（一）机关运行经费支出情况</w:t>
      </w:r>
      <w:bookmarkEnd w:id="44"/>
    </w:p>
    <w:p>
      <w:pPr>
        <w:spacing w:line="600" w:lineRule="exact"/>
        <w:ind w:firstLine="64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年，南街小学机关运行经费支出0万元。</w:t>
      </w:r>
    </w:p>
    <w:p>
      <w:pPr>
        <w:spacing w:line="600" w:lineRule="exact"/>
        <w:ind w:firstLine="640" w:firstLineChars="200"/>
        <w:outlineLvl w:val="2"/>
        <w:rPr>
          <w:rFonts w:ascii="楷体" w:hAnsi="楷体" w:eastAsia="楷体" w:cs="楷体"/>
          <w:bCs/>
          <w:sz w:val="32"/>
          <w:szCs w:val="32"/>
        </w:rPr>
      </w:pPr>
      <w:bookmarkStart w:id="45" w:name="_Toc15377223"/>
      <w:r>
        <w:rPr>
          <w:rFonts w:hint="eastAsia" w:ascii="楷体" w:hAnsi="楷体" w:eastAsia="楷体" w:cs="楷体"/>
          <w:bCs/>
          <w:sz w:val="32"/>
          <w:szCs w:val="32"/>
        </w:rPr>
        <w:t>（二）政府采购支出情况</w:t>
      </w:r>
      <w:bookmarkEnd w:id="45"/>
    </w:p>
    <w:p>
      <w:pPr>
        <w:spacing w:line="600" w:lineRule="exact"/>
        <w:ind w:firstLine="640" w:firstLineChars="20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年，南街小学政府采购支出总额0万元。</w:t>
      </w:r>
    </w:p>
    <w:p>
      <w:pPr>
        <w:spacing w:line="600" w:lineRule="exact"/>
        <w:ind w:firstLine="640" w:firstLineChars="200"/>
        <w:outlineLvl w:val="2"/>
        <w:rPr>
          <w:rFonts w:ascii="楷体" w:hAnsi="楷体" w:eastAsia="楷体" w:cs="楷体"/>
          <w:bCs/>
          <w:sz w:val="32"/>
          <w:szCs w:val="32"/>
        </w:rPr>
      </w:pPr>
      <w:bookmarkStart w:id="46" w:name="_Toc15377224"/>
      <w:r>
        <w:rPr>
          <w:rFonts w:hint="eastAsia" w:ascii="楷体" w:hAnsi="楷体" w:eastAsia="楷体" w:cs="楷体"/>
          <w:bCs/>
          <w:sz w:val="32"/>
          <w:szCs w:val="32"/>
        </w:rPr>
        <w:t>（三）国有资产占有使用情况</w:t>
      </w:r>
      <w:bookmarkEnd w:id="46"/>
    </w:p>
    <w:p>
      <w:pPr>
        <w:autoSpaceDE w:val="0"/>
        <w:autoSpaceDN w:val="0"/>
        <w:adjustRightIn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2022</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日，南街小学共有车辆0辆。</w:t>
      </w:r>
    </w:p>
    <w:p>
      <w:pPr>
        <w:spacing w:line="600" w:lineRule="exact"/>
        <w:ind w:firstLine="640" w:firstLineChars="200"/>
        <w:outlineLvl w:val="2"/>
        <w:rPr>
          <w:rFonts w:ascii="楷体" w:hAnsi="楷体" w:eastAsia="楷体" w:cs="楷体"/>
          <w:bCs/>
          <w:sz w:val="32"/>
          <w:szCs w:val="32"/>
        </w:rPr>
      </w:pPr>
      <w:r>
        <w:rPr>
          <w:rFonts w:hint="eastAsia" w:ascii="楷体" w:hAnsi="楷体" w:eastAsia="楷体" w:cs="楷体"/>
          <w:bCs/>
          <w:sz w:val="32"/>
          <w:szCs w:val="32"/>
        </w:rPr>
        <w:t>（四）预算绩效管理情况</w:t>
      </w:r>
    </w:p>
    <w:p>
      <w:pPr>
        <w:autoSpaceDE w:val="0"/>
        <w:autoSpaceDN w:val="0"/>
        <w:adjustRightIn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根据预算绩效管理要求，本单位在2022年度预算编制阶段，组织对南街小学三区人才专项补助项目等</w:t>
      </w:r>
      <w:r>
        <w:rPr>
          <w:rFonts w:hint="eastAsia" w:ascii="仿宋" w:hAnsi="仿宋" w:eastAsia="仿宋"/>
          <w:sz w:val="32"/>
          <w:szCs w:val="32"/>
          <w:lang w:val="en-US" w:eastAsia="zh-CN"/>
        </w:rPr>
        <w:t>四</w:t>
      </w:r>
      <w:r>
        <w:rPr>
          <w:rFonts w:hint="eastAsia" w:ascii="仿宋" w:hAnsi="仿宋" w:eastAsia="仿宋"/>
          <w:sz w:val="32"/>
          <w:szCs w:val="32"/>
        </w:rPr>
        <w:t>个项目开展了预算事前绩效评估并编制了绩效目标，预算执行过程中，对以上</w:t>
      </w:r>
      <w:r>
        <w:rPr>
          <w:rFonts w:hint="eastAsia" w:ascii="仿宋" w:hAnsi="仿宋" w:eastAsia="仿宋"/>
          <w:sz w:val="32"/>
          <w:szCs w:val="32"/>
          <w:lang w:val="en-US" w:eastAsia="zh-CN"/>
        </w:rPr>
        <w:t>四</w:t>
      </w:r>
      <w:r>
        <w:rPr>
          <w:rFonts w:hint="eastAsia" w:ascii="仿宋" w:hAnsi="仿宋" w:eastAsia="仿宋"/>
          <w:sz w:val="32"/>
          <w:szCs w:val="32"/>
        </w:rPr>
        <w:t>个项目开展绩效监控，并在年终执行完毕后开展了绩效自评，2022年特定目标类部门预算项目绩效目标自评表见附件（第四部分）。</w:t>
      </w:r>
    </w:p>
    <w:p>
      <w:pPr>
        <w:pStyle w:val="2"/>
        <w:spacing w:before="93"/>
        <w:rPr>
          <w:highlight w:val="yellow"/>
        </w:rPr>
      </w:pPr>
    </w:p>
    <w:p>
      <w:pPr>
        <w:widowControl/>
        <w:jc w:val="center"/>
        <w:rPr>
          <w:rFonts w:ascii="方正小标宋简体" w:hAnsi="方正小标宋简体" w:eastAsia="方正小标宋简体" w:cs="方正小标宋简体"/>
          <w:sz w:val="44"/>
          <w:szCs w:val="44"/>
        </w:rPr>
      </w:pPr>
      <w:bookmarkStart w:id="47" w:name="_Toc15396613"/>
      <w:bookmarkStart w:id="48" w:name="_Toc15377225"/>
    </w:p>
    <w:p>
      <w:pPr>
        <w:pStyle w:val="2"/>
      </w:pPr>
    </w:p>
    <w:p>
      <w:pPr>
        <w:widowControl/>
        <w:jc w:val="center"/>
        <w:rPr>
          <w:rFonts w:ascii="方正小标宋简体" w:hAnsi="方正小标宋简体" w:eastAsia="方正小标宋简体" w:cs="方正小标宋简体"/>
          <w:sz w:val="44"/>
          <w:szCs w:val="44"/>
        </w:rPr>
      </w:pPr>
    </w:p>
    <w:p>
      <w:pPr>
        <w:pStyle w:val="2"/>
        <w:rPr>
          <w:rFonts w:ascii="方正小标宋简体" w:hAnsi="方正小标宋简体" w:eastAsia="方正小标宋简体" w:cs="方正小标宋简体"/>
          <w:sz w:val="44"/>
          <w:szCs w:val="44"/>
        </w:rPr>
      </w:pPr>
    </w:p>
    <w:bookmarkEnd w:id="47"/>
    <w:bookmarkEnd w:id="48"/>
    <w:p>
      <w:pPr>
        <w:numPr>
          <w:ilvl w:val="0"/>
          <w:numId w:val="4"/>
        </w:numPr>
        <w:spacing w:line="600" w:lineRule="exact"/>
        <w:ind w:firstLine="660" w:firstLineChars="150"/>
        <w:jc w:val="center"/>
        <w:outlineLvl w:val="0"/>
        <w:rPr>
          <w:rStyle w:val="33"/>
          <w:rFonts w:ascii="黑体" w:hAnsi="黑体" w:eastAsia="黑体"/>
          <w:b w:val="0"/>
          <w:color w:val="auto"/>
          <w:highlight w:val="none"/>
        </w:rPr>
      </w:pPr>
      <w:bookmarkStart w:id="49" w:name="_Toc15377226"/>
      <w:bookmarkStart w:id="50" w:name="_Toc15396614"/>
      <w:r>
        <w:rPr>
          <w:rFonts w:hint="eastAsia" w:ascii="黑体" w:hAnsi="黑体" w:eastAsia="黑体"/>
          <w:color w:val="auto"/>
          <w:sz w:val="44"/>
          <w:szCs w:val="44"/>
          <w:highlight w:val="none"/>
        </w:rPr>
        <w:t>名</w:t>
      </w:r>
      <w:r>
        <w:rPr>
          <w:rStyle w:val="33"/>
          <w:rFonts w:hint="eastAsia" w:ascii="黑体" w:hAnsi="黑体" w:eastAsia="黑体"/>
          <w:b w:val="0"/>
          <w:color w:val="auto"/>
          <w:highlight w:val="none"/>
        </w:rPr>
        <w:t>词解释</w:t>
      </w:r>
    </w:p>
    <w:p>
      <w:pPr>
        <w:spacing w:line="600" w:lineRule="exact"/>
        <w:jc w:val="left"/>
        <w:rPr>
          <w:rFonts w:ascii="宋体"/>
          <w:b/>
          <w:color w:val="auto"/>
          <w:sz w:val="44"/>
          <w:szCs w:val="44"/>
          <w:highlight w:val="none"/>
        </w:rPr>
      </w:pP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4"/>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4"/>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snapToGrid w:val="0"/>
        <w:spacing w:line="540" w:lineRule="exact"/>
        <w:ind w:firstLine="640" w:firstLineChars="200"/>
        <w:rPr>
          <w:rFonts w:hint="eastAsia" w:ascii="仿宋_GB2312" w:hAnsi="仿宋_GB2312" w:eastAsia="仿宋_GB2312" w:cs="仿宋_GB2312"/>
          <w:sz w:val="28"/>
          <w:szCs w:val="28"/>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其他收入：指单位取得的除上述收入以外的各项收入。主要是学前教育保育教育费收入、银行存款利息收入等。</w:t>
      </w:r>
      <w:r>
        <w:rPr>
          <w:rFonts w:hint="eastAsia" w:ascii="仿宋_GB2312" w:hAnsi="仿宋_GB2312" w:eastAsia="仿宋_GB2312" w:cs="仿宋_GB2312"/>
          <w:sz w:val="28"/>
          <w:szCs w:val="28"/>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4"/>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snapToGrid w:val="0"/>
        <w:spacing w:line="54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教育支出（类）普通教育（款）学前教育（项）:反映各部门举办的学前教育支出。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教育支出（类）普通教育（款）小学教育（项）:反映各部门举办的小学教育支出。政府各部门对社会中介组织等举办的小学的资助，如各类捐赠、补贴等，也在本科目中反映。</w:t>
      </w:r>
    </w:p>
    <w:p>
      <w:pPr>
        <w:pStyle w:val="24"/>
        <w:snapToGrid w:val="0"/>
        <w:spacing w:line="520" w:lineRule="exact"/>
        <w:ind w:firstLine="560" w:firstLineChars="200"/>
        <w:rPr>
          <w:rFonts w:hint="eastAsia"/>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 教育支出（类）普通教育（款）初中教育（项）: 反映各部门举办的初中教育支出。政府各部门对社会中介组织等举办的初中教育的资助，如捐赠、补贴等，也在本科目中反映。</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 教育支出（类）普通教育（款）其它普通教育（项）: 反映除上述项目以外其他用于普通教育方面的支出。</w:t>
      </w:r>
    </w:p>
    <w:p>
      <w:pPr>
        <w:snapToGrid w:val="0"/>
        <w:spacing w:line="540" w:lineRule="exact"/>
        <w:ind w:firstLine="640" w:firstLineChars="200"/>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 教育支出（类）其它教育支出（款）其他教育支出（项）: 指上述项目以外其他用于教育方面的支出。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 社会保障和就业支出（类）行政事业单位离退休（款）机关事业单位基本养老保险缴费支出（项）: 指机关事业单位实施养老保险制度由单位缴纳的基本养老保险费支出。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 社会保障和就业支出（类）行政事业单位离退休（款）机关事业单位职业年金缴费支出（项）: 指机关事业单位实施养老保险制度由单位实际缴纳的职业年金支出。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 社会保障和就业支出（类）抚恤（款）死亡抚恤（项）: 指按规定用于烈士和牺牲、病故人员家属的一次性和定期抚恤金以及丧葬补助费。</w:t>
      </w:r>
    </w:p>
    <w:p>
      <w:pPr>
        <w:snapToGrid w:val="0"/>
        <w:spacing w:line="540" w:lineRule="exact"/>
        <w:ind w:firstLine="640" w:firstLineChars="200"/>
        <w:rPr>
          <w:rFonts w:hint="eastAsia" w:ascii="仿宋_GB2312" w:hAnsi="仿宋_GB2312" w:eastAsia="仿宋_GB2312" w:cs="仿宋_GB2312"/>
          <w:sz w:val="28"/>
          <w:szCs w:val="28"/>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住房保障支出（类）住房改革支出（款）住房公积金（项）: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4"/>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napToGrid w:val="0"/>
        <w:spacing w:line="560" w:lineRule="exact"/>
        <w:ind w:firstLine="640" w:firstLineChars="200"/>
        <w:outlineLvl w:val="2"/>
        <w:rPr>
          <w:rFonts w:ascii="仿宋_GB2312" w:eastAsia="仿宋_GB2312"/>
          <w:sz w:val="32"/>
          <w:szCs w:val="32"/>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49"/>
    <w:bookmarkEnd w:id="50"/>
    <w:p>
      <w:pPr>
        <w:rPr>
          <w:rFonts w:ascii="黑体" w:hAnsi="黑体" w:eastAsia="黑体"/>
          <w:sz w:val="44"/>
          <w:szCs w:val="44"/>
        </w:rPr>
      </w:pPr>
      <w:r>
        <w:rPr>
          <w:rFonts w:hint="eastAsia" w:ascii="黑体" w:hAnsi="黑体" w:eastAsia="黑体"/>
          <w:sz w:val="44"/>
          <w:szCs w:val="44"/>
        </w:rPr>
        <w:br w:type="page"/>
      </w:r>
    </w:p>
    <w:p>
      <w:pPr>
        <w:spacing w:line="600" w:lineRule="exact"/>
        <w:jc w:val="center"/>
        <w:outlineLvl w:val="0"/>
        <w:rPr>
          <w:rStyle w:val="26"/>
          <w:rFonts w:ascii="方正小标宋简体" w:hAnsi="方正小标宋简体" w:eastAsia="方正小标宋简体" w:cs="方正小标宋简体"/>
          <w:b w:val="0"/>
        </w:rPr>
      </w:pPr>
      <w:r>
        <w:rPr>
          <w:rFonts w:hint="eastAsia" w:ascii="方正小标宋简体" w:hAnsi="方正小标宋简体" w:eastAsia="方正小标宋简体" w:cs="方正小标宋简体"/>
          <w:sz w:val="44"/>
          <w:szCs w:val="44"/>
        </w:rPr>
        <w:t>第</w:t>
      </w:r>
      <w:r>
        <w:rPr>
          <w:rStyle w:val="26"/>
          <w:rFonts w:hint="eastAsia" w:ascii="方正小标宋简体" w:hAnsi="方正小标宋简体" w:eastAsia="方正小标宋简体" w:cs="方正小标宋简体"/>
          <w:b w:val="0"/>
        </w:rPr>
        <w:t>四部分 附件</w:t>
      </w:r>
    </w:p>
    <w:p>
      <w:pPr>
        <w:spacing w:line="572" w:lineRule="exact"/>
        <w:jc w:val="left"/>
        <w:outlineLvl w:val="0"/>
        <w:rPr>
          <w:rFonts w:ascii="黑体" w:hAnsi="黑体" w:eastAsia="黑体" w:cs="黑体"/>
          <w:sz w:val="32"/>
          <w:szCs w:val="32"/>
        </w:rPr>
      </w:pPr>
    </w:p>
    <w:p>
      <w:pPr>
        <w:pStyle w:val="13"/>
        <w:snapToGrid w:val="0"/>
        <w:spacing w:line="560" w:lineRule="exact"/>
        <w:ind w:firstLine="640" w:firstLineChars="200"/>
        <w:jc w:val="both"/>
        <w:rPr>
          <w:rFonts w:ascii="仿宋" w:hAnsi="仿宋" w:eastAsia="仿宋" w:cs="仿宋"/>
          <w:kern w:val="2"/>
          <w:sz w:val="32"/>
          <w:szCs w:val="32"/>
          <w:lang w:val="zh-CN"/>
        </w:rPr>
      </w:pPr>
      <w:r>
        <w:rPr>
          <w:rStyle w:val="34"/>
          <w:rFonts w:hint="eastAsia" w:ascii="仿宋" w:hAnsi="仿宋" w:eastAsia="仿宋"/>
          <w:b w:val="0"/>
          <w:bCs w:val="0"/>
          <w:color w:val="auto"/>
          <w:highlight w:val="none"/>
          <w:lang w:val="en-US" w:eastAsia="zh-CN" w:bidi="ar-SA"/>
        </w:rPr>
        <w:t>部门预算项目支出绩效自评表（2022年度）</w:t>
      </w:r>
    </w:p>
    <w:p>
      <w:pPr>
        <w:spacing w:line="600" w:lineRule="exact"/>
        <w:jc w:val="center"/>
        <w:outlineLvl w:val="0"/>
        <w:rPr>
          <w:rFonts w:ascii="黑体" w:hAnsi="黑体" w:eastAsia="黑体"/>
          <w:sz w:val="44"/>
          <w:szCs w:val="44"/>
        </w:rPr>
      </w:pPr>
      <w:bookmarkStart w:id="51" w:name="_Toc15396618"/>
      <w:bookmarkStart w:id="52" w:name="_Toc15396619"/>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bookmarkStart w:id="53" w:name="_GoBack"/>
      <w:bookmarkEnd w:id="53"/>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6"/>
          <w:rFonts w:hint="eastAsia" w:ascii="黑体" w:hAnsi="黑体" w:eastAsia="黑体"/>
          <w:b w:val="0"/>
        </w:rPr>
        <w:t>五部分 附表</w:t>
      </w:r>
      <w:bookmarkEnd w:id="51"/>
    </w:p>
    <w:p>
      <w:pPr>
        <w:pStyle w:val="4"/>
        <w:snapToGrid w:val="0"/>
        <w:spacing w:before="0" w:after="0" w:line="576" w:lineRule="exact"/>
        <w:ind w:firstLine="640" w:firstLineChars="200"/>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p>
    <w:p>
      <w:pPr>
        <w:pStyle w:val="4"/>
        <w:snapToGrid w:val="0"/>
        <w:spacing w:before="0" w:after="0" w:line="576" w:lineRule="exact"/>
        <w:ind w:firstLine="640" w:firstLineChars="200"/>
        <w:rPr>
          <w:rFonts w:ascii="仿宋" w:hAnsi="仿宋" w:eastAsia="仿宋"/>
        </w:rPr>
      </w:pPr>
      <w:r>
        <w:rPr>
          <w:rFonts w:hint="eastAsia" w:ascii="仿宋" w:hAnsi="仿宋" w:eastAsia="仿宋"/>
          <w:b w:val="0"/>
        </w:rPr>
        <w:t>二、收</w:t>
      </w:r>
      <w:r>
        <w:rPr>
          <w:rStyle w:val="27"/>
          <w:rFonts w:hint="eastAsia" w:ascii="仿宋" w:hAnsi="仿宋" w:eastAsia="仿宋"/>
          <w:b w:val="0"/>
          <w:bCs w:val="0"/>
        </w:rPr>
        <w:t>入决算表</w:t>
      </w:r>
    </w:p>
    <w:p>
      <w:pPr>
        <w:pStyle w:val="4"/>
        <w:snapToGrid w:val="0"/>
        <w:spacing w:before="0" w:after="0" w:line="576" w:lineRule="exact"/>
        <w:ind w:firstLine="640" w:firstLineChars="200"/>
        <w:rPr>
          <w:rFonts w:ascii="仿宋" w:hAnsi="仿宋" w:eastAsia="仿宋"/>
        </w:rPr>
      </w:pPr>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p>
    <w:p>
      <w:pPr>
        <w:pStyle w:val="4"/>
        <w:snapToGrid w:val="0"/>
        <w:spacing w:before="0" w:after="0" w:line="576" w:lineRule="exact"/>
        <w:ind w:firstLine="640" w:firstLineChars="200"/>
        <w:rPr>
          <w:rFonts w:ascii="仿宋" w:hAnsi="仿宋" w:eastAsia="仿宋"/>
          <w:b w:val="0"/>
        </w:rPr>
      </w:pPr>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p>
    <w:p>
      <w:pPr>
        <w:pStyle w:val="4"/>
        <w:snapToGrid w:val="0"/>
        <w:spacing w:before="0" w:after="0" w:line="576" w:lineRule="exact"/>
        <w:ind w:firstLine="640" w:firstLineChars="200"/>
        <w:rPr>
          <w:rStyle w:val="27"/>
          <w:rFonts w:ascii="仿宋" w:hAnsi="仿宋" w:eastAsia="仿宋"/>
          <w:b w:val="0"/>
          <w:bCs w:val="0"/>
        </w:rPr>
      </w:pPr>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p>
    <w:p>
      <w:pPr>
        <w:pStyle w:val="4"/>
        <w:snapToGrid w:val="0"/>
        <w:spacing w:before="0" w:after="0" w:line="576" w:lineRule="exact"/>
        <w:ind w:firstLine="640" w:firstLineChars="200"/>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p>
    <w:p>
      <w:pPr>
        <w:pStyle w:val="4"/>
        <w:snapToGrid w:val="0"/>
        <w:spacing w:before="0" w:after="0" w:line="576" w:lineRule="exact"/>
        <w:ind w:firstLine="640" w:firstLineChars="200"/>
        <w:rPr>
          <w:rFonts w:ascii="仿宋" w:hAnsi="仿宋" w:eastAsia="仿宋"/>
        </w:rPr>
      </w:pPr>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p>
    <w:p>
      <w:pPr>
        <w:pStyle w:val="4"/>
        <w:snapToGrid w:val="0"/>
        <w:spacing w:before="0" w:after="0" w:line="576" w:lineRule="exact"/>
        <w:ind w:firstLine="640" w:firstLineChars="200"/>
        <w:rPr>
          <w:rFonts w:ascii="仿宋" w:hAnsi="仿宋" w:eastAsia="仿宋"/>
        </w:rPr>
      </w:pPr>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p>
    <w:p>
      <w:pPr>
        <w:pStyle w:val="4"/>
        <w:snapToGrid w:val="0"/>
        <w:spacing w:before="0" w:after="0" w:line="576" w:lineRule="exact"/>
        <w:ind w:firstLine="640" w:firstLineChars="200"/>
        <w:rPr>
          <w:rFonts w:ascii="仿宋" w:hAnsi="仿宋" w:eastAsia="仿宋"/>
        </w:rPr>
      </w:pPr>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p>
    <w:p>
      <w:pPr>
        <w:pStyle w:val="4"/>
        <w:snapToGrid w:val="0"/>
        <w:spacing w:before="0" w:after="0" w:line="576" w:lineRule="exact"/>
        <w:ind w:firstLine="640" w:firstLineChars="200"/>
        <w:rPr>
          <w:rFonts w:ascii="仿宋" w:hAnsi="仿宋" w:eastAsia="仿宋"/>
        </w:rPr>
      </w:pPr>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p>
    <w:p>
      <w:pPr>
        <w:pStyle w:val="4"/>
        <w:snapToGrid w:val="0"/>
        <w:spacing w:before="0" w:after="0" w:line="576" w:lineRule="exact"/>
        <w:ind w:firstLine="640" w:firstLineChars="200"/>
        <w:rPr>
          <w:rFonts w:ascii="仿宋" w:hAnsi="仿宋" w:eastAsia="仿宋"/>
        </w:rPr>
      </w:pPr>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p>
    <w:p>
      <w:pPr>
        <w:pStyle w:val="4"/>
        <w:snapToGrid w:val="0"/>
        <w:spacing w:before="0" w:after="0" w:line="576" w:lineRule="exact"/>
        <w:ind w:firstLine="640" w:firstLineChars="200"/>
        <w:rPr>
          <w:rFonts w:ascii="仿宋" w:hAnsi="仿宋" w:eastAsia="仿宋"/>
        </w:rPr>
      </w:pPr>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p>
    <w:p>
      <w:pPr>
        <w:pStyle w:val="4"/>
        <w:snapToGrid w:val="0"/>
        <w:spacing w:before="0" w:after="0" w:line="576" w:lineRule="exact"/>
        <w:ind w:firstLine="640" w:firstLineChars="200"/>
        <w:rPr>
          <w:rStyle w:val="27"/>
          <w:rFonts w:ascii="仿宋" w:hAnsi="仿宋" w:eastAsia="仿宋"/>
          <w:b w:val="0"/>
          <w:bCs w:val="0"/>
        </w:rPr>
      </w:pPr>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p>
    <w:p>
      <w:pPr>
        <w:snapToGrid w:val="0"/>
        <w:spacing w:line="576" w:lineRule="exact"/>
        <w:ind w:firstLine="640" w:firstLineChars="200"/>
        <w:rPr>
          <w:rFonts w:hint="eastAsia" w:eastAsia="仿宋"/>
        </w:rPr>
      </w:pPr>
      <w:r>
        <w:rPr>
          <w:rStyle w:val="27"/>
          <w:rFonts w:hint="eastAsia" w:ascii="仿宋" w:hAnsi="仿宋" w:eastAsia="仿宋"/>
          <w:b w:val="0"/>
          <w:bCs w:val="0"/>
        </w:rPr>
        <w:t>十四、国有资本经营预算财政拨款支出决算表</w:t>
      </w:r>
      <w:bookmarkEnd w:id="52"/>
    </w:p>
    <w:p>
      <w:pPr>
        <w:rPr>
          <w:rFonts w:eastAsia="仿宋"/>
        </w:rPr>
      </w:pPr>
    </w:p>
    <w:sectPr>
      <w:footerReference r:id="rId6" w:type="first"/>
      <w:footerReference r:id="rId5" w:type="default"/>
      <w:pgSz w:w="11906" w:h="16838"/>
      <w:pgMar w:top="1701" w:right="1474" w:bottom="1701" w:left="1587" w:header="851" w:footer="1332" w:gutter="0"/>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ascii="宋体" w:hAnsi="宋体" w:cs="宋体"/>
                              <w:sz w:val="28"/>
                              <w:szCs w:val="28"/>
                            </w:rPr>
                          </w:pPr>
                          <w:r>
                            <w:rPr>
                              <w:rFonts w:hint="eastAsia" w:ascii="宋体" w:hAnsi="宋体" w:cs="宋体"/>
                              <w:sz w:val="28"/>
                              <w:szCs w:val="28"/>
                            </w:rPr>
                            <w:t xml:space="preserve">— </w:t>
                          </w:r>
                          <w:sdt>
                            <w:sdtPr>
                              <w:rPr>
                                <w:rFonts w:hint="eastAsia" w:ascii="宋体" w:hAnsi="宋体" w:cs="宋体"/>
                                <w:sz w:val="28"/>
                                <w:szCs w:val="28"/>
                              </w:rPr>
                              <w:id w:val="-1994781956"/>
                            </w:sdtPr>
                            <w:sdtEndPr>
                              <w:rPr>
                                <w:rFonts w:hint="eastAsia" w:ascii="宋体" w:hAnsi="宋体" w:cs="宋体"/>
                                <w:sz w:val="28"/>
                                <w:szCs w:val="28"/>
                              </w:rPr>
                            </w:sdtEndPr>
                            <w:sdtContent>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8</w:t>
                              </w:r>
                              <w:r>
                                <w:rPr>
                                  <w:rFonts w:hint="eastAsia" w:ascii="宋体" w:hAnsi="宋体" w:cs="宋体"/>
                                  <w:sz w:val="28"/>
                                  <w:szCs w:val="28"/>
                                </w:rPr>
                                <w:fldChar w:fldCharType="end"/>
                              </w:r>
                              <w:r>
                                <w:rPr>
                                  <w:rFonts w:hint="eastAsia" w:ascii="宋体" w:hAnsi="宋体" w:cs="宋体"/>
                                  <w:sz w:val="28"/>
                                  <w:szCs w:val="28"/>
                                </w:rPr>
                                <w:t xml:space="preserve"> —</w:t>
                              </w:r>
                            </w:sdtContent>
                          </w:sdt>
                        </w:p>
                        <w:p>
                          <w:pPr>
                            <w:pStyle w:val="2"/>
                            <w:spacing w:before="72"/>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jc w:val="center"/>
                      <w:rPr>
                        <w:rFonts w:ascii="宋体" w:hAnsi="宋体" w:cs="宋体"/>
                        <w:sz w:val="28"/>
                        <w:szCs w:val="28"/>
                      </w:rPr>
                    </w:pPr>
                    <w:r>
                      <w:rPr>
                        <w:rFonts w:hint="eastAsia" w:ascii="宋体" w:hAnsi="宋体" w:cs="宋体"/>
                        <w:sz w:val="28"/>
                        <w:szCs w:val="28"/>
                      </w:rPr>
                      <w:t xml:space="preserve">— </w:t>
                    </w:r>
                    <w:sdt>
                      <w:sdtPr>
                        <w:rPr>
                          <w:rFonts w:hint="eastAsia" w:ascii="宋体" w:hAnsi="宋体" w:cs="宋体"/>
                          <w:sz w:val="28"/>
                          <w:szCs w:val="28"/>
                        </w:rPr>
                        <w:id w:val="-1994781956"/>
                      </w:sdtPr>
                      <w:sdtEndPr>
                        <w:rPr>
                          <w:rFonts w:hint="eastAsia" w:ascii="宋体" w:hAnsi="宋体" w:cs="宋体"/>
                          <w:sz w:val="28"/>
                          <w:szCs w:val="28"/>
                        </w:rPr>
                      </w:sdtEndPr>
                      <w:sdtContent>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8</w:t>
                        </w:r>
                        <w:r>
                          <w:rPr>
                            <w:rFonts w:hint="eastAsia" w:ascii="宋体" w:hAnsi="宋体" w:cs="宋体"/>
                            <w:sz w:val="28"/>
                            <w:szCs w:val="28"/>
                          </w:rPr>
                          <w:fldChar w:fldCharType="end"/>
                        </w:r>
                        <w:r>
                          <w:rPr>
                            <w:rFonts w:hint="eastAsia" w:ascii="宋体" w:hAnsi="宋体" w:cs="宋体"/>
                            <w:sz w:val="28"/>
                            <w:szCs w:val="28"/>
                          </w:rPr>
                          <w:t xml:space="preserve"> —</w:t>
                        </w:r>
                      </w:sdtContent>
                    </w:sdt>
                  </w:p>
                  <w:p>
                    <w:pPr>
                      <w:pStyle w:val="2"/>
                      <w:spacing w:before="72"/>
                      <w:rPr>
                        <w:rFonts w:ascii="宋体" w:hAnsi="宋体" w:eastAsia="宋体" w:cs="宋体"/>
                        <w:sz w:val="28"/>
                        <w:szCs w:val="28"/>
                      </w:rPr>
                    </w:pP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475B492"/>
    <w:multiLevelType w:val="singleLevel"/>
    <w:tmpl w:val="0475B492"/>
    <w:lvl w:ilvl="0" w:tentative="0">
      <w:start w:val="1"/>
      <w:numFmt w:val="decimal"/>
      <w:lvlText w:val="%1."/>
      <w:lvlJc w:val="left"/>
      <w:pPr>
        <w:tabs>
          <w:tab w:val="left" w:pos="312"/>
        </w:tabs>
        <w:ind w:left="197"/>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54827"/>
    <w:rsid w:val="0006487A"/>
    <w:rsid w:val="00065F8F"/>
    <w:rsid w:val="00070A43"/>
    <w:rsid w:val="000768F2"/>
    <w:rsid w:val="00076D09"/>
    <w:rsid w:val="0009184B"/>
    <w:rsid w:val="00094236"/>
    <w:rsid w:val="0009593C"/>
    <w:rsid w:val="00096170"/>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274D0"/>
    <w:rsid w:val="00142216"/>
    <w:rsid w:val="00144D6A"/>
    <w:rsid w:val="0014729F"/>
    <w:rsid w:val="00157BAB"/>
    <w:rsid w:val="001654D1"/>
    <w:rsid w:val="00174518"/>
    <w:rsid w:val="00180636"/>
    <w:rsid w:val="0018106D"/>
    <w:rsid w:val="001877A7"/>
    <w:rsid w:val="00191536"/>
    <w:rsid w:val="00196687"/>
    <w:rsid w:val="001A19E5"/>
    <w:rsid w:val="001C0962"/>
    <w:rsid w:val="001D5BD6"/>
    <w:rsid w:val="001D7531"/>
    <w:rsid w:val="001E737D"/>
    <w:rsid w:val="001F0592"/>
    <w:rsid w:val="001F7506"/>
    <w:rsid w:val="002006CD"/>
    <w:rsid w:val="00202B36"/>
    <w:rsid w:val="00204B7A"/>
    <w:rsid w:val="00204CDE"/>
    <w:rsid w:val="0021101A"/>
    <w:rsid w:val="00220536"/>
    <w:rsid w:val="00222D03"/>
    <w:rsid w:val="00235629"/>
    <w:rsid w:val="00247E85"/>
    <w:rsid w:val="00251DF6"/>
    <w:rsid w:val="00260C38"/>
    <w:rsid w:val="002616C0"/>
    <w:rsid w:val="00265372"/>
    <w:rsid w:val="002662AA"/>
    <w:rsid w:val="00280496"/>
    <w:rsid w:val="00294DC9"/>
    <w:rsid w:val="00295495"/>
    <w:rsid w:val="002A31DE"/>
    <w:rsid w:val="002B2613"/>
    <w:rsid w:val="002D6D05"/>
    <w:rsid w:val="002E2C84"/>
    <w:rsid w:val="002F1818"/>
    <w:rsid w:val="002F567B"/>
    <w:rsid w:val="003216A9"/>
    <w:rsid w:val="00335A74"/>
    <w:rsid w:val="003422CC"/>
    <w:rsid w:val="0036561B"/>
    <w:rsid w:val="0037013F"/>
    <w:rsid w:val="00380C92"/>
    <w:rsid w:val="003A484F"/>
    <w:rsid w:val="003A4883"/>
    <w:rsid w:val="003A798F"/>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5598B"/>
    <w:rsid w:val="00471401"/>
    <w:rsid w:val="00473F31"/>
    <w:rsid w:val="0048263A"/>
    <w:rsid w:val="00487E5D"/>
    <w:rsid w:val="004A3D01"/>
    <w:rsid w:val="004A711F"/>
    <w:rsid w:val="004B0018"/>
    <w:rsid w:val="004B199D"/>
    <w:rsid w:val="004B4690"/>
    <w:rsid w:val="004E0A2D"/>
    <w:rsid w:val="004E206B"/>
    <w:rsid w:val="004E6DF7"/>
    <w:rsid w:val="004F0FBD"/>
    <w:rsid w:val="00505A47"/>
    <w:rsid w:val="00512FDA"/>
    <w:rsid w:val="00520DA0"/>
    <w:rsid w:val="00534FED"/>
    <w:rsid w:val="005664BB"/>
    <w:rsid w:val="00566FFA"/>
    <w:rsid w:val="0057481D"/>
    <w:rsid w:val="00576E68"/>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6419"/>
    <w:rsid w:val="0066343B"/>
    <w:rsid w:val="00664777"/>
    <w:rsid w:val="006748A4"/>
    <w:rsid w:val="00681A31"/>
    <w:rsid w:val="00683E73"/>
    <w:rsid w:val="006A3141"/>
    <w:rsid w:val="006A5E34"/>
    <w:rsid w:val="006B2422"/>
    <w:rsid w:val="006B2B9A"/>
    <w:rsid w:val="006C1937"/>
    <w:rsid w:val="006F020C"/>
    <w:rsid w:val="007127B7"/>
    <w:rsid w:val="0071798E"/>
    <w:rsid w:val="007349D4"/>
    <w:rsid w:val="007416B6"/>
    <w:rsid w:val="00746F48"/>
    <w:rsid w:val="0075404D"/>
    <w:rsid w:val="0076182A"/>
    <w:rsid w:val="00767B7E"/>
    <w:rsid w:val="007769BE"/>
    <w:rsid w:val="007770C3"/>
    <w:rsid w:val="00784D24"/>
    <w:rsid w:val="00785FBA"/>
    <w:rsid w:val="00786E4A"/>
    <w:rsid w:val="007875EB"/>
    <w:rsid w:val="0079426B"/>
    <w:rsid w:val="007B17B3"/>
    <w:rsid w:val="007C388E"/>
    <w:rsid w:val="007D1682"/>
    <w:rsid w:val="007D312A"/>
    <w:rsid w:val="007D3F19"/>
    <w:rsid w:val="007E23B0"/>
    <w:rsid w:val="007E23E5"/>
    <w:rsid w:val="007F1991"/>
    <w:rsid w:val="007F2C2F"/>
    <w:rsid w:val="007F55FC"/>
    <w:rsid w:val="007F5665"/>
    <w:rsid w:val="00800112"/>
    <w:rsid w:val="0080589C"/>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0131"/>
    <w:rsid w:val="008D67C4"/>
    <w:rsid w:val="008E1DE7"/>
    <w:rsid w:val="008E707C"/>
    <w:rsid w:val="00900B08"/>
    <w:rsid w:val="00902155"/>
    <w:rsid w:val="00902FA3"/>
    <w:rsid w:val="00923564"/>
    <w:rsid w:val="0092392E"/>
    <w:rsid w:val="009315F9"/>
    <w:rsid w:val="00933499"/>
    <w:rsid w:val="00935C98"/>
    <w:rsid w:val="00946945"/>
    <w:rsid w:val="0094788C"/>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23B3"/>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2617"/>
    <w:rsid w:val="00B14E76"/>
    <w:rsid w:val="00B161B8"/>
    <w:rsid w:val="00B2048C"/>
    <w:rsid w:val="00B310B9"/>
    <w:rsid w:val="00B35F3F"/>
    <w:rsid w:val="00B36CBB"/>
    <w:rsid w:val="00B400F7"/>
    <w:rsid w:val="00B425E0"/>
    <w:rsid w:val="00B440AA"/>
    <w:rsid w:val="00B44B70"/>
    <w:rsid w:val="00B53C56"/>
    <w:rsid w:val="00B57DAF"/>
    <w:rsid w:val="00B77EA6"/>
    <w:rsid w:val="00B81598"/>
    <w:rsid w:val="00B841F1"/>
    <w:rsid w:val="00B944D6"/>
    <w:rsid w:val="00B961C1"/>
    <w:rsid w:val="00BB4DF0"/>
    <w:rsid w:val="00BC289F"/>
    <w:rsid w:val="00BC2D50"/>
    <w:rsid w:val="00BC5361"/>
    <w:rsid w:val="00BC5460"/>
    <w:rsid w:val="00BC6B50"/>
    <w:rsid w:val="00BD0E25"/>
    <w:rsid w:val="00BF5BD6"/>
    <w:rsid w:val="00C03E31"/>
    <w:rsid w:val="00C04037"/>
    <w:rsid w:val="00C33E72"/>
    <w:rsid w:val="00C354B2"/>
    <w:rsid w:val="00C35554"/>
    <w:rsid w:val="00C42709"/>
    <w:rsid w:val="00C44B88"/>
    <w:rsid w:val="00C533CC"/>
    <w:rsid w:val="00C5751C"/>
    <w:rsid w:val="00C61BFC"/>
    <w:rsid w:val="00C62B85"/>
    <w:rsid w:val="00C65438"/>
    <w:rsid w:val="00C72CCF"/>
    <w:rsid w:val="00C87FD8"/>
    <w:rsid w:val="00C91381"/>
    <w:rsid w:val="00C91CBB"/>
    <w:rsid w:val="00CB4E70"/>
    <w:rsid w:val="00CC09B6"/>
    <w:rsid w:val="00CC666F"/>
    <w:rsid w:val="00CD1E3F"/>
    <w:rsid w:val="00CD5888"/>
    <w:rsid w:val="00CE1F29"/>
    <w:rsid w:val="00CE44F6"/>
    <w:rsid w:val="00CE49DA"/>
    <w:rsid w:val="00CE7B61"/>
    <w:rsid w:val="00D00095"/>
    <w:rsid w:val="00D114F0"/>
    <w:rsid w:val="00D20620"/>
    <w:rsid w:val="00D209B7"/>
    <w:rsid w:val="00D254F7"/>
    <w:rsid w:val="00D26091"/>
    <w:rsid w:val="00D2685C"/>
    <w:rsid w:val="00D34E7C"/>
    <w:rsid w:val="00D35489"/>
    <w:rsid w:val="00D36AFE"/>
    <w:rsid w:val="00D51276"/>
    <w:rsid w:val="00D7035F"/>
    <w:rsid w:val="00DA634F"/>
    <w:rsid w:val="00DA65AC"/>
    <w:rsid w:val="00DA66DF"/>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3347"/>
    <w:rsid w:val="00E853CE"/>
    <w:rsid w:val="00E867B6"/>
    <w:rsid w:val="00EA010F"/>
    <w:rsid w:val="00EC066E"/>
    <w:rsid w:val="00EC7E11"/>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6D0"/>
    <w:rsid w:val="00F36D8F"/>
    <w:rsid w:val="00F417B1"/>
    <w:rsid w:val="00F439AF"/>
    <w:rsid w:val="00F45853"/>
    <w:rsid w:val="00F556EC"/>
    <w:rsid w:val="00F602DF"/>
    <w:rsid w:val="00F71C2A"/>
    <w:rsid w:val="00F754A1"/>
    <w:rsid w:val="00F81FD9"/>
    <w:rsid w:val="00F841AA"/>
    <w:rsid w:val="00F84A94"/>
    <w:rsid w:val="00F87E96"/>
    <w:rsid w:val="00FA23E8"/>
    <w:rsid w:val="00FD3CC1"/>
    <w:rsid w:val="00FF1E02"/>
    <w:rsid w:val="00FF30B4"/>
    <w:rsid w:val="02100F4B"/>
    <w:rsid w:val="0402799B"/>
    <w:rsid w:val="049F343C"/>
    <w:rsid w:val="053C0C8A"/>
    <w:rsid w:val="07411D56"/>
    <w:rsid w:val="086724C2"/>
    <w:rsid w:val="0878647D"/>
    <w:rsid w:val="091C5E5E"/>
    <w:rsid w:val="09FC4E8C"/>
    <w:rsid w:val="0A2032A3"/>
    <w:rsid w:val="0B8A37D8"/>
    <w:rsid w:val="0BF4099A"/>
    <w:rsid w:val="0E1F48D6"/>
    <w:rsid w:val="0FFB691A"/>
    <w:rsid w:val="107A3CB5"/>
    <w:rsid w:val="10B95885"/>
    <w:rsid w:val="10C055FF"/>
    <w:rsid w:val="118107EC"/>
    <w:rsid w:val="11DD6519"/>
    <w:rsid w:val="16BB723D"/>
    <w:rsid w:val="175C51BC"/>
    <w:rsid w:val="18015F3F"/>
    <w:rsid w:val="19EF2318"/>
    <w:rsid w:val="19F32E33"/>
    <w:rsid w:val="1AE96A23"/>
    <w:rsid w:val="1B1E1106"/>
    <w:rsid w:val="1BE8440E"/>
    <w:rsid w:val="1D155CEE"/>
    <w:rsid w:val="1F106289"/>
    <w:rsid w:val="20870A09"/>
    <w:rsid w:val="20F57F95"/>
    <w:rsid w:val="223A20A7"/>
    <w:rsid w:val="240371BF"/>
    <w:rsid w:val="240F118A"/>
    <w:rsid w:val="25357778"/>
    <w:rsid w:val="25457290"/>
    <w:rsid w:val="25C741E6"/>
    <w:rsid w:val="26E50D2A"/>
    <w:rsid w:val="27842671"/>
    <w:rsid w:val="29E929E2"/>
    <w:rsid w:val="29FD04D3"/>
    <w:rsid w:val="2A9E67CD"/>
    <w:rsid w:val="2ABE7A3E"/>
    <w:rsid w:val="2D6202A8"/>
    <w:rsid w:val="2EA43279"/>
    <w:rsid w:val="2EFA178C"/>
    <w:rsid w:val="2F990DCF"/>
    <w:rsid w:val="30B46D73"/>
    <w:rsid w:val="319F7F4E"/>
    <w:rsid w:val="31D11107"/>
    <w:rsid w:val="32862810"/>
    <w:rsid w:val="331C16D4"/>
    <w:rsid w:val="34102631"/>
    <w:rsid w:val="35EE4665"/>
    <w:rsid w:val="36A60E86"/>
    <w:rsid w:val="39AE70AB"/>
    <w:rsid w:val="3BBA15CB"/>
    <w:rsid w:val="3C0C0783"/>
    <w:rsid w:val="3C215BD0"/>
    <w:rsid w:val="3C767670"/>
    <w:rsid w:val="3D021290"/>
    <w:rsid w:val="3F8A43F1"/>
    <w:rsid w:val="3F9F3A96"/>
    <w:rsid w:val="40C07D17"/>
    <w:rsid w:val="40FE4A6B"/>
    <w:rsid w:val="41246D36"/>
    <w:rsid w:val="44D16663"/>
    <w:rsid w:val="46E110B6"/>
    <w:rsid w:val="46E96860"/>
    <w:rsid w:val="49214B3A"/>
    <w:rsid w:val="493C27E9"/>
    <w:rsid w:val="496F39ED"/>
    <w:rsid w:val="49FF41D3"/>
    <w:rsid w:val="4B5822D3"/>
    <w:rsid w:val="4BE068DB"/>
    <w:rsid w:val="4BF6002B"/>
    <w:rsid w:val="4C9E07B3"/>
    <w:rsid w:val="4E53181A"/>
    <w:rsid w:val="4ECE2238"/>
    <w:rsid w:val="50B43398"/>
    <w:rsid w:val="51DB4B86"/>
    <w:rsid w:val="5219601D"/>
    <w:rsid w:val="55333C3E"/>
    <w:rsid w:val="561A1EEF"/>
    <w:rsid w:val="58FF7EA8"/>
    <w:rsid w:val="5BF454F2"/>
    <w:rsid w:val="5C7A36E7"/>
    <w:rsid w:val="5E9118C1"/>
    <w:rsid w:val="60567FC7"/>
    <w:rsid w:val="62AB5D7A"/>
    <w:rsid w:val="645667E8"/>
    <w:rsid w:val="64CA39A1"/>
    <w:rsid w:val="6C4A05C8"/>
    <w:rsid w:val="704712E4"/>
    <w:rsid w:val="72734D90"/>
    <w:rsid w:val="77A512BD"/>
    <w:rsid w:val="79E7B28D"/>
    <w:rsid w:val="7B484CAB"/>
    <w:rsid w:val="7D8E0949"/>
    <w:rsid w:val="7F5D0046"/>
    <w:rsid w:val="7F9F20EE"/>
    <w:rsid w:val="9E3A10E2"/>
    <w:rsid w:val="F2E1F9D4"/>
    <w:rsid w:val="F67DEA49"/>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Body Text 2"/>
    <w:basedOn w:val="1"/>
    <w:unhideWhenUsed/>
    <w:qFormat/>
    <w:uiPriority w:val="0"/>
    <w:pPr>
      <w:spacing w:before="120" w:after="120"/>
      <w:ind w:firstLine="640"/>
      <w:jc w:val="center"/>
    </w:pPr>
    <w:rPr>
      <w:rFonts w:ascii="宋体" w:hAnsi="宋体" w:eastAsia="方正仿宋简体"/>
      <w:szCs w:val="20"/>
    </w:rPr>
  </w:style>
  <w:style w:type="paragraph" w:styleId="13">
    <w:name w:val="Normal (Web)"/>
    <w:basedOn w:val="1"/>
    <w:unhideWhenUsed/>
    <w:qFormat/>
    <w:uiPriority w:val="99"/>
    <w:pPr>
      <w:jc w:val="left"/>
    </w:pPr>
    <w:rPr>
      <w:kern w:val="0"/>
      <w:sz w:val="24"/>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字符"/>
    <w:link w:val="9"/>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字符"/>
    <w:link w:val="8"/>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字符"/>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字符"/>
    <w:basedOn w:val="15"/>
    <w:link w:val="3"/>
    <w:qFormat/>
    <w:uiPriority w:val="9"/>
    <w:rPr>
      <w:rFonts w:ascii="Times New Roman" w:hAnsi="Times New Roman"/>
      <w:b/>
      <w:bCs/>
      <w:kern w:val="44"/>
      <w:sz w:val="44"/>
      <w:szCs w:val="44"/>
    </w:rPr>
  </w:style>
  <w:style w:type="character" w:customStyle="1" w:styleId="27">
    <w:name w:val="标题 2 字符"/>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字符"/>
    <w:basedOn w:val="15"/>
    <w:link w:val="7"/>
    <w:semiHidden/>
    <w:qFormat/>
    <w:uiPriority w:val="99"/>
    <w:rPr>
      <w:rFonts w:ascii="Times New Roman" w:hAnsi="Times New Roman"/>
      <w:kern w:val="2"/>
      <w:sz w:val="18"/>
      <w:szCs w:val="18"/>
    </w:rPr>
  </w:style>
  <w:style w:type="character" w:customStyle="1" w:styleId="30">
    <w:name w:val="标题 3 字符"/>
    <w:basedOn w:val="15"/>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Times New Roman"/>
      <w:color w:val="000000"/>
      <w:kern w:val="0"/>
      <w:sz w:val="28"/>
      <w:szCs w:val="21"/>
    </w:rPr>
  </w:style>
  <w:style w:type="character" w:customStyle="1" w:styleId="33">
    <w:name w:val="标题 1 Char"/>
    <w:basedOn w:val="15"/>
    <w:link w:val="3"/>
    <w:qFormat/>
    <w:uiPriority w:val="9"/>
    <w:rPr>
      <w:b/>
      <w:bCs/>
      <w:kern w:val="44"/>
      <w:sz w:val="44"/>
      <w:szCs w:val="44"/>
    </w:rPr>
  </w:style>
  <w:style w:type="character" w:customStyle="1" w:styleId="34">
    <w:name w:val="标题 2 Char"/>
    <w:basedOn w:val="15"/>
    <w:link w:val="4"/>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2021/2022</a:t>
            </a:r>
            <a:r>
              <a:rPr lang="zh-CN" altLang="en-US"/>
              <a:t>年收支总计</a:t>
            </a:r>
            <a:r>
              <a:rPr lang="en-US" altLang="zh-CN"/>
              <a:t>(</a:t>
            </a:r>
            <a:r>
              <a:rPr lang="zh-CN" altLang="en-US"/>
              <a:t>单位：万元</a:t>
            </a:r>
            <a:r>
              <a:rPr lang="en-US" altLang="zh-CN"/>
              <a:t>)</a:t>
            </a:r>
            <a:endParaRPr lang="en-US" altLang="zh-CN"/>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2020/2021年收支总计(单位：万元)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2773.73</c:v>
                </c:pt>
                <c:pt idx="1">
                  <c:v>2581.2</c:v>
                </c:pt>
              </c:numCache>
            </c:numRef>
          </c:val>
        </c:ser>
        <c:dLbls>
          <c:showLegendKey val="0"/>
          <c:showVal val="1"/>
          <c:showCatName val="0"/>
          <c:showSerName val="0"/>
          <c:showPercent val="0"/>
          <c:showBubbleSize val="0"/>
        </c:dLbls>
        <c:gapWidth val="219"/>
        <c:overlap val="-27"/>
        <c:axId val="681749927"/>
        <c:axId val="997328053"/>
      </c:barChart>
      <c:catAx>
        <c:axId val="681749927"/>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7328053"/>
        <c:crosses val="autoZero"/>
        <c:auto val="1"/>
        <c:lblAlgn val="ctr"/>
        <c:lblOffset val="100"/>
        <c:noMultiLvlLbl val="0"/>
      </c:catAx>
      <c:valAx>
        <c:axId val="99732805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1749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spc="0" baseline="0">
                <a:solidFill>
                  <a:schemeClr val="tx1">
                    <a:lumMod val="65000"/>
                    <a:lumOff val="35000"/>
                  </a:schemeClr>
                </a:solidFill>
                <a:latin typeface="+mn-lt"/>
                <a:ea typeface="+mn-ea"/>
                <a:cs typeface="+mn-cs"/>
              </a:defRPr>
            </a:pPr>
            <a:r>
              <a:rPr lang="en-US" altLang="en-US" sz="1600" b="1" i="0" u="none" strike="noStrike" kern="1200" spc="0" baseline="0">
                <a:solidFill>
                  <a:sysClr val="windowText" lastClr="000000">
                    <a:lumMod val="65000"/>
                    <a:lumOff val="35000"/>
                  </a:sysClr>
                </a:solidFill>
                <a:latin typeface="+mn-lt"/>
                <a:ea typeface="+mn-ea"/>
                <a:cs typeface="+mn-cs"/>
              </a:rPr>
              <a:t>2022</a:t>
            </a:r>
            <a:r>
              <a:rPr lang="zh-CN" altLang="en-US" sz="1600" b="1"/>
              <a:t>年收入决算结构图</a:t>
            </a:r>
            <a:endParaRPr lang="zh-CN" altLang="en-US" sz="1600" b="1"/>
          </a:p>
        </c:rich>
      </c:tx>
      <c:layout>
        <c:manualLayout>
          <c:xMode val="edge"/>
          <c:yMode val="edge"/>
          <c:x val="0.290875"/>
          <c:y val="0.0435"/>
        </c:manualLayout>
      </c:layout>
      <c:overlay val="0"/>
      <c:spPr>
        <a:noFill/>
        <a:ln>
          <a:noFill/>
        </a:ln>
        <a:effectLst/>
      </c:spPr>
    </c:title>
    <c:autoTitleDeleted val="0"/>
    <c:plotArea>
      <c:layout/>
      <c:pieChart>
        <c:varyColors val="1"/>
        <c:ser>
          <c:idx val="0"/>
          <c:order val="0"/>
          <c:tx>
            <c:strRef>
              <c:f>Sheet1!$B$1</c:f>
              <c:strCache>
                <c:ptCount val="1"/>
                <c:pt idx="0">
                  <c:v>2021年收入结构图（单位：万元）</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95619842992093"/>
                  <c:y val="-0.059533802484174"/>
                </c:manualLayout>
              </c:layout>
              <c:tx>
                <c:rich>
                  <a:bodyPr rot="0" spcFirstLastPara="0" vertOverflow="ellipsis" vert="horz" wrap="square" lIns="38100" tIns="19050" rIns="38100" bIns="19050" anchor="ctr" anchorCtr="1"/>
                  <a:lstStyle/>
                  <a:p>
                    <a:pPr>
                      <a:defRPr lang="zh-CN" sz="700" b="0" i="0" u="none" strike="noStrike" kern="1200" baseline="0">
                        <a:solidFill>
                          <a:schemeClr val="tx1">
                            <a:lumMod val="75000"/>
                            <a:lumOff val="25000"/>
                          </a:schemeClr>
                        </a:solidFill>
                        <a:latin typeface="+mn-lt"/>
                        <a:ea typeface="+mn-ea"/>
                        <a:cs typeface="+mn-cs"/>
                      </a:defRPr>
                    </a:pPr>
                    <a:r>
                      <a:rPr lang="zh-CN" altLang="en-US" sz="700"/>
                      <a:t>一般公共预算收入</a:t>
                    </a:r>
                    <a:r>
                      <a:rPr lang="en-US" altLang="zh-CN" sz="700"/>
                      <a:t>2338.78</a:t>
                    </a:r>
                    <a:r>
                      <a:rPr lang="zh-CN" altLang="en-US" sz="700"/>
                      <a:t>万元</a:t>
                    </a:r>
                    <a:endParaRPr lang="zh-CN" altLang="en-US" sz="700"/>
                  </a:p>
                </c:rich>
              </c:tx>
              <c:dLblPos val="bestFit"/>
              <c:showLegendKey val="0"/>
              <c:showVal val="1"/>
              <c:showCatName val="0"/>
              <c:showSerName val="0"/>
              <c:showPercent val="0"/>
              <c:showBubbleSize val="0"/>
              <c:extLst>
                <c:ext xmlns:c15="http://schemas.microsoft.com/office/drawing/2012/chart" uri="{CE6537A1-D6FC-4f65-9D91-7224C49458BB}">
                  <c15:layout>
                    <c:manualLayout>
                      <c:w val="0.356183635227983"/>
                      <c:h val="0.0382823577071096"/>
                    </c:manualLayout>
                  </c15:layout>
                </c:ext>
              </c:extLst>
            </c:dLbl>
            <c:dLbl>
              <c:idx val="1"/>
              <c:layout/>
              <c:tx>
                <c:rich>
                  <a:bodyPr rot="0" spcFirstLastPara="0" vertOverflow="ellipsis" vert="horz" wrap="square" lIns="38100" tIns="19050" rIns="38100" bIns="19050" anchor="ctr" anchorCtr="1"/>
                  <a:lstStyle/>
                  <a:p>
                    <a:pPr>
                      <a:defRPr lang="zh-CN" sz="700" b="0" i="0" u="none" strike="noStrike" kern="1200" baseline="0">
                        <a:solidFill>
                          <a:schemeClr val="tx1">
                            <a:lumMod val="75000"/>
                            <a:lumOff val="25000"/>
                          </a:schemeClr>
                        </a:solidFill>
                        <a:latin typeface="+mn-lt"/>
                        <a:ea typeface="+mn-ea"/>
                        <a:cs typeface="+mn-cs"/>
                      </a:defRPr>
                    </a:pPr>
                    <a:r>
                      <a:rPr lang="zh-CN" altLang="en-US" sz="700"/>
                      <a:t>其他收入</a:t>
                    </a:r>
                    <a:r>
                      <a:rPr lang="en-US" altLang="zh-CN" sz="700"/>
                      <a:t>114.45</a:t>
                    </a:r>
                    <a:r>
                      <a:rPr lang="zh-CN" altLang="en-US" sz="700"/>
                      <a:t>万元</a:t>
                    </a:r>
                    <a:endParaRPr lang="zh-CN" altLang="en-US" sz="700"/>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一般公共预算收入</c:v>
                </c:pt>
                <c:pt idx="1">
                  <c:v>事业收入</c:v>
                </c:pt>
                <c:pt idx="2">
                  <c:v>其他收入</c:v>
                </c:pt>
              </c:strCache>
            </c:strRef>
          </c:cat>
          <c:val>
            <c:numRef>
              <c:f>Sheet1!$B$2:$B$4</c:f>
              <c:numCache>
                <c:formatCode>General</c:formatCode>
                <c:ptCount val="3"/>
                <c:pt idx="0">
                  <c:v>2309.38</c:v>
                </c:pt>
                <c:pt idx="1">
                  <c:v>60.3</c:v>
                </c:pt>
                <c:pt idx="2">
                  <c:v>1.29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6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2022年支出结构图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108863246820024"/>
                  <c:y val="-0.107561842037524"/>
                </c:manualLayout>
              </c:layout>
              <c:tx>
                <c:rich>
                  <a:bodyPr rot="0" spcFirstLastPara="0" vertOverflow="ellipsis" vert="horz" wrap="square" lIns="38100" tIns="19050" rIns="38100" bIns="19050" anchor="ctr" anchorCtr="1"/>
                  <a:lstStyle/>
                  <a:p>
                    <a:pPr>
                      <a:defRPr lang="zh-CN" sz="500" b="0" i="0" u="none" strike="noStrike" kern="1200" baseline="0">
                        <a:solidFill>
                          <a:schemeClr val="tx1">
                            <a:lumMod val="75000"/>
                            <a:lumOff val="25000"/>
                          </a:schemeClr>
                        </a:solidFill>
                        <a:latin typeface="+mn-lt"/>
                        <a:ea typeface="+mn-ea"/>
                        <a:cs typeface="+mn-cs"/>
                      </a:defRPr>
                    </a:pPr>
                    <a:r>
                      <a:rPr lang="zh-CN" altLang="en-US" sz="400"/>
                      <a:t>基本支出</a:t>
                    </a:r>
                    <a:r>
                      <a:rPr lang="en-US" altLang="zh-CN" sz="400"/>
                      <a:t>2320.73</a:t>
                    </a:r>
                    <a:r>
                      <a:rPr lang="zh-CN" altLang="en-US" sz="400"/>
                      <a:t>万元</a:t>
                    </a:r>
                    <a:endParaRPr lang="zh-CN" altLang="en-US" sz="400"/>
                  </a:p>
                </c:rich>
              </c:tx>
              <c:numFmt formatCode="General" sourceLinked="1"/>
              <c:spPr>
                <a:noFill/>
                <a:ln>
                  <a:noFill/>
                </a:ln>
                <a:effectLst/>
              </c:spPr>
              <c:txPr>
                <a:bodyPr rot="0" spcFirstLastPara="0" vertOverflow="ellipsis" vert="horz" wrap="square" lIns="38100" tIns="19050" rIns="38100" bIns="19050" anchor="ctr" anchorCtr="1"/>
                <a:lstStyle/>
                <a:p>
                  <a:pPr>
                    <a:defRPr lang="zh-CN" sz="5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46625"/>
                      <c:h val="0.086062796476169"/>
                    </c:manualLayout>
                  </c15:layout>
                </c:ext>
              </c:extLst>
            </c:dLbl>
            <c:dLbl>
              <c:idx val="1"/>
              <c:layout/>
              <c:tx>
                <c:rich>
                  <a:bodyPr rot="0" spcFirstLastPara="0" vertOverflow="ellipsis" vert="horz" wrap="square" lIns="38100" tIns="19050" rIns="38100" bIns="19050" anchor="ctr" anchorCtr="1"/>
                  <a:lstStyle/>
                  <a:p>
                    <a:pPr>
                      <a:defRPr lang="zh-CN" sz="500" b="0" i="0" u="none" strike="noStrike" kern="1200" baseline="0">
                        <a:solidFill>
                          <a:schemeClr val="tx1">
                            <a:lumMod val="75000"/>
                            <a:lumOff val="25000"/>
                          </a:schemeClr>
                        </a:solidFill>
                        <a:latin typeface="+mn-lt"/>
                        <a:ea typeface="+mn-ea"/>
                        <a:cs typeface="+mn-cs"/>
                      </a:defRPr>
                    </a:pPr>
                    <a:r>
                      <a:rPr lang="zh-CN" altLang="en-US" sz="400"/>
                      <a:t>项目支出</a:t>
                    </a:r>
                    <a:r>
                      <a:rPr lang="en-US" altLang="zh-CN" sz="400"/>
                      <a:t>260.48</a:t>
                    </a:r>
                    <a:r>
                      <a:rPr lang="zh-CN" altLang="en-US" sz="400"/>
                      <a:t>万元</a:t>
                    </a:r>
                    <a:endParaRPr lang="zh-CN" altLang="en-US" sz="400"/>
                  </a:p>
                </c:rich>
              </c:tx>
              <c:numFmt formatCode="General" sourceLinked="1"/>
              <c:spPr>
                <a:noFill/>
                <a:ln>
                  <a:noFill/>
                </a:ln>
                <a:effectLst/>
              </c:spPr>
              <c:txPr>
                <a:bodyPr rot="0" spcFirstLastPara="0" vertOverflow="ellipsis" vert="horz" wrap="square" lIns="38100" tIns="19050" rIns="38100" bIns="19050" anchor="ctr" anchorCtr="1"/>
                <a:lstStyle/>
                <a:p>
                  <a:pPr>
                    <a:defRPr lang="zh-CN" sz="5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21625"/>
                      <c:h val="0.0627964761689632"/>
                    </c:manualLayout>
                  </c15:layout>
                </c:ext>
              </c:extLst>
            </c:dLbl>
            <c:spPr>
              <a:noFill/>
              <a:ln>
                <a:noFill/>
              </a:ln>
              <a:effectLst/>
            </c:spPr>
            <c:txPr>
              <a:bodyPr rot="0" spcFirstLastPara="0" vertOverflow="ellipsis" vert="horz" wrap="square" lIns="38100" tIns="19050" rIns="38100" bIns="19050" anchor="ctr" anchorCtr="1"/>
              <a:lstStyle/>
              <a:p>
                <a:pPr>
                  <a:defRPr lang="zh-CN" sz="4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2320.73</c:v>
                </c:pt>
                <c:pt idx="1">
                  <c:v>260.48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5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5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kern="1200" spc="0" baseline="0">
                <a:solidFill>
                  <a:sysClr val="windowText" lastClr="000000">
                    <a:lumMod val="65000"/>
                    <a:lumOff val="35000"/>
                  </a:sysClr>
                </a:solidFill>
                <a:latin typeface="+mn-lt"/>
                <a:ea typeface="+mn-ea"/>
                <a:cs typeface="+mn-cs"/>
              </a:rPr>
              <a:t>2021</a:t>
            </a:r>
            <a:r>
              <a:rPr lang="en-US" altLang="zh-CN"/>
              <a:t>/</a:t>
            </a:r>
            <a:r>
              <a:rPr lang="en-US" altLang="zh-CN" sz="1400" b="0" i="0" u="none" strike="noStrike" kern="1200" spc="0" baseline="0">
                <a:solidFill>
                  <a:sysClr val="windowText" lastClr="000000">
                    <a:lumMod val="65000"/>
                    <a:lumOff val="35000"/>
                  </a:sysClr>
                </a:solidFill>
                <a:latin typeface="+mn-lt"/>
                <a:ea typeface="+mn-ea"/>
                <a:cs typeface="+mn-cs"/>
              </a:rPr>
              <a:t>2022</a:t>
            </a:r>
            <a:r>
              <a:rPr lang="zh-CN" altLang="en-US"/>
              <a:t>年财政拨款收入支出（万元）</a:t>
            </a:r>
            <a:endParaRPr lang="zh-CN" altLang="en-US"/>
          </a:p>
        </c:rich>
      </c:tx>
      <c:layout>
        <c:manualLayout>
          <c:xMode val="edge"/>
          <c:yMode val="edge"/>
          <c:x val="0.217766497461929"/>
          <c:y val="0.0346520358071037"/>
        </c:manualLayout>
      </c:layout>
      <c:overlay val="0"/>
      <c:spPr>
        <a:noFill/>
        <a:ln>
          <a:noFill/>
        </a:ln>
        <a:effectLst/>
      </c:spPr>
    </c:title>
    <c:autoTitleDeleted val="0"/>
    <c:plotArea>
      <c:layout>
        <c:manualLayout>
          <c:layoutTarget val="inner"/>
          <c:xMode val="edge"/>
          <c:yMode val="edge"/>
          <c:x val="0.0733284989122553"/>
          <c:y val="0.205602079122148"/>
          <c:w val="0.916374184191443"/>
          <c:h val="0.508922899220329"/>
        </c:manualLayout>
      </c:layout>
      <c:barChart>
        <c:barDir val="col"/>
        <c:grouping val="clustered"/>
        <c:varyColors val="0"/>
        <c:ser>
          <c:idx val="1"/>
          <c:order val="0"/>
          <c:tx>
            <c:strRef>
              <c:f>Sheet1!$B$1</c:f>
              <c:strCache>
                <c:ptCount val="1"/>
                <c:pt idx="0">
                  <c:v>2021/2022年财政拨款收入支出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2659.27</c:v>
                </c:pt>
                <c:pt idx="1">
                  <c:v>2519.62</c:v>
                </c:pt>
              </c:numCache>
            </c:numRef>
          </c:val>
        </c:ser>
        <c:dLbls>
          <c:showLegendKey val="0"/>
          <c:showVal val="1"/>
          <c:showCatName val="0"/>
          <c:showSerName val="0"/>
          <c:showPercent val="0"/>
          <c:showBubbleSize val="0"/>
        </c:dLbls>
        <c:gapWidth val="219"/>
        <c:overlap val="-27"/>
        <c:axId val="538837011"/>
        <c:axId val="772432449"/>
      </c:barChart>
      <c:catAx>
        <c:axId val="53883701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72432449"/>
        <c:crosses val="autoZero"/>
        <c:auto val="1"/>
        <c:lblAlgn val="ctr"/>
        <c:lblOffset val="100"/>
        <c:noMultiLvlLbl val="0"/>
      </c:catAx>
      <c:valAx>
        <c:axId val="7724324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88370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en-US" sz="1400" b="0" i="0" u="none" strike="noStrike" kern="1200" spc="0" baseline="0">
                <a:solidFill>
                  <a:sysClr val="windowText" lastClr="000000">
                    <a:lumMod val="65000"/>
                    <a:lumOff val="35000"/>
                  </a:sysClr>
                </a:solidFill>
                <a:latin typeface="+mn-lt"/>
                <a:ea typeface="+mn-ea"/>
                <a:cs typeface="+mn-cs"/>
              </a:rPr>
              <a:t>2021</a:t>
            </a:r>
            <a:r>
              <a:rPr lang="zh-CN" altLang="en-US"/>
              <a:t>、</a:t>
            </a:r>
            <a:r>
              <a:rPr lang="en-US" altLang="en-US" sz="1400" b="0" i="0" u="none" strike="noStrike" kern="1200" spc="0" baseline="0">
                <a:solidFill>
                  <a:sysClr val="windowText" lastClr="000000">
                    <a:lumMod val="65000"/>
                    <a:lumOff val="35000"/>
                  </a:sysClr>
                </a:solidFill>
                <a:latin typeface="+mn-lt"/>
                <a:ea typeface="+mn-ea"/>
                <a:cs typeface="+mn-cs"/>
              </a:rPr>
              <a:t>2022</a:t>
            </a:r>
            <a:r>
              <a:rPr lang="zh-CN" altLang="en-US"/>
              <a:t>年一般公共预算财政拨款支出（万元）</a:t>
            </a:r>
            <a:endParaRPr lang="zh-CN" altLang="en-US"/>
          </a:p>
        </c:rich>
      </c:tx>
      <c:layout/>
      <c:overlay val="0"/>
      <c:spPr>
        <a:noFill/>
        <a:ln>
          <a:noFill/>
        </a:ln>
        <a:effectLst/>
      </c:spPr>
    </c:title>
    <c:autoTitleDeleted val="0"/>
    <c:plotArea>
      <c:layout>
        <c:manualLayout>
          <c:layoutTarget val="inner"/>
          <c:xMode val="edge"/>
          <c:yMode val="edge"/>
          <c:x val="0.042575"/>
          <c:y val="0.133"/>
          <c:w val="0.927925"/>
          <c:h val="0.716066666666667"/>
        </c:manualLayout>
      </c:layout>
      <c:barChart>
        <c:barDir val="col"/>
        <c:grouping val="clustered"/>
        <c:varyColors val="0"/>
        <c:ser>
          <c:idx val="2"/>
          <c:order val="0"/>
          <c:tx>
            <c:strRef>
              <c:f>Sheet1!$B$1</c:f>
              <c:strCache>
                <c:ptCount val="1"/>
                <c:pt idx="0">
                  <c:v>2020,、2021年一般公共预算财政拨款支出（万元）</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2427.04</c:v>
                </c:pt>
                <c:pt idx="1">
                  <c:v>2519.62</c:v>
                </c:pt>
              </c:numCache>
            </c:numRef>
          </c:val>
        </c:ser>
        <c:dLbls>
          <c:showLegendKey val="0"/>
          <c:showVal val="1"/>
          <c:showCatName val="0"/>
          <c:showSerName val="0"/>
          <c:showPercent val="0"/>
          <c:showBubbleSize val="0"/>
        </c:dLbls>
        <c:gapWidth val="219"/>
        <c:overlap val="-27"/>
        <c:axId val="369624179"/>
        <c:axId val="728609386"/>
      </c:barChart>
      <c:catAx>
        <c:axId val="36962417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8609386"/>
        <c:crosses val="autoZero"/>
        <c:auto val="1"/>
        <c:lblAlgn val="ctr"/>
        <c:lblOffset val="100"/>
        <c:noMultiLvlLbl val="0"/>
      </c:catAx>
      <c:valAx>
        <c:axId val="72860938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6241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840" b="0" i="0" u="none" strike="noStrike" kern="1200" spc="0" baseline="0">
                <a:solidFill>
                  <a:schemeClr val="tx1">
                    <a:lumMod val="65000"/>
                    <a:lumOff val="35000"/>
                  </a:schemeClr>
                </a:solidFill>
                <a:latin typeface="+mn-lt"/>
                <a:ea typeface="+mn-ea"/>
                <a:cs typeface="+mn-cs"/>
              </a:defRPr>
            </a:pPr>
            <a:r>
              <a:rPr lang="en-US" altLang="en-US" sz="840" b="0" i="0" u="none" strike="noStrike" kern="1200" spc="0" baseline="0">
                <a:solidFill>
                  <a:sysClr val="windowText" lastClr="000000">
                    <a:lumMod val="65000"/>
                    <a:lumOff val="35000"/>
                  </a:sysClr>
                </a:solidFill>
                <a:latin typeface="+mn-lt"/>
                <a:ea typeface="+mn-ea"/>
                <a:cs typeface="+mn-cs"/>
              </a:rPr>
              <a:t>2022</a:t>
            </a:r>
            <a:r>
              <a:rPr lang="zh-CN" altLang="en-US" sz="840"/>
              <a:t>年一般公共预算财政拨款支出（万元）</a:t>
            </a:r>
            <a:endParaRPr lang="zh-CN" altLang="en-US" sz="840"/>
          </a:p>
        </c:rich>
      </c:tx>
      <c:layout>
        <c:manualLayout>
          <c:xMode val="edge"/>
          <c:yMode val="edge"/>
          <c:x val="0.274039254494475"/>
          <c:y val="0.0698461538461539"/>
        </c:manualLayout>
      </c:layout>
      <c:overlay val="0"/>
      <c:spPr>
        <a:noFill/>
        <a:ln>
          <a:noFill/>
        </a:ln>
        <a:effectLst/>
      </c:spPr>
    </c:title>
    <c:autoTitleDeleted val="0"/>
    <c:plotArea>
      <c:layout/>
      <c:pieChart>
        <c:varyColors val="1"/>
        <c:ser>
          <c:idx val="0"/>
          <c:order val="0"/>
          <c:tx>
            <c:strRef>
              <c:f>Sheet1!$B$1</c:f>
              <c:strCache>
                <c:ptCount val="1"/>
                <c:pt idx="0">
                  <c:v>2021年一般公共预算财政拨款支出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7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社会保障和就业</c:v>
                </c:pt>
                <c:pt idx="2">
                  <c:v>卫生健康支出</c:v>
                </c:pt>
                <c:pt idx="3">
                  <c:v>住房保障支出</c:v>
                </c:pt>
              </c:strCache>
            </c:strRef>
          </c:cat>
          <c:val>
            <c:numRef>
              <c:f>Sheet1!$B$2:$B$5</c:f>
              <c:numCache>
                <c:formatCode>General</c:formatCode>
                <c:ptCount val="4"/>
                <c:pt idx="0">
                  <c:v>2170.49</c:v>
                </c:pt>
                <c:pt idx="1">
                  <c:v>147.1</c:v>
                </c:pt>
                <c:pt idx="2">
                  <c:v>91.71</c:v>
                </c:pt>
                <c:pt idx="3">
                  <c:v>110.32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7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7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45</Pages>
  <Words>22228</Words>
  <Characters>22886</Characters>
  <Lines>177</Lines>
  <Paragraphs>49</Paragraphs>
  <TotalTime>0</TotalTime>
  <ScaleCrop>false</ScaleCrop>
  <LinksUpToDate>false</LinksUpToDate>
  <CharactersWithSpaces>23093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凝望</cp:lastModifiedBy>
  <cp:lastPrinted>2022-10-18T00:14:00Z</cp:lastPrinted>
  <dcterms:modified xsi:type="dcterms:W3CDTF">2023-10-15T06:03:30Z</dcterms:modified>
  <dc:title>四川省***</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51573E00D74E400A9795824F8369A12E</vt:lpwstr>
  </property>
</Properties>
</file>