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Extensions/webExtension1.xml" ContentType="application/vnd.wps-officedocument.webExtension+xml"/>
  <Override PartName="/word/webExtensions/webExtension2.xml" ContentType="application/vnd.wps-officedocument.webExtension+xml"/>
  <Override PartName="/word/webExtensions/webExtension3.xml" ContentType="application/vnd.wps-officedocument.webExtension+xml"/>
  <Override PartName="/word/webExtensions/webExtension4.xml" ContentType="application/vnd.wps-officedocument.webExtension+xml"/>
  <Override PartName="/word/webExtensions/webExtension5.xml" ContentType="application/vnd.wps-officedocument.webExtension+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77193"/>
      <w:bookmarkStart w:id="2" w:name="_Toc15378441"/>
      <w:bookmarkStart w:id="3" w:name="_Toc15377425"/>
      <w:bookmarkStart w:id="4" w:name="_Toc15396597"/>
      <w:bookmarkStart w:id="5" w:name="_Toc15396475"/>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lang w:val="en-US" w:eastAsia="zh-CN"/>
        </w:rPr>
        <w:t>四川省</w:t>
      </w:r>
      <w:r>
        <w:rPr>
          <w:rFonts w:hint="eastAsia" w:ascii="方正小标宋简体" w:hAnsi="方正小标宋简体" w:eastAsia="方正小标宋简体" w:cs="方正小标宋简体"/>
          <w:color w:val="auto"/>
          <w:sz w:val="72"/>
          <w:szCs w:val="72"/>
          <w:highlight w:val="none"/>
        </w:rPr>
        <w:t>广元市利州区</w:t>
      </w:r>
    </w:p>
    <w:p>
      <w:pPr>
        <w:adjustRightInd w:val="0"/>
        <w:snapToGrid w:val="0"/>
        <w:spacing w:line="360" w:lineRule="auto"/>
        <w:jc w:val="center"/>
        <w:outlineLvl w:val="0"/>
        <w:rPr>
          <w:rFonts w:hint="default" w:ascii="方正小标宋简体" w:hAnsi="方正小标宋简体" w:eastAsia="方正小标宋简体" w:cs="方正小标宋简体"/>
          <w:color w:val="auto"/>
          <w:sz w:val="72"/>
          <w:szCs w:val="72"/>
          <w:highlight w:val="none"/>
          <w:lang w:val="en-US" w:eastAsia="zh-CN"/>
        </w:rPr>
      </w:pPr>
      <w:r>
        <w:rPr>
          <w:rFonts w:hint="eastAsia" w:ascii="方正小标宋简体" w:hAnsi="方正小标宋简体" w:eastAsia="方正小标宋简体" w:cs="方正小标宋简体"/>
          <w:color w:val="auto"/>
          <w:sz w:val="72"/>
          <w:szCs w:val="72"/>
          <w:highlight w:val="none"/>
          <w:lang w:val="en-US" w:eastAsia="zh-CN"/>
        </w:rPr>
        <w:t>荣山初级中学</w:t>
      </w:r>
    </w:p>
    <w:p>
      <w:pPr>
        <w:widowControl/>
        <w:jc w:val="center"/>
        <w:rPr>
          <w:rFonts w:ascii="方正小标宋简体" w:hAnsi="宋体" w:eastAsia="方正小标宋简体"/>
          <w:color w:val="auto"/>
          <w:sz w:val="36"/>
          <w:szCs w:val="36"/>
          <w:highlight w:val="none"/>
        </w:rPr>
      </w:pPr>
      <w:bookmarkStart w:id="6" w:name="_Toc19089860"/>
      <w:r>
        <w:rPr>
          <w:rFonts w:hint="eastAsia" w:ascii="方正小标宋简体" w:hAnsi="宋体" w:eastAsia="方正小标宋简体"/>
          <w:sz w:val="72"/>
          <w:szCs w:val="72"/>
        </w:rPr>
        <w:t>部门决算</w:t>
      </w:r>
      <w:bookmarkEnd w:id="6"/>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1"/>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10月15</w:t>
      </w:r>
      <w:r>
        <w:rPr>
          <w:rFonts w:hint="eastAsia"/>
          <w:color w:val="auto"/>
          <w:highlight w:val="none"/>
        </w:rPr>
        <w:t>日</w:t>
      </w:r>
    </w:p>
    <w:p>
      <w:pPr>
        <w:rPr>
          <w:color w:val="auto"/>
          <w:highlight w:val="none"/>
        </w:rPr>
      </w:pP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 xml:space="preserve">第一部分 </w:t>
      </w:r>
      <w:r>
        <w:rPr>
          <w:rFonts w:hint="eastAsia" w:ascii="仿宋" w:hAnsi="仿宋" w:eastAsia="仿宋" w:cs="仿宋"/>
          <w:sz w:val="28"/>
          <w:szCs w:val="28"/>
          <w:lang w:eastAsia="zh-CN"/>
        </w:rPr>
        <w:t>单位</w:t>
      </w:r>
      <w:r>
        <w:rPr>
          <w:rFonts w:hint="eastAsia" w:ascii="仿宋" w:hAnsi="仿宋" w:eastAsia="仿宋" w:cs="仿宋"/>
          <w:sz w:val="28"/>
          <w:szCs w:val="28"/>
        </w:rPr>
        <w:t>概况</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一、</w:t>
      </w:r>
      <w:r>
        <w:rPr>
          <w:rFonts w:hint="eastAsia" w:ascii="仿宋" w:hAnsi="仿宋" w:eastAsia="仿宋" w:cs="仿宋"/>
          <w:sz w:val="28"/>
          <w:szCs w:val="28"/>
          <w:lang w:eastAsia="zh-CN"/>
        </w:rPr>
        <w:t>主要职责</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sz w:val="28"/>
          <w:szCs w:val="28"/>
        </w:rPr>
        <w:t>、</w:t>
      </w:r>
      <w:r>
        <w:rPr>
          <w:rFonts w:hint="eastAsia" w:ascii="仿宋" w:hAnsi="仿宋" w:eastAsia="仿宋" w:cs="仿宋"/>
          <w:sz w:val="28"/>
          <w:szCs w:val="28"/>
          <w:lang w:eastAsia="zh-CN"/>
        </w:rPr>
        <w:t>机构设置</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第二部分</w:t>
      </w:r>
      <w:r>
        <w:rPr>
          <w:rFonts w:hint="eastAsia" w:ascii="仿宋" w:hAnsi="仿宋" w:eastAsia="仿宋" w:cs="仿宋"/>
          <w:sz w:val="28"/>
          <w:szCs w:val="28"/>
          <w:lang w:val="en-US" w:eastAsia="zh-CN"/>
        </w:rPr>
        <w:t xml:space="preserve"> 2022年度</w:t>
      </w:r>
      <w:r>
        <w:rPr>
          <w:rFonts w:hint="eastAsia" w:ascii="仿宋" w:hAnsi="仿宋" w:eastAsia="仿宋" w:cs="仿宋"/>
          <w:sz w:val="28"/>
          <w:szCs w:val="28"/>
          <w:lang w:eastAsia="zh-CN"/>
        </w:rPr>
        <w:t>单位</w:t>
      </w:r>
      <w:r>
        <w:rPr>
          <w:rFonts w:hint="eastAsia" w:ascii="仿宋" w:hAnsi="仿宋" w:eastAsia="仿宋" w:cs="仿宋"/>
          <w:sz w:val="28"/>
          <w:szCs w:val="28"/>
        </w:rPr>
        <w:t>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一、收入支出决算总体情况说明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二、收入决算情况说明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三、支出决算情况说明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四、财政拨款收入支出决算总体情况说明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五、一般公共预算财政拨款支出决算情况说明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七、财政拨款</w:t>
      </w:r>
      <w:r>
        <w:rPr>
          <w:rFonts w:hint="eastAsia" w:ascii="仿宋" w:hAnsi="仿宋" w:eastAsia="仿宋" w:cs="仿宋"/>
          <w:sz w:val="28"/>
          <w:szCs w:val="28"/>
          <w:lang w:eastAsia="zh-CN"/>
        </w:rPr>
        <w:t>“</w:t>
      </w:r>
      <w:r>
        <w:rPr>
          <w:rFonts w:hint="eastAsia" w:ascii="仿宋" w:hAnsi="仿宋" w:eastAsia="仿宋" w:cs="仿宋"/>
          <w:sz w:val="28"/>
          <w:szCs w:val="28"/>
        </w:rPr>
        <w:t>三公”经费支出决算情况说明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八、政府性基金预算支出决算情况说</w:t>
      </w:r>
      <w:r>
        <w:rPr>
          <w:rFonts w:hint="eastAsia" w:ascii="仿宋" w:hAnsi="仿宋" w:eastAsia="仿宋" w:cs="仿宋"/>
          <w:sz w:val="28"/>
          <w:szCs w:val="28"/>
          <w:lang w:val="en-US" w:eastAsia="zh-CN"/>
        </w:rPr>
        <w:t>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九、国有资本经营预算支出决算情况说明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rPr>
        <w:t>十、其他重要事项的情况说明</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第三部分 名词解释</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rPr>
        <w:t>第四部分 附件</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部门预算项目支出绩效自评表（2022年度）</w:t>
      </w:r>
    </w:p>
    <w:p>
      <w:pPr>
        <w:keepNext w:val="0"/>
        <w:keepLines w:val="0"/>
        <w:pageBreakBefore w:val="0"/>
        <w:widowControl/>
        <w:kinsoku/>
        <w:wordWrap/>
        <w:overflowPunct/>
        <w:topLinePunct w:val="0"/>
        <w:autoSpaceDE/>
        <w:autoSpaceDN/>
        <w:bidi w:val="0"/>
        <w:adjustRightInd/>
        <w:snapToGrid w:val="0"/>
        <w:spacing w:line="540" w:lineRule="exact"/>
        <w:jc w:val="both"/>
        <w:textAlignment w:val="auto"/>
        <w:rPr>
          <w:rFonts w:hint="default" w:ascii="仿宋" w:hAnsi="仿宋" w:eastAsia="仿宋" w:cs="仿宋"/>
          <w:sz w:val="28"/>
          <w:szCs w:val="28"/>
          <w:lang w:val="en-US"/>
        </w:rPr>
      </w:pPr>
      <w:r>
        <w:rPr>
          <w:rFonts w:hint="eastAsia" w:ascii="仿宋" w:hAnsi="仿宋" w:eastAsia="仿宋" w:cs="仿宋"/>
          <w:sz w:val="28"/>
          <w:szCs w:val="28"/>
          <w:lang w:val="en-US" w:eastAsia="zh-CN"/>
        </w:rPr>
        <w:t>第五部分 附表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一、收入支出决算总表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二、收入决算表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三、支出决算表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四、财政拨款收入支出决算总表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五、财政拨款支出决算明细表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六、一般公共预算财政拨款支出决算表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七、一般公共预算财政拨款支出决算明细表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八、一般公共预算财政拨款基本支出决算</w:t>
      </w:r>
      <w:r>
        <w:rPr>
          <w:rFonts w:hint="eastAsia" w:ascii="仿宋" w:hAnsi="仿宋" w:eastAsia="仿宋" w:cs="仿宋"/>
          <w:color w:val="auto"/>
          <w:sz w:val="28"/>
          <w:szCs w:val="28"/>
          <w:highlight w:val="none"/>
          <w:lang w:eastAsia="zh-CN"/>
        </w:rPr>
        <w:t>明细</w:t>
      </w:r>
      <w:r>
        <w:rPr>
          <w:rFonts w:hint="eastAsia" w:ascii="仿宋" w:hAnsi="仿宋" w:eastAsia="仿宋" w:cs="仿宋"/>
          <w:color w:val="auto"/>
          <w:sz w:val="28"/>
          <w:szCs w:val="28"/>
          <w:highlight w:val="none"/>
        </w:rPr>
        <w:t>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九、一般公共预算财政拨款项目支出决算表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十、政府性基金预算财政拨款收入支出决算表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十一、国有资本经营预算财政拨款收入支出决算表</w:t>
      </w:r>
    </w:p>
    <w:p>
      <w:pPr>
        <w:pStyle w:val="12"/>
        <w:adjustRightInd w:val="0"/>
        <w:snapToGrid w:val="0"/>
        <w:spacing w:line="440" w:lineRule="exact"/>
        <w:ind w:left="0" w:leftChars="0"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十二、</w:t>
      </w:r>
      <w:r>
        <w:rPr>
          <w:rFonts w:hint="eastAsia" w:ascii="仿宋" w:hAnsi="仿宋" w:eastAsia="仿宋" w:cs="仿宋"/>
          <w:color w:val="auto"/>
          <w:sz w:val="28"/>
          <w:szCs w:val="28"/>
          <w:highlight w:val="none"/>
          <w:lang w:val="en-US" w:eastAsia="zh-CN"/>
        </w:rPr>
        <w:t>国有资本经营预算财政拨款支出决算表</w:t>
      </w:r>
    </w:p>
    <w:p>
      <w:pPr>
        <w:pStyle w:val="12"/>
        <w:adjustRightInd w:val="0"/>
        <w:snapToGrid w:val="0"/>
        <w:spacing w:line="440" w:lineRule="exact"/>
        <w:ind w:left="0" w:leftChars="0" w:firstLine="0" w:firstLineChars="0"/>
        <w:jc w:val="left"/>
        <w:rPr>
          <w:rFonts w:hint="eastAsia"/>
          <w:color w:val="auto"/>
          <w:sz w:val="24"/>
          <w:highlight w:val="none"/>
        </w:rPr>
      </w:pPr>
      <w:r>
        <w:rPr>
          <w:rFonts w:hint="eastAsia" w:ascii="仿宋" w:hAnsi="仿宋" w:eastAsia="仿宋" w:cs="仿宋"/>
          <w:color w:val="auto"/>
          <w:sz w:val="28"/>
          <w:szCs w:val="28"/>
          <w:highlight w:val="none"/>
        </w:rPr>
        <w:t>十三、财政拨款“三公”经费支出决算表</w:t>
      </w:r>
    </w:p>
    <w:p>
      <w:pPr>
        <w:pStyle w:val="3"/>
        <w:jc w:val="center"/>
        <w:rPr>
          <w:rFonts w:hint="eastAsia" w:ascii="黑体" w:hAnsi="黑体" w:eastAsia="黑体"/>
          <w:b w:val="0"/>
          <w:color w:val="auto"/>
          <w:highlight w:val="none"/>
        </w:rPr>
        <w:sectPr>
          <w:headerReference r:id="rId3" w:type="default"/>
          <w:pgSz w:w="11906" w:h="16838"/>
          <w:pgMar w:top="1440" w:right="1800" w:bottom="1440" w:left="1800" w:header="851" w:footer="992" w:gutter="0"/>
          <w:pgNumType w:start="1"/>
          <w:cols w:space="425" w:num="1"/>
          <w:titlePg/>
          <w:docGrid w:type="lines" w:linePitch="312" w:charSpace="0"/>
        </w:sectPr>
      </w:pPr>
      <w:bookmarkStart w:id="7" w:name="_Toc15377196"/>
      <w:bookmarkStart w:id="8" w:name="_Toc15396599"/>
    </w:p>
    <w:p>
      <w:pPr>
        <w:pStyle w:val="3"/>
        <w:jc w:val="center"/>
        <w:rPr>
          <w:rStyle w:val="26"/>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6"/>
          <w:rFonts w:hint="eastAsia" w:ascii="黑体" w:hAnsi="黑体" w:eastAsia="黑体"/>
          <w:b w:val="0"/>
          <w:bCs w:val="0"/>
          <w:color w:val="auto"/>
          <w:highlight w:val="none"/>
        </w:rPr>
        <w:t>概况</w:t>
      </w:r>
      <w:bookmarkEnd w:id="7"/>
      <w:bookmarkEnd w:id="8"/>
    </w:p>
    <w:p>
      <w:pPr>
        <w:widowControl/>
        <w:jc w:val="left"/>
        <w:rPr>
          <w:rFonts w:ascii="黑体" w:eastAsia="黑体"/>
          <w:color w:val="auto"/>
          <w:sz w:val="32"/>
          <w:szCs w:val="32"/>
          <w:highlight w:val="none"/>
        </w:rPr>
      </w:pPr>
    </w:p>
    <w:p>
      <w:pPr>
        <w:pStyle w:val="4"/>
        <w:numPr>
          <w:ilvl w:val="0"/>
          <w:numId w:val="1"/>
        </w:numPr>
        <w:ind w:left="0" w:leftChars="0" w:firstLine="0" w:firstLineChars="0"/>
        <w:rPr>
          <w:rStyle w:val="27"/>
          <w:rFonts w:hint="eastAsia" w:ascii="黑体" w:hAnsi="黑体" w:eastAsia="黑体"/>
          <w:b w:val="0"/>
          <w:bCs w:val="0"/>
          <w:color w:val="auto"/>
          <w:highlight w:val="none"/>
          <w:lang w:eastAsia="zh-CN"/>
        </w:rPr>
      </w:pPr>
      <w:bookmarkStart w:id="9" w:name="_Toc15377197"/>
      <w:bookmarkStart w:id="10" w:name="_Toc15396600"/>
      <w:r>
        <w:rPr>
          <w:rStyle w:val="27"/>
          <w:rFonts w:hint="eastAsia" w:ascii="黑体" w:hAnsi="黑体" w:eastAsia="黑体"/>
          <w:b w:val="0"/>
          <w:bCs w:val="0"/>
          <w:color w:val="auto"/>
          <w:highlight w:val="none"/>
          <w:lang w:eastAsia="zh-CN"/>
        </w:rPr>
        <w:t>主要职责</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ascii="仿宋" w:hAnsi="仿宋" w:eastAsia="仿宋" w:cs="仿宋"/>
          <w:sz w:val="28"/>
          <w:szCs w:val="28"/>
        </w:rPr>
      </w:pPr>
      <w:r>
        <w:rPr>
          <w:rFonts w:hint="eastAsia" w:ascii="仿宋" w:hAnsi="仿宋" w:eastAsia="仿宋" w:cs="仿宋"/>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ageBreakBefore w:val="0"/>
        <w:widowControl w:val="0"/>
        <w:kinsoku/>
        <w:wordWrap/>
        <w:overflowPunct/>
        <w:topLinePunct w:val="0"/>
        <w:autoSpaceDE/>
        <w:autoSpaceDN/>
        <w:bidi w:val="0"/>
        <w:adjustRightInd/>
        <w:snapToGrid w:val="0"/>
        <w:spacing w:line="520" w:lineRule="exact"/>
        <w:ind w:firstLine="560" w:firstLineChars="200"/>
        <w:jc w:val="both"/>
        <w:textAlignment w:val="auto"/>
        <w:rPr>
          <w:rFonts w:hint="eastAsia"/>
          <w:lang w:eastAsia="zh-CN"/>
        </w:rPr>
      </w:pPr>
      <w:r>
        <w:rPr>
          <w:rFonts w:hint="eastAsia" w:ascii="仿宋" w:hAnsi="仿宋" w:eastAsia="仿宋" w:cs="仿宋"/>
          <w:sz w:val="28"/>
          <w:szCs w:val="28"/>
        </w:rPr>
        <w:t>4.促进基础教育发展，教育学生成长为德学兼备、思想端正的学生，让学生获得基本的基础知识，尽可能培养其自学能力。</w:t>
      </w:r>
    </w:p>
    <w:p>
      <w:pPr>
        <w:pStyle w:val="4"/>
        <w:numPr>
          <w:ilvl w:val="0"/>
          <w:numId w:val="0"/>
        </w:numPr>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bookmarkEnd w:id="9"/>
    <w:bookmarkEnd w:id="10"/>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s="仿宋"/>
          <w:sz w:val="28"/>
          <w:szCs w:val="28"/>
        </w:rPr>
        <w:t>1、</w:t>
      </w:r>
      <w:r>
        <w:rPr>
          <w:rFonts w:hint="eastAsia" w:ascii="仿宋" w:hAnsi="仿宋" w:eastAsia="仿宋" w:cs="仿宋"/>
          <w:sz w:val="28"/>
          <w:szCs w:val="28"/>
          <w:lang w:val="en-US" w:eastAsia="zh-CN"/>
        </w:rPr>
        <w:t>荣山初级中学</w:t>
      </w:r>
      <w:r>
        <w:rPr>
          <w:rFonts w:hint="eastAsia" w:ascii="仿宋" w:hAnsi="仿宋" w:eastAsia="仿宋" w:cs="仿宋"/>
          <w:sz w:val="28"/>
          <w:szCs w:val="28"/>
        </w:rPr>
        <w:t>是经利州区编制委员会批准成立的，隶属区教</w:t>
      </w:r>
      <w:r>
        <w:rPr>
          <w:rFonts w:hint="eastAsia" w:ascii="仿宋" w:hAnsi="仿宋" w:eastAsia="仿宋"/>
          <w:color w:val="auto"/>
          <w:kern w:val="0"/>
          <w:sz w:val="28"/>
          <w:szCs w:val="28"/>
          <w:highlight w:val="none"/>
        </w:rPr>
        <w:t>育局领导下的一所农村</w:t>
      </w:r>
      <w:r>
        <w:rPr>
          <w:rFonts w:hint="eastAsia" w:ascii="仿宋" w:hAnsi="仿宋" w:eastAsia="仿宋"/>
          <w:color w:val="auto"/>
          <w:kern w:val="0"/>
          <w:sz w:val="28"/>
          <w:szCs w:val="28"/>
          <w:highlight w:val="none"/>
          <w:lang w:val="en-US" w:eastAsia="zh-CN"/>
        </w:rPr>
        <w:t>九年一贯制</w:t>
      </w:r>
      <w:r>
        <w:rPr>
          <w:rFonts w:hint="eastAsia" w:ascii="仿宋" w:hAnsi="仿宋" w:eastAsia="仿宋"/>
          <w:color w:val="auto"/>
          <w:kern w:val="0"/>
          <w:sz w:val="28"/>
          <w:szCs w:val="28"/>
          <w:highlight w:val="none"/>
        </w:rPr>
        <w:t>学校。主要职能：实施</w:t>
      </w:r>
      <w:r>
        <w:rPr>
          <w:rFonts w:hint="eastAsia" w:ascii="仿宋" w:hAnsi="仿宋" w:eastAsia="仿宋"/>
          <w:color w:val="auto"/>
          <w:kern w:val="0"/>
          <w:sz w:val="28"/>
          <w:szCs w:val="28"/>
          <w:highlight w:val="none"/>
          <w:lang w:val="en-US" w:eastAsia="zh-CN"/>
        </w:rPr>
        <w:t>初中义务</w:t>
      </w:r>
      <w:r>
        <w:rPr>
          <w:rFonts w:hint="eastAsia" w:ascii="仿宋" w:hAnsi="仿宋" w:eastAsia="仿宋"/>
          <w:color w:val="auto"/>
          <w:kern w:val="0"/>
          <w:sz w:val="28"/>
          <w:szCs w:val="28"/>
          <w:highlight w:val="none"/>
        </w:rPr>
        <w:t>教育，</w:t>
      </w:r>
      <w:r>
        <w:rPr>
          <w:rFonts w:hint="eastAsia" w:ascii="仿宋" w:hAnsi="仿宋" w:eastAsia="仿宋"/>
          <w:color w:val="auto"/>
          <w:kern w:val="0"/>
          <w:sz w:val="28"/>
          <w:szCs w:val="28"/>
          <w:highlight w:val="none"/>
          <w:lang w:val="en-US" w:eastAsia="zh-CN"/>
        </w:rPr>
        <w:t>促进基础教育发展</w:t>
      </w:r>
      <w:r>
        <w:rPr>
          <w:rFonts w:hint="eastAsia" w:ascii="仿宋" w:hAnsi="仿宋" w:eastAsia="仿宋"/>
          <w:color w:val="auto"/>
          <w:kern w:val="0"/>
          <w:sz w:val="28"/>
          <w:szCs w:val="28"/>
          <w:highlight w:val="none"/>
        </w:rPr>
        <w:t>。</w:t>
      </w:r>
    </w:p>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2、</w:t>
      </w:r>
      <w:r>
        <w:rPr>
          <w:rFonts w:hint="eastAsia" w:ascii="仿宋" w:hAnsi="仿宋" w:eastAsia="仿宋"/>
          <w:color w:val="auto"/>
          <w:kern w:val="0"/>
          <w:sz w:val="28"/>
          <w:szCs w:val="28"/>
          <w:highlight w:val="none"/>
          <w:lang w:val="en-US" w:eastAsia="zh-CN"/>
        </w:rPr>
        <w:t>荣山初级中学</w:t>
      </w:r>
      <w:r>
        <w:rPr>
          <w:rFonts w:hint="eastAsia" w:ascii="仿宋" w:hAnsi="仿宋" w:eastAsia="仿宋"/>
          <w:color w:val="auto"/>
          <w:kern w:val="0"/>
          <w:sz w:val="28"/>
          <w:szCs w:val="28"/>
          <w:highlight w:val="none"/>
        </w:rPr>
        <w:t>是</w:t>
      </w:r>
      <w:r>
        <w:rPr>
          <w:rFonts w:hint="eastAsia" w:ascii="仿宋" w:hAnsi="仿宋" w:eastAsia="仿宋"/>
          <w:color w:val="auto"/>
          <w:kern w:val="0"/>
          <w:sz w:val="28"/>
          <w:szCs w:val="28"/>
          <w:highlight w:val="none"/>
          <w:lang w:val="en-US" w:eastAsia="zh-CN"/>
        </w:rPr>
        <w:t>利州</w:t>
      </w:r>
      <w:r>
        <w:rPr>
          <w:rFonts w:hint="eastAsia" w:ascii="仿宋" w:hAnsi="仿宋" w:eastAsia="仿宋"/>
          <w:color w:val="auto"/>
          <w:kern w:val="0"/>
          <w:sz w:val="28"/>
          <w:szCs w:val="28"/>
          <w:highlight w:val="none"/>
        </w:rPr>
        <w:t>区编制委员会命名的独立法人机构，为经费独立核算单位。</w:t>
      </w:r>
    </w:p>
    <w:p>
      <w:pPr>
        <w:pStyle w:val="3"/>
        <w:ind w:right="440"/>
        <w:jc w:val="center"/>
        <w:rPr>
          <w:rFonts w:hint="eastAsia" w:ascii="黑体" w:hAnsi="黑体" w:eastAsia="黑体"/>
          <w:b w:val="0"/>
          <w:bCs/>
          <w:color w:val="auto"/>
          <w:highlight w:val="none"/>
        </w:rPr>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pPr>
      <w:bookmarkStart w:id="11" w:name="_Toc15396602"/>
      <w:bookmarkStart w:id="12" w:name="_Toc15377204"/>
    </w:p>
    <w:p>
      <w:pPr>
        <w:pStyle w:val="3"/>
        <w:ind w:right="440"/>
        <w:jc w:val="center"/>
        <w:rPr>
          <w:rStyle w:val="26"/>
          <w:rFonts w:ascii="黑体" w:hAnsi="黑体" w:eastAsia="黑体"/>
          <w:b w:val="0"/>
          <w:bCs/>
          <w:color w:val="auto"/>
          <w:highlight w:val="none"/>
        </w:rPr>
      </w:pPr>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6"/>
          <w:rFonts w:hint="eastAsia" w:ascii="黑体" w:hAnsi="黑体" w:eastAsia="黑体"/>
          <w:b w:val="0"/>
          <w:bCs/>
          <w:color w:val="auto"/>
          <w:highlight w:val="none"/>
          <w:lang w:eastAsia="zh-CN"/>
        </w:rPr>
        <w:t>单位</w:t>
      </w:r>
      <w:r>
        <w:rPr>
          <w:rStyle w:val="26"/>
          <w:rFonts w:hint="eastAsia" w:ascii="黑体" w:hAnsi="黑体" w:eastAsia="黑体"/>
          <w:b w:val="0"/>
          <w:bCs/>
          <w:color w:val="auto"/>
          <w:highlight w:val="none"/>
        </w:rPr>
        <w:t>决算情况说明</w:t>
      </w:r>
      <w:bookmarkEnd w:id="11"/>
      <w:bookmarkEnd w:id="12"/>
    </w:p>
    <w:p>
      <w:pPr>
        <w:rPr>
          <w:color w:val="auto"/>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13" w:name="_Toc15396603"/>
      <w:bookmarkStart w:id="14" w:name="_Toc15377205"/>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入支出决算总体情况说明</w:t>
      </w:r>
      <w:bookmarkEnd w:id="13"/>
      <w:bookmarkEnd w:id="14"/>
    </w:p>
    <w:p>
      <w:pPr>
        <w:spacing w:line="600" w:lineRule="exact"/>
        <w:ind w:firstLine="64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年度收、支总计1</w:t>
      </w:r>
      <w:r>
        <w:rPr>
          <w:rFonts w:hint="eastAsia" w:ascii="仿宋" w:hAnsi="仿宋" w:eastAsia="仿宋"/>
          <w:color w:val="auto"/>
          <w:sz w:val="32"/>
          <w:szCs w:val="32"/>
          <w:highlight w:val="none"/>
          <w:lang w:val="en-US" w:eastAsia="zh-CN"/>
        </w:rPr>
        <w:t>807.88</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2115.20万元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，收、支总计</w:t>
      </w:r>
      <w:r>
        <w:rPr>
          <w:rFonts w:hint="eastAsia" w:ascii="仿宋" w:hAnsi="仿宋" w:eastAsia="仿宋"/>
          <w:color w:val="auto"/>
          <w:sz w:val="32"/>
          <w:szCs w:val="32"/>
          <w:highlight w:val="none"/>
          <w:lang w:val="en-US" w:eastAsia="zh-CN"/>
        </w:rPr>
        <w:t>各</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307.32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下降</w:t>
      </w:r>
      <w:r>
        <w:rPr>
          <w:rFonts w:hint="eastAsia" w:ascii="仿宋" w:hAnsi="仿宋" w:eastAsia="仿宋"/>
          <w:color w:val="auto"/>
          <w:sz w:val="32"/>
          <w:szCs w:val="32"/>
          <w:highlight w:val="none"/>
          <w:lang w:val="en-US" w:eastAsia="zh-CN"/>
        </w:rPr>
        <w:t>14.53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一是受疫情影响本年度差旅培训支出降低；二是项目资金支付降低。</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pStyle w:val="2"/>
      </w:pPr>
      <w:r>
        <w:rPr>
          <w:rFonts w:hint="eastAsia" w:eastAsiaTheme="minorEastAsia"/>
          <w:lang w:eastAsia="zh-CN"/>
        </w:rPr>
        <w:drawing>
          <wp:inline distT="0" distB="0" distL="114300" distR="114300">
            <wp:extent cx="5143500" cy="3229610"/>
            <wp:effectExtent l="0" t="0" r="0" b="889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0"/>
                    <a:stretch>
                      <a:fillRect/>
                    </a:stretch>
                  </pic:blipFill>
                  <pic:spPr>
                    <a:xfrm>
                      <a:off x="0" y="0"/>
                      <a:ext cx="5143500" cy="3229610"/>
                    </a:xfrm>
                    <a:prstGeom prst="rect">
                      <a:avLst/>
                    </a:prstGeom>
                    <a:extLst>
                      <wpswe:webExtensionRef xmlns:wpswe="http://www.wps.cn/officeDocument/2018/webExtension" r:id="rId9"/>
                    </a:extLst>
                  </pic:spPr>
                </pic:pic>
              </a:graphicData>
            </a:graphic>
          </wp:inline>
        </w:drawing>
      </w:r>
    </w:p>
    <w:p>
      <w:pPr>
        <w:spacing w:line="600" w:lineRule="exact"/>
        <w:ind w:firstLine="640" w:firstLineChars="200"/>
        <w:jc w:val="left"/>
        <w:rPr>
          <w:rFonts w:ascii="仿宋_GB2312" w:eastAsia="仿宋_GB2312"/>
          <w:color w:val="auto"/>
          <w:sz w:val="32"/>
          <w:szCs w:val="32"/>
          <w:highlight w:val="none"/>
        </w:rPr>
      </w:pP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15" w:name="_Toc15396604"/>
      <w:bookmarkStart w:id="16" w:name="_Toc15377206"/>
      <w:r>
        <w:rPr>
          <w:rFonts w:hint="eastAsia" w:ascii="黑体" w:hAnsi="黑体" w:eastAsia="黑体"/>
          <w:color w:val="auto"/>
          <w:sz w:val="32"/>
          <w:szCs w:val="32"/>
          <w:highlight w:val="none"/>
        </w:rPr>
        <w:t>收</w:t>
      </w:r>
      <w:r>
        <w:rPr>
          <w:rStyle w:val="27"/>
          <w:rFonts w:hint="eastAsia" w:ascii="黑体" w:hAnsi="黑体" w:eastAsia="黑体"/>
          <w:b w:val="0"/>
          <w:color w:val="auto"/>
          <w:highlight w:val="none"/>
        </w:rPr>
        <w:t>入决算情况说明</w:t>
      </w:r>
      <w:bookmarkEnd w:id="15"/>
      <w:bookmarkEnd w:id="16"/>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年本年收入合计1</w:t>
      </w:r>
      <w:r>
        <w:rPr>
          <w:rFonts w:hint="eastAsia" w:ascii="仿宋" w:hAnsi="仿宋" w:eastAsia="仿宋"/>
          <w:color w:val="auto"/>
          <w:sz w:val="32"/>
          <w:szCs w:val="32"/>
          <w:highlight w:val="none"/>
          <w:lang w:val="en-US" w:eastAsia="zh-CN"/>
        </w:rPr>
        <w:t>674.39</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1671.59</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99.83</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1.90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0.11</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0.90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（图2：收入决算结构图）（饼状图）</w:t>
      </w:r>
    </w:p>
    <w:p>
      <w:pPr>
        <w:pStyle w:val="2"/>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5306060" cy="5569585"/>
            <wp:effectExtent l="0" t="0" r="2540" b="5715"/>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2"/>
                    <a:stretch>
                      <a:fillRect/>
                    </a:stretch>
                  </pic:blipFill>
                  <pic:spPr>
                    <a:xfrm>
                      <a:off x="0" y="0"/>
                      <a:ext cx="5306060" cy="5569585"/>
                    </a:xfrm>
                    <a:prstGeom prst="rect">
                      <a:avLst/>
                    </a:prstGeom>
                    <a:extLst>
                      <wpswe:webExtensionRef xmlns:wpswe="http://www.wps.cn/officeDocument/2018/webExtension" r:id="rId11"/>
                    </a:extLst>
                  </pic:spPr>
                </pic:pic>
              </a:graphicData>
            </a:graphic>
          </wp:inline>
        </w:drawing>
      </w:r>
    </w:p>
    <w:p>
      <w:pPr>
        <w:pStyle w:val="25"/>
        <w:numPr>
          <w:ilvl w:val="0"/>
          <w:numId w:val="2"/>
        </w:numPr>
        <w:spacing w:line="600" w:lineRule="exact"/>
        <w:ind w:firstLineChars="0"/>
        <w:outlineLvl w:val="1"/>
        <w:rPr>
          <w:rStyle w:val="27"/>
          <w:rFonts w:ascii="黑体" w:hAnsi="黑体" w:eastAsia="黑体"/>
          <w:b w:val="0"/>
          <w:color w:val="auto"/>
          <w:highlight w:val="none"/>
        </w:rPr>
      </w:pPr>
      <w:bookmarkStart w:id="17" w:name="_Toc15396605"/>
      <w:bookmarkStart w:id="18" w:name="_Toc15377207"/>
      <w:r>
        <w:rPr>
          <w:rFonts w:hint="eastAsia" w:ascii="黑体" w:hAnsi="黑体" w:eastAsia="黑体"/>
          <w:color w:val="auto"/>
          <w:sz w:val="32"/>
          <w:szCs w:val="32"/>
          <w:highlight w:val="none"/>
        </w:rPr>
        <w:t>支</w:t>
      </w:r>
      <w:r>
        <w:rPr>
          <w:rStyle w:val="27"/>
          <w:rFonts w:hint="eastAsia" w:ascii="黑体" w:hAnsi="黑体" w:eastAsia="黑体"/>
          <w:b w:val="0"/>
          <w:color w:val="auto"/>
          <w:highlight w:val="none"/>
        </w:rPr>
        <w:t>出决算情况说明</w:t>
      </w:r>
      <w:bookmarkEnd w:id="17"/>
      <w:bookmarkEnd w:id="18"/>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年本年支出合计1</w:t>
      </w:r>
      <w:r>
        <w:rPr>
          <w:rFonts w:hint="eastAsia" w:ascii="仿宋" w:hAnsi="仿宋" w:eastAsia="仿宋"/>
          <w:color w:val="auto"/>
          <w:sz w:val="32"/>
          <w:szCs w:val="32"/>
          <w:highlight w:val="none"/>
          <w:lang w:val="en-US" w:eastAsia="zh-CN"/>
        </w:rPr>
        <w:t>807.88</w:t>
      </w:r>
      <w:r>
        <w:rPr>
          <w:rFonts w:hint="eastAsia" w:ascii="仿宋" w:hAnsi="仿宋" w:eastAsia="仿宋"/>
          <w:color w:val="auto"/>
          <w:sz w:val="32"/>
          <w:szCs w:val="32"/>
          <w:highlight w:val="none"/>
        </w:rPr>
        <w:t>万元，其中：基本支出1</w:t>
      </w:r>
      <w:r>
        <w:rPr>
          <w:rFonts w:hint="eastAsia" w:ascii="仿宋" w:hAnsi="仿宋" w:eastAsia="仿宋"/>
          <w:color w:val="auto"/>
          <w:sz w:val="32"/>
          <w:szCs w:val="32"/>
          <w:highlight w:val="none"/>
          <w:lang w:val="en-US" w:eastAsia="zh-CN"/>
        </w:rPr>
        <w:t>623.15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89.78</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184.73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10.22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pStyle w:val="2"/>
        <w:rPr>
          <w:rFonts w:hint="eastAsia" w:eastAsia="仿宋"/>
          <w:lang w:eastAsia="zh-CN"/>
        </w:rPr>
      </w:pPr>
      <w:r>
        <w:rPr>
          <w:rFonts w:hint="eastAsia" w:eastAsiaTheme="minorEastAsia"/>
          <w:lang w:eastAsia="zh-CN"/>
        </w:rPr>
        <w:drawing>
          <wp:inline distT="0" distB="0" distL="114300" distR="114300">
            <wp:extent cx="5115560" cy="2241550"/>
            <wp:effectExtent l="5080" t="4445" r="10160" b="14605"/>
            <wp:docPr id="7" name="图表 7"/>
            <wp:cNvGraphicFramePr>
              <a:extLst xmlns:a="http://schemas.openxmlformats.org/drawingml/2006/main">
                <a:ext uri="{7FBC4E63-A832-4D11-8238-D91031DB1400}">
                  <s:tag xmlns="http://www.wps.cn/officeDocument/2013/wpsCustomData" xmlns:s="http://www.wps.cn/officeDocument/2013/wpsCustomData">
                    <s:item s:name="KSO_DOCER_RESOURCE_TRACE_INFO" s:val="{&quot;id&quot;:&quot;20468242&quot;,&quot;origin&quot;:0,&quot;type&quot;:&quot;charts&quot;,&quot;user&quot;:&quot;271171727&quot;}"/>
                  </s:tag>
                </a:ext>
              </a:extLs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bookmarkStart w:id="19" w:name="_Toc15377208"/>
      <w:bookmarkStart w:id="20" w:name="_Toc15396606"/>
      <w:r>
        <w:rPr>
          <w:rFonts w:hint="eastAsia" w:ascii="黑体" w:hAnsi="黑体" w:eastAsia="黑体"/>
          <w:color w:val="auto"/>
          <w:sz w:val="32"/>
          <w:szCs w:val="32"/>
          <w:highlight w:val="none"/>
        </w:rPr>
        <w:t>四、财</w:t>
      </w:r>
      <w:r>
        <w:rPr>
          <w:rStyle w:val="27"/>
          <w:rFonts w:hint="eastAsia" w:ascii="黑体" w:hAnsi="黑体" w:eastAsia="黑体"/>
          <w:b w:val="0"/>
          <w:color w:val="auto"/>
          <w:highlight w:val="none"/>
        </w:rPr>
        <w:t>政拨款收入支出决算总体情况说明</w:t>
      </w:r>
      <w:bookmarkEnd w:id="19"/>
      <w:bookmarkEnd w:id="20"/>
    </w:p>
    <w:p>
      <w:pPr>
        <w:spacing w:line="600" w:lineRule="exact"/>
        <w:ind w:firstLine="640"/>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支</w:t>
      </w:r>
      <w:r>
        <w:rPr>
          <w:rFonts w:hint="eastAsia" w:ascii="仿宋" w:hAnsi="仿宋" w:eastAsia="仿宋"/>
          <w:color w:val="auto"/>
          <w:sz w:val="32"/>
          <w:szCs w:val="32"/>
          <w:highlight w:val="none"/>
        </w:rPr>
        <w:t>总计1</w:t>
      </w:r>
      <w:r>
        <w:rPr>
          <w:rFonts w:hint="eastAsia" w:ascii="仿宋" w:hAnsi="仿宋" w:eastAsia="仿宋"/>
          <w:color w:val="auto"/>
          <w:sz w:val="32"/>
          <w:szCs w:val="32"/>
          <w:highlight w:val="none"/>
          <w:lang w:val="en-US" w:eastAsia="zh-CN"/>
        </w:rPr>
        <w:t>805.08</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2108.93万元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，财政拨款收</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支</w:t>
      </w:r>
      <w:r>
        <w:rPr>
          <w:rFonts w:hint="eastAsia" w:ascii="仿宋" w:hAnsi="仿宋" w:eastAsia="仿宋"/>
          <w:color w:val="auto"/>
          <w:sz w:val="32"/>
          <w:szCs w:val="32"/>
          <w:highlight w:val="none"/>
        </w:rPr>
        <w:t>总计减少</w:t>
      </w:r>
      <w:r>
        <w:rPr>
          <w:rFonts w:hint="eastAsia" w:ascii="仿宋" w:hAnsi="仿宋" w:eastAsia="仿宋"/>
          <w:color w:val="auto"/>
          <w:sz w:val="32"/>
          <w:szCs w:val="32"/>
          <w:highlight w:val="none"/>
          <w:lang w:val="en-US" w:eastAsia="zh-CN"/>
        </w:rPr>
        <w:t>303.85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14.41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主要变动原因</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一是受疫情影响本年度差旅培训支出降低；二是项目资金支付降低。</w:t>
      </w:r>
    </w:p>
    <w:p>
      <w:pPr>
        <w:spacing w:line="600" w:lineRule="exact"/>
        <w:ind w:firstLine="640" w:firstLineChars="200"/>
        <w:rPr>
          <w:rFonts w:hint="eastAsia" w:ascii="仿宋" w:hAnsi="仿宋" w:eastAsia="仿宋"/>
          <w:b/>
          <w:color w:val="auto"/>
          <w:sz w:val="32"/>
          <w:szCs w:val="32"/>
          <w:highlight w:val="none"/>
          <w:lang w:eastAsia="zh-CN"/>
        </w:rPr>
      </w:pPr>
      <w:r>
        <w:rPr>
          <w:rFonts w:hint="eastAsia" w:ascii="仿宋" w:hAnsi="仿宋" w:eastAsia="仿宋"/>
          <w:color w:val="auto"/>
          <w:sz w:val="32"/>
          <w:szCs w:val="32"/>
          <w:highlight w:val="none"/>
        </w:rPr>
        <w:t>（图4：财政拨款收、支决算总计变动情况）（柱状图）</w:t>
      </w:r>
    </w:p>
    <w:p>
      <w:pPr>
        <w:pStyle w:val="2"/>
        <w:rPr>
          <w:rFonts w:hint="eastAsia" w:ascii="仿宋" w:hAnsi="仿宋" w:eastAsia="仿宋"/>
          <w:b/>
          <w:color w:val="auto"/>
          <w:sz w:val="32"/>
          <w:szCs w:val="32"/>
          <w:highlight w:val="none"/>
          <w:lang w:eastAsia="zh-CN"/>
        </w:rPr>
      </w:pPr>
      <w:r>
        <w:rPr>
          <w:rFonts w:hint="eastAsia" w:eastAsiaTheme="minorEastAsia"/>
          <w:lang w:eastAsia="zh-CN"/>
        </w:rPr>
        <w:drawing>
          <wp:inline distT="0" distB="0" distL="114300" distR="114300">
            <wp:extent cx="5461000" cy="283845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a:stretch>
                      <a:fillRect/>
                    </a:stretch>
                  </pic:blipFill>
                  <pic:spPr>
                    <a:xfrm>
                      <a:off x="0" y="0"/>
                      <a:ext cx="5461000" cy="2838450"/>
                    </a:xfrm>
                    <a:prstGeom prst="rect">
                      <a:avLst/>
                    </a:prstGeom>
                    <a:extLst>
                      <wpswe:webExtensionRef xmlns:wpswe="http://www.wps.cn/officeDocument/2018/webExtension" r:id="rId14"/>
                    </a:extLst>
                  </pic:spPr>
                </pic:pic>
              </a:graphicData>
            </a:graphic>
          </wp:inline>
        </w:drawing>
      </w:r>
    </w:p>
    <w:p>
      <w:pPr>
        <w:spacing w:line="600" w:lineRule="exact"/>
        <w:ind w:firstLine="640" w:firstLineChars="200"/>
        <w:outlineLvl w:val="1"/>
        <w:rPr>
          <w:rFonts w:hint="eastAsia" w:ascii="黑体" w:hAnsi="黑体" w:eastAsia="黑体"/>
          <w:color w:val="auto"/>
          <w:sz w:val="32"/>
          <w:szCs w:val="32"/>
          <w:highlight w:val="none"/>
        </w:rPr>
      </w:pPr>
      <w:bookmarkStart w:id="21" w:name="_Toc15396607"/>
      <w:bookmarkStart w:id="22" w:name="_Toc15377209"/>
    </w:p>
    <w:p>
      <w:pPr>
        <w:spacing w:line="600" w:lineRule="exact"/>
        <w:ind w:firstLine="640" w:firstLineChars="200"/>
        <w:outlineLvl w:val="1"/>
        <w:rPr>
          <w:rFonts w:hint="eastAsia" w:ascii="黑体" w:hAnsi="黑体" w:eastAsia="黑体"/>
          <w:color w:val="auto"/>
          <w:sz w:val="32"/>
          <w:szCs w:val="32"/>
          <w:highlight w:val="none"/>
        </w:rPr>
      </w:pPr>
    </w:p>
    <w:p>
      <w:pPr>
        <w:spacing w:line="600" w:lineRule="exact"/>
        <w:ind w:firstLine="640" w:firstLineChars="200"/>
        <w:outlineLvl w:val="1"/>
        <w:rPr>
          <w:rStyle w:val="27"/>
          <w:rFonts w:ascii="黑体" w:hAnsi="黑体" w:eastAsia="黑体"/>
          <w:b w:val="0"/>
          <w:color w:val="auto"/>
          <w:highlight w:val="none"/>
        </w:rPr>
      </w:pPr>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般公共预算财政拨款支出决算情况说明</w:t>
      </w:r>
      <w:bookmarkEnd w:id="21"/>
      <w:bookmarkEnd w:id="22"/>
    </w:p>
    <w:p>
      <w:pPr>
        <w:spacing w:line="600" w:lineRule="exact"/>
        <w:ind w:firstLine="643" w:firstLineChars="200"/>
        <w:outlineLvl w:val="2"/>
        <w:rPr>
          <w:rFonts w:ascii="仿宋" w:hAnsi="仿宋" w:eastAsia="仿宋"/>
          <w:b/>
          <w:color w:val="auto"/>
          <w:sz w:val="32"/>
          <w:szCs w:val="32"/>
          <w:highlight w:val="none"/>
        </w:rPr>
      </w:pPr>
      <w:bookmarkStart w:id="23" w:name="_Toc15377210"/>
      <w:r>
        <w:rPr>
          <w:rFonts w:hint="eastAsia" w:ascii="仿宋" w:hAnsi="仿宋" w:eastAsia="仿宋"/>
          <w:b/>
          <w:color w:val="auto"/>
          <w:sz w:val="32"/>
          <w:szCs w:val="32"/>
          <w:highlight w:val="none"/>
        </w:rPr>
        <w:t>（一）一般公共预算财政拨款支出决算总体情况</w:t>
      </w:r>
      <w:bookmarkEnd w:id="2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年一般公共预算财政拨款支出1</w:t>
      </w:r>
      <w:r>
        <w:rPr>
          <w:rFonts w:hint="eastAsia" w:ascii="仿宋" w:hAnsi="仿宋" w:eastAsia="仿宋"/>
          <w:color w:val="auto"/>
          <w:sz w:val="32"/>
          <w:szCs w:val="32"/>
          <w:highlight w:val="none"/>
          <w:lang w:val="en-US" w:eastAsia="zh-CN"/>
        </w:rPr>
        <w:t>805.08</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99.85</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2108.93万元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303.85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14.41</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一是受疫情影响本年度差旅培训支出降低；二是项目资金支付降低。</w:t>
      </w:r>
    </w:p>
    <w:p>
      <w:pPr>
        <w:spacing w:line="6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pPr>
        <w:pStyle w:val="2"/>
        <w:rPr>
          <w:rFonts w:hint="eastAsia" w:eastAsia="仿宋"/>
          <w:lang w:eastAsia="zh-CN"/>
        </w:rPr>
      </w:pPr>
      <w:r>
        <w:rPr>
          <w:rFonts w:hint="eastAsia" w:eastAsiaTheme="minorEastAsia"/>
          <w:lang w:eastAsia="zh-CN"/>
        </w:rPr>
        <w:drawing>
          <wp:inline distT="0" distB="0" distL="114300" distR="114300">
            <wp:extent cx="5397500" cy="2867660"/>
            <wp:effectExtent l="0" t="0" r="0" b="2540"/>
            <wp:docPr id="11" name="图片 1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a:blip r:embed="rId17"/>
                    <a:stretch>
                      <a:fillRect/>
                    </a:stretch>
                  </pic:blipFill>
                  <pic:spPr>
                    <a:xfrm>
                      <a:off x="0" y="0"/>
                      <a:ext cx="5397500" cy="2867660"/>
                    </a:xfrm>
                    <a:prstGeom prst="rect">
                      <a:avLst/>
                    </a:prstGeom>
                    <a:extLst>
                      <wpswe:webExtensionRef xmlns:wpswe="http://www.wps.cn/officeDocument/2018/webExtension" r:id="rId16"/>
                    </a:extLst>
                  </pic:spPr>
                </pic:pic>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24" w:name="_Toc15377211"/>
      <w:r>
        <w:rPr>
          <w:rFonts w:hint="eastAsia" w:ascii="仿宋" w:hAnsi="仿宋" w:eastAsia="仿宋"/>
          <w:b/>
          <w:color w:val="auto"/>
          <w:sz w:val="32"/>
          <w:szCs w:val="32"/>
          <w:highlight w:val="none"/>
        </w:rPr>
        <w:t>（二）一般公共预算财政拨款支出决算结构情况</w:t>
      </w:r>
      <w:bookmarkEnd w:id="2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年一般公共预算财政拨款支出1</w:t>
      </w:r>
      <w:r>
        <w:rPr>
          <w:rFonts w:hint="eastAsia" w:ascii="仿宋" w:hAnsi="仿宋" w:eastAsia="仿宋"/>
          <w:color w:val="auto"/>
          <w:sz w:val="32"/>
          <w:szCs w:val="32"/>
          <w:highlight w:val="none"/>
          <w:lang w:val="en-US" w:eastAsia="zh-CN"/>
        </w:rPr>
        <w:t>805.08</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788.30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99.07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b/>
          <w:bCs/>
          <w:color w:val="auto"/>
          <w:sz w:val="32"/>
          <w:szCs w:val="32"/>
          <w:highlight w:val="none"/>
          <w:lang w:val="en-US" w:eastAsia="zh-CN"/>
        </w:rPr>
        <w:t>8.30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b/>
          <w:bCs/>
          <w:color w:val="auto"/>
          <w:sz w:val="32"/>
          <w:szCs w:val="32"/>
          <w:highlight w:val="none"/>
          <w:lang w:val="en-US" w:eastAsia="zh-CN"/>
        </w:rPr>
        <w:t>8.47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pStyle w:val="2"/>
        <w:rPr>
          <w:rFonts w:ascii="仿宋" w:hAnsi="仿宋" w:eastAsia="仿宋"/>
          <w:color w:val="auto"/>
          <w:sz w:val="32"/>
          <w:szCs w:val="32"/>
          <w:highlight w:val="none"/>
        </w:rPr>
      </w:pPr>
      <w:r>
        <w:rPr>
          <w:rFonts w:hint="eastAsia" w:eastAsiaTheme="minorEastAsia"/>
          <w:lang w:eastAsia="zh-CN"/>
        </w:rPr>
        <w:drawing>
          <wp:inline distT="0" distB="0" distL="114300" distR="114300">
            <wp:extent cx="6158865" cy="2731135"/>
            <wp:effectExtent l="9525" t="9525" r="19050" b="17780"/>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19"/>
                    <a:stretch>
                      <a:fillRect/>
                    </a:stretch>
                  </pic:blipFill>
                  <pic:spPr>
                    <a:xfrm>
                      <a:off x="0" y="0"/>
                      <a:ext cx="6158865" cy="2731135"/>
                    </a:xfrm>
                    <a:prstGeom prst="rect">
                      <a:avLst/>
                    </a:prstGeom>
                    <a:ln>
                      <a:solidFill>
                        <a:scrgbClr r="100000" g="100000" b="100000"/>
                      </a:solidFill>
                    </a:ln>
                    <a:extLst>
                      <wpswe:webExtensionRef xmlns:wpswe="http://www.wps.cn/officeDocument/2018/webExtension" r:id="rId18"/>
                    </a:extLst>
                  </pic:spPr>
                </pic:pic>
              </a:graphicData>
            </a:graphic>
          </wp:inline>
        </w:drawing>
      </w:r>
    </w:p>
    <w:p>
      <w:pPr>
        <w:spacing w:line="600" w:lineRule="exact"/>
        <w:ind w:firstLine="643" w:firstLineChars="200"/>
        <w:outlineLvl w:val="2"/>
        <w:rPr>
          <w:rFonts w:ascii="仿宋" w:hAnsi="仿宋" w:eastAsia="仿宋"/>
          <w:b/>
          <w:color w:val="auto"/>
          <w:sz w:val="32"/>
          <w:szCs w:val="32"/>
          <w:highlight w:val="none"/>
        </w:rPr>
      </w:pPr>
      <w:bookmarkStart w:id="25" w:name="_Toc15377212"/>
      <w:r>
        <w:rPr>
          <w:rFonts w:hint="eastAsia" w:ascii="仿宋" w:hAnsi="仿宋" w:eastAsia="仿宋"/>
          <w:b/>
          <w:color w:val="auto"/>
          <w:sz w:val="32"/>
          <w:szCs w:val="32"/>
          <w:highlight w:val="none"/>
        </w:rPr>
        <w:t>（三）一般公共预算财政拨款支出决算具体情况</w:t>
      </w:r>
      <w:bookmarkEnd w:id="25"/>
    </w:p>
    <w:p>
      <w:pPr>
        <w:spacing w:line="600" w:lineRule="exact"/>
        <w:ind w:firstLine="643" w:firstLineChars="200"/>
        <w:outlineLvl w:val="2"/>
        <w:rPr>
          <w:rFonts w:ascii="仿宋" w:hAnsi="仿宋" w:eastAsia="仿宋"/>
          <w:color w:val="auto"/>
          <w:sz w:val="32"/>
          <w:szCs w:val="32"/>
          <w:highlight w:val="none"/>
        </w:rPr>
      </w:pPr>
      <w:bookmarkStart w:id="26" w:name="_Toc15377213"/>
      <w:bookmarkStart w:id="27" w:name="_Toc15378460"/>
      <w:bookmarkStart w:id="28"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般公共预算支出决算数为1</w:t>
      </w:r>
      <w:r>
        <w:rPr>
          <w:rFonts w:hint="eastAsia" w:ascii="仿宋" w:hAnsi="仿宋" w:eastAsia="仿宋"/>
          <w:b/>
          <w:color w:val="auto"/>
          <w:sz w:val="32"/>
          <w:szCs w:val="32"/>
          <w:highlight w:val="none"/>
          <w:lang w:val="en-US" w:eastAsia="zh-CN"/>
        </w:rPr>
        <w:t>805.08万元</w:t>
      </w:r>
      <w:r>
        <w:rPr>
          <w:rFonts w:hint="eastAsia" w:ascii="仿宋" w:hAnsi="仿宋" w:eastAsia="仿宋"/>
          <w:color w:val="auto"/>
          <w:sz w:val="32"/>
          <w:szCs w:val="32"/>
          <w:highlight w:val="none"/>
        </w:rPr>
        <w:t>，</w:t>
      </w:r>
      <w:r>
        <w:rPr>
          <w:rStyle w:val="16"/>
          <w:rFonts w:hint="eastAsia" w:ascii="仿宋" w:hAnsi="仿宋" w:eastAsia="仿宋"/>
          <w:bCs/>
          <w:color w:val="auto"/>
          <w:sz w:val="32"/>
          <w:szCs w:val="32"/>
          <w:highlight w:val="none"/>
        </w:rPr>
        <w:t>完成预算</w:t>
      </w:r>
      <w:r>
        <w:rPr>
          <w:rStyle w:val="16"/>
          <w:rFonts w:hint="eastAsia" w:ascii="仿宋" w:hAnsi="仿宋" w:eastAsia="仿宋"/>
          <w:bCs/>
          <w:color w:val="auto"/>
          <w:sz w:val="32"/>
          <w:szCs w:val="32"/>
          <w:highlight w:val="none"/>
          <w:lang w:val="en-US" w:eastAsia="zh-CN"/>
        </w:rPr>
        <w:t>99.14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。其中：</w:t>
      </w:r>
      <w:bookmarkEnd w:id="26"/>
      <w:bookmarkEnd w:id="27"/>
      <w:bookmarkEnd w:id="28"/>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1</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教育（类）</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学前教育</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72.25</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eastAsia" w:ascii="仿宋" w:hAnsi="仿宋" w:eastAsia="仿宋"/>
          <w:b w:val="0"/>
          <w:bCs/>
          <w:color w:val="auto"/>
          <w:sz w:val="32"/>
          <w:szCs w:val="32"/>
          <w:highlight w:val="none"/>
        </w:rPr>
      </w:pPr>
      <w:r>
        <w:rPr>
          <w:rStyle w:val="16"/>
          <w:rFonts w:hint="eastAsia" w:ascii="仿宋" w:hAnsi="仿宋" w:eastAsia="仿宋"/>
          <w:bCs/>
          <w:color w:val="auto"/>
          <w:sz w:val="32"/>
          <w:szCs w:val="32"/>
          <w:highlight w:val="none"/>
          <w:lang w:val="en-US" w:eastAsia="zh-CN"/>
        </w:rPr>
        <w:t>2</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教育（类）</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小学教育</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8.93</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Style w:val="16"/>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pPr>
      <w:r>
        <w:rPr>
          <w:rStyle w:val="16"/>
          <w:rFonts w:hint="eastAsia" w:ascii="仿宋" w:hAnsi="仿宋" w:eastAsia="仿宋"/>
          <w:bCs/>
          <w:color w:val="auto"/>
          <w:sz w:val="32"/>
          <w:szCs w:val="32"/>
          <w:highlight w:val="none"/>
          <w:lang w:val="en-US" w:eastAsia="zh-CN"/>
        </w:rPr>
        <w:t>3</w:t>
      </w:r>
      <w:r>
        <w:rPr>
          <w:rStyle w:val="16"/>
          <w:rFonts w:ascii="仿宋" w:hAnsi="仿宋" w:eastAsia="仿宋"/>
          <w:bCs/>
          <w:color w:val="auto"/>
          <w:sz w:val="32"/>
          <w:szCs w:val="32"/>
          <w:highlight w:val="none"/>
        </w:rPr>
        <w:t>.</w:t>
      </w:r>
      <w:r>
        <w:rPr>
          <w:rStyle w:val="16"/>
          <w:rFonts w:hint="eastAsia" w:ascii="仿宋" w:hAnsi="仿宋" w:eastAsia="仿宋" w:cstheme="minorBidi"/>
          <w:bCs/>
          <w:color w:val="auto"/>
          <w:kern w:val="2"/>
          <w:sz w:val="32"/>
          <w:szCs w:val="32"/>
          <w:highlight w:val="none"/>
          <w:lang w:val="en-US" w:eastAsia="zh-CN" w:bidi="ar-SA"/>
        </w:rPr>
        <w:t>教育支出（类）普通教育（款）初中教育（项）</w:t>
      </w:r>
      <w:r>
        <w:rPr>
          <w:rStyle w:val="16"/>
          <w:rFonts w:ascii="仿宋" w:hAnsi="仿宋" w:eastAsia="仿宋" w:cstheme="minorBidi"/>
          <w:bCs/>
          <w:color w:val="auto"/>
          <w:kern w:val="2"/>
          <w:sz w:val="32"/>
          <w:szCs w:val="32"/>
          <w:highlight w:val="none"/>
          <w:lang w:val="en-US" w:eastAsia="zh-CN" w:bidi="ar-SA"/>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1704.12</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 xml:space="preserve">100 </w:t>
      </w:r>
      <w:r>
        <w:rPr>
          <w:rStyle w:val="16"/>
          <w:rFonts w:ascii="仿宋" w:hAnsi="仿宋" w:eastAsia="仿宋"/>
          <w:b w:val="0"/>
          <w:bCs/>
          <w:color w:val="auto"/>
          <w:sz w:val="32"/>
          <w:szCs w:val="32"/>
          <w:highlight w:val="none"/>
        </w:rPr>
        <w:t>%</w:t>
      </w:r>
      <w:r>
        <w:rPr>
          <w:rStyle w:val="16"/>
          <w:rFonts w:hint="eastAsia" w:ascii="仿宋" w:hAnsi="仿宋" w:eastAsia="仿宋" w:cstheme="minorBidi"/>
          <w:b w:val="0"/>
          <w:bCs/>
          <w:color w:val="000000" w:themeColor="text1"/>
          <w:kern w:val="0"/>
          <w:sz w:val="32"/>
          <w:szCs w:val="32"/>
          <w:highlight w:val="none"/>
          <w:lang w:val="en-US" w:eastAsia="zh-CN" w:bidi="ar-SA"/>
          <w14:textFill>
            <w14:solidFill>
              <w14:schemeClr w14:val="tx1"/>
            </w14:solidFill>
          </w14:textFill>
        </w:rPr>
        <w:t>。</w:t>
      </w:r>
    </w:p>
    <w:p>
      <w:pPr>
        <w:spacing w:line="600" w:lineRule="exact"/>
        <w:ind w:firstLine="643" w:firstLineChars="200"/>
      </w:pPr>
      <w:r>
        <w:rPr>
          <w:rStyle w:val="16"/>
          <w:rFonts w:hint="eastAsia" w:ascii="仿宋" w:hAnsi="仿宋" w:eastAsia="仿宋"/>
          <w:bCs/>
          <w:color w:val="auto"/>
          <w:sz w:val="32"/>
          <w:szCs w:val="32"/>
          <w:highlight w:val="none"/>
          <w:lang w:val="en-US" w:eastAsia="zh-CN"/>
        </w:rPr>
        <w:t>4</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教育（类）</w:t>
      </w:r>
      <w:r>
        <w:rPr>
          <w:rStyle w:val="16"/>
          <w:rFonts w:hint="eastAsia" w:ascii="仿宋" w:hAnsi="仿宋" w:eastAsia="仿宋"/>
          <w:bCs/>
          <w:color w:val="auto"/>
          <w:sz w:val="32"/>
          <w:szCs w:val="32"/>
          <w:highlight w:val="none"/>
          <w:lang w:val="en-US" w:eastAsia="zh-CN"/>
        </w:rPr>
        <w:t>普通教育</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其他普通教育</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支出决算为3.</w:t>
      </w:r>
      <w:r>
        <w:rPr>
          <w:rStyle w:val="16"/>
          <w:rFonts w:hint="eastAsia" w:ascii="仿宋" w:hAnsi="仿宋" w:eastAsia="仿宋"/>
          <w:b w:val="0"/>
          <w:bCs/>
          <w:color w:val="auto"/>
          <w:sz w:val="32"/>
          <w:szCs w:val="32"/>
          <w:highlight w:val="none"/>
          <w:lang w:val="en-US" w:eastAsia="zh-CN"/>
        </w:rPr>
        <w:t>00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p>
    <w:p>
      <w:pPr>
        <w:spacing w:line="600" w:lineRule="exact"/>
        <w:ind w:firstLine="643" w:firstLineChars="200"/>
        <w:rPr>
          <w:rStyle w:val="16"/>
          <w:rFonts w:hint="default" w:ascii="仿宋" w:hAnsi="仿宋" w:eastAsia="仿宋"/>
          <w:b w:val="0"/>
          <w:bCs/>
          <w:color w:val="auto"/>
          <w:sz w:val="32"/>
          <w:szCs w:val="32"/>
          <w:highlight w:val="none"/>
          <w:lang w:val="en-US" w:eastAsia="zh-CN"/>
        </w:rPr>
      </w:pPr>
      <w:r>
        <w:rPr>
          <w:rStyle w:val="16"/>
          <w:rFonts w:hint="eastAsia" w:ascii="仿宋" w:hAnsi="仿宋" w:eastAsia="仿宋"/>
          <w:bCs/>
          <w:color w:val="auto"/>
          <w:sz w:val="32"/>
          <w:szCs w:val="32"/>
          <w:highlight w:val="none"/>
          <w:lang w:val="en-US" w:eastAsia="zh-CN"/>
        </w:rPr>
        <w:t>5</w:t>
      </w:r>
      <w:r>
        <w:rPr>
          <w:rStyle w:val="16"/>
          <w:rFonts w:ascii="仿宋" w:hAnsi="仿宋" w:eastAsia="仿宋"/>
          <w:bCs/>
          <w:color w:val="auto"/>
          <w:sz w:val="32"/>
          <w:szCs w:val="32"/>
          <w:highlight w:val="none"/>
        </w:rPr>
        <w:t>.</w:t>
      </w:r>
      <w:r>
        <w:rPr>
          <w:rStyle w:val="16"/>
          <w:rFonts w:hint="eastAsia" w:ascii="仿宋" w:hAnsi="仿宋" w:eastAsia="仿宋"/>
          <w:bCs/>
          <w:color w:val="auto"/>
          <w:sz w:val="32"/>
          <w:szCs w:val="32"/>
          <w:highlight w:val="none"/>
        </w:rPr>
        <w:t>社会保障和就业（类）其他社会保障和就业支出（款）其他社会保障和就业支出（项）</w:t>
      </w:r>
      <w:r>
        <w:rPr>
          <w:rStyle w:val="16"/>
          <w:rFonts w:ascii="仿宋" w:hAnsi="仿宋" w:eastAsia="仿宋"/>
          <w:bCs/>
          <w:color w:val="auto"/>
          <w:sz w:val="32"/>
          <w:szCs w:val="32"/>
          <w:highlight w:val="none"/>
        </w:rPr>
        <w:t>:</w:t>
      </w:r>
      <w:r>
        <w:rPr>
          <w:rStyle w:val="16"/>
          <w:rFonts w:ascii="仿宋" w:hAnsi="仿宋" w:eastAsia="仿宋"/>
          <w:b w:val="0"/>
          <w:bCs/>
          <w:color w:val="auto"/>
          <w:sz w:val="32"/>
          <w:szCs w:val="32"/>
          <w:highlight w:val="none"/>
        </w:rPr>
        <w:t xml:space="preserve"> </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8.30</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lang w:eastAsia="zh-CN"/>
        </w:rPr>
        <w:t>，</w:t>
      </w:r>
      <w:r>
        <w:rPr>
          <w:rStyle w:val="16"/>
          <w:rFonts w:hint="eastAsia" w:ascii="仿宋" w:hAnsi="仿宋" w:eastAsia="仿宋"/>
          <w:b w:val="0"/>
          <w:bCs/>
          <w:color w:val="auto"/>
          <w:sz w:val="32"/>
          <w:szCs w:val="32"/>
          <w:highlight w:val="none"/>
          <w:lang w:val="en-US" w:eastAsia="zh-CN"/>
        </w:rPr>
        <w:t>未完成预算原因为人员退休减少，缴纳费用减少。</w:t>
      </w:r>
    </w:p>
    <w:p>
      <w:pPr>
        <w:keepNext w:val="0"/>
        <w:keepLines w:val="0"/>
        <w:pageBreakBefore w:val="0"/>
        <w:widowControl w:val="0"/>
        <w:kinsoku/>
        <w:wordWrap/>
        <w:overflowPunct/>
        <w:topLinePunct w:val="0"/>
        <w:autoSpaceDE/>
        <w:autoSpaceDN/>
        <w:bidi w:val="0"/>
        <w:adjustRightInd/>
        <w:snapToGrid w:val="0"/>
        <w:spacing w:line="550" w:lineRule="exact"/>
        <w:ind w:firstLine="643" w:firstLineChars="200"/>
        <w:textAlignment w:val="auto"/>
        <w:outlineLvl w:val="2"/>
        <w:rPr>
          <w:rFonts w:ascii="仿宋" w:hAnsi="仿宋" w:eastAsia="仿宋"/>
          <w:b/>
          <w:color w:val="auto"/>
          <w:sz w:val="32"/>
          <w:szCs w:val="32"/>
          <w:highlight w:val="none"/>
        </w:rPr>
      </w:pPr>
      <w:r>
        <w:rPr>
          <w:rStyle w:val="16"/>
          <w:rFonts w:hint="eastAsia" w:ascii="仿宋" w:hAnsi="仿宋" w:eastAsia="仿宋"/>
          <w:bCs/>
          <w:color w:val="auto"/>
          <w:sz w:val="32"/>
          <w:szCs w:val="32"/>
          <w:highlight w:val="none"/>
          <w:lang w:val="en-US" w:eastAsia="zh-CN"/>
        </w:rPr>
        <w:t>6</w:t>
      </w:r>
      <w:r>
        <w:rPr>
          <w:rStyle w:val="16"/>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val="en-US" w:eastAsia="zh-CN"/>
        </w:rPr>
        <w:t>支出</w:t>
      </w:r>
      <w:r>
        <w:rPr>
          <w:rStyle w:val="16"/>
          <w:rFonts w:hint="eastAsia" w:ascii="仿宋" w:hAnsi="仿宋" w:eastAsia="仿宋"/>
          <w:bCs/>
          <w:color w:val="auto"/>
          <w:sz w:val="32"/>
          <w:szCs w:val="32"/>
          <w:highlight w:val="none"/>
        </w:rPr>
        <w:t>（类）</w:t>
      </w:r>
      <w:r>
        <w:rPr>
          <w:rStyle w:val="16"/>
          <w:rFonts w:hint="eastAsia" w:ascii="仿宋" w:hAnsi="仿宋" w:eastAsia="仿宋"/>
          <w:bCs/>
          <w:color w:val="auto"/>
          <w:sz w:val="32"/>
          <w:szCs w:val="32"/>
          <w:highlight w:val="none"/>
          <w:lang w:val="en-US" w:eastAsia="zh-CN"/>
        </w:rPr>
        <w:t>行政事业单位医疗</w:t>
      </w:r>
      <w:r>
        <w:rPr>
          <w:rStyle w:val="16"/>
          <w:rFonts w:hint="eastAsia" w:ascii="仿宋" w:hAnsi="仿宋" w:eastAsia="仿宋"/>
          <w:bCs/>
          <w:color w:val="auto"/>
          <w:sz w:val="32"/>
          <w:szCs w:val="32"/>
          <w:highlight w:val="none"/>
        </w:rPr>
        <w:t>（款）</w:t>
      </w:r>
      <w:r>
        <w:rPr>
          <w:rStyle w:val="16"/>
          <w:rFonts w:hint="eastAsia" w:ascii="仿宋" w:hAnsi="仿宋" w:eastAsia="仿宋"/>
          <w:bCs/>
          <w:color w:val="auto"/>
          <w:sz w:val="32"/>
          <w:szCs w:val="32"/>
          <w:highlight w:val="none"/>
          <w:lang w:val="en-US" w:eastAsia="zh-CN"/>
        </w:rPr>
        <w:t>事业单位医疗</w:t>
      </w:r>
      <w:r>
        <w:rPr>
          <w:rStyle w:val="16"/>
          <w:rFonts w:hint="eastAsia" w:ascii="仿宋" w:hAnsi="仿宋" w:eastAsia="仿宋"/>
          <w:bCs/>
          <w:color w:val="auto"/>
          <w:sz w:val="32"/>
          <w:szCs w:val="32"/>
          <w:highlight w:val="none"/>
        </w:rPr>
        <w:t>（项）</w:t>
      </w:r>
      <w:r>
        <w:rPr>
          <w:rStyle w:val="16"/>
          <w:rFonts w:ascii="仿宋" w:hAnsi="仿宋" w:eastAsia="仿宋"/>
          <w:bCs/>
          <w:color w:val="auto"/>
          <w:sz w:val="32"/>
          <w:szCs w:val="32"/>
          <w:highlight w:val="none"/>
        </w:rPr>
        <w:t>:</w:t>
      </w:r>
      <w:r>
        <w:rPr>
          <w:rStyle w:val="16"/>
          <w:rFonts w:hint="eastAsia" w:ascii="仿宋" w:hAnsi="仿宋" w:eastAsia="仿宋"/>
          <w:b w:val="0"/>
          <w:bCs/>
          <w:color w:val="auto"/>
          <w:sz w:val="32"/>
          <w:szCs w:val="32"/>
          <w:highlight w:val="none"/>
        </w:rPr>
        <w:t>支出决算为</w:t>
      </w:r>
      <w:r>
        <w:rPr>
          <w:rStyle w:val="16"/>
          <w:rFonts w:hint="eastAsia" w:ascii="仿宋" w:hAnsi="仿宋" w:eastAsia="仿宋"/>
          <w:b w:val="0"/>
          <w:bCs/>
          <w:color w:val="auto"/>
          <w:sz w:val="32"/>
          <w:szCs w:val="32"/>
          <w:highlight w:val="none"/>
          <w:lang w:val="en-US" w:eastAsia="zh-CN"/>
        </w:rPr>
        <w:t>8.47</w:t>
      </w:r>
      <w:r>
        <w:rPr>
          <w:rStyle w:val="16"/>
          <w:rFonts w:hint="eastAsia" w:ascii="仿宋" w:hAnsi="仿宋" w:eastAsia="仿宋"/>
          <w:b w:val="0"/>
          <w:bCs/>
          <w:color w:val="auto"/>
          <w:sz w:val="32"/>
          <w:szCs w:val="32"/>
          <w:highlight w:val="none"/>
        </w:rPr>
        <w:t>万元，完成预算</w:t>
      </w:r>
      <w:r>
        <w:rPr>
          <w:rStyle w:val="16"/>
          <w:rFonts w:hint="eastAsia" w:ascii="仿宋" w:hAnsi="仿宋" w:eastAsia="仿宋"/>
          <w:b w:val="0"/>
          <w:bCs/>
          <w:color w:val="auto"/>
          <w:sz w:val="32"/>
          <w:szCs w:val="32"/>
          <w:highlight w:val="none"/>
          <w:lang w:val="en-US" w:eastAsia="zh-CN"/>
        </w:rPr>
        <w:t>100.00</w:t>
      </w:r>
      <w:r>
        <w:rPr>
          <w:rStyle w:val="16"/>
          <w:rFonts w:ascii="仿宋" w:hAnsi="仿宋" w:eastAsia="仿宋"/>
          <w:b w:val="0"/>
          <w:bCs/>
          <w:color w:val="auto"/>
          <w:sz w:val="32"/>
          <w:szCs w:val="32"/>
          <w:highlight w:val="none"/>
        </w:rPr>
        <w:t>%</w:t>
      </w:r>
      <w:r>
        <w:rPr>
          <w:rStyle w:val="16"/>
          <w:rFonts w:hint="eastAsia" w:ascii="仿宋" w:hAnsi="仿宋" w:eastAsia="仿宋"/>
          <w:b w:val="0"/>
          <w:bCs/>
          <w:color w:val="000000" w:themeColor="text1"/>
          <w:sz w:val="32"/>
          <w:szCs w:val="32"/>
          <w:highlight w:val="none"/>
          <w:lang w:val="en-US" w:eastAsia="zh-CN"/>
          <w14:textFill>
            <w14:solidFill>
              <w14:schemeClr w14:val="tx1"/>
            </w14:solidFill>
          </w14:textFill>
        </w:rPr>
        <w:t>。</w:t>
      </w:r>
    </w:p>
    <w:p>
      <w:pPr>
        <w:tabs>
          <w:tab w:val="right" w:pos="8306"/>
        </w:tabs>
        <w:spacing w:line="600" w:lineRule="exact"/>
        <w:ind w:firstLine="640"/>
        <w:outlineLvl w:val="1"/>
        <w:rPr>
          <w:rStyle w:val="27"/>
          <w:color w:val="auto"/>
          <w:highlight w:val="none"/>
        </w:rPr>
      </w:pPr>
      <w:bookmarkStart w:id="29" w:name="_Toc15396608"/>
      <w:bookmarkStart w:id="30"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7"/>
          <w:rFonts w:hint="eastAsia" w:ascii="黑体" w:hAnsi="黑体" w:eastAsia="黑体"/>
          <w:b w:val="0"/>
          <w:color w:val="auto"/>
          <w:highlight w:val="none"/>
        </w:rPr>
        <w:t>般公共预算财政拨款基本支出决算情况说明</w:t>
      </w:r>
      <w:bookmarkEnd w:id="29"/>
      <w:bookmarkEnd w:id="30"/>
      <w:r>
        <w:rPr>
          <w:rStyle w:val="2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1620.34</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1504.37</w:t>
      </w:r>
      <w:r>
        <w:rPr>
          <w:rFonts w:hint="eastAsia" w:ascii="仿宋" w:hAnsi="仿宋" w:eastAsia="仿宋"/>
          <w:color w:val="auto"/>
          <w:sz w:val="32"/>
          <w:szCs w:val="32"/>
          <w:highlight w:val="none"/>
        </w:rPr>
        <w:t>万元，主要包括：基本工资、津贴补贴、绩效工资、机关事业单位基本养老保险缴费、职工基本医疗保险缴费、其他社会保障缴费、住房公积金、其他工资福利支出、抚恤金、生活补助</w:t>
      </w:r>
      <w:r>
        <w:rPr>
          <w:rFonts w:hint="eastAsia" w:ascii="仿宋" w:hAnsi="仿宋" w:eastAsia="仿宋"/>
          <w:color w:val="auto"/>
          <w:sz w:val="32"/>
          <w:szCs w:val="32"/>
          <w:highlight w:val="none"/>
          <w:lang w:eastAsia="zh-CN"/>
        </w:rPr>
        <w:t>。</w:t>
      </w:r>
    </w:p>
    <w:p>
      <w:pPr>
        <w:spacing w:line="600" w:lineRule="exact"/>
        <w:ind w:firstLine="645"/>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公用经费1</w:t>
      </w:r>
      <w:r>
        <w:rPr>
          <w:rFonts w:hint="eastAsia" w:ascii="仿宋" w:hAnsi="仿宋" w:eastAsia="仿宋"/>
          <w:color w:val="auto"/>
          <w:sz w:val="32"/>
          <w:szCs w:val="32"/>
          <w:highlight w:val="none"/>
          <w:lang w:val="en-US" w:eastAsia="zh-CN"/>
        </w:rPr>
        <w:t>15.97</w:t>
      </w:r>
      <w:r>
        <w:rPr>
          <w:rFonts w:hint="eastAsia" w:ascii="仿宋" w:hAnsi="仿宋" w:eastAsia="仿宋"/>
          <w:color w:val="auto"/>
          <w:sz w:val="32"/>
          <w:szCs w:val="32"/>
          <w:highlight w:val="none"/>
        </w:rPr>
        <w:t>万元，主要包括：办公费、印刷费、手续费、水费、电费、邮电费、差旅费、维修（护）费、培训费、专用材料费、劳务费、工会经费、福利费。</w:t>
      </w:r>
    </w:p>
    <w:p>
      <w:pPr>
        <w:spacing w:line="600" w:lineRule="exact"/>
        <w:ind w:firstLine="640"/>
        <w:outlineLvl w:val="1"/>
        <w:rPr>
          <w:rStyle w:val="27"/>
          <w:rFonts w:ascii="黑体" w:hAnsi="黑体" w:eastAsia="黑体"/>
          <w:b w:val="0"/>
          <w:color w:val="auto"/>
          <w:highlight w:val="none"/>
        </w:rPr>
      </w:pPr>
      <w:bookmarkStart w:id="31" w:name="_Toc15377215"/>
      <w:bookmarkStart w:id="32" w:name="_Toc15396609"/>
      <w:r>
        <w:rPr>
          <w:rFonts w:hint="eastAsia" w:ascii="黑体" w:eastAsia="黑体"/>
          <w:color w:val="auto"/>
          <w:sz w:val="32"/>
          <w:szCs w:val="32"/>
          <w:highlight w:val="none"/>
        </w:rPr>
        <w:t>七、</w:t>
      </w:r>
      <w:r>
        <w:rPr>
          <w:rStyle w:val="27"/>
          <w:rFonts w:hint="eastAsia" w:ascii="黑体" w:hAnsi="黑体" w:eastAsia="黑体"/>
          <w:b w:val="0"/>
          <w:color w:val="auto"/>
          <w:highlight w:val="none"/>
        </w:rPr>
        <w:t>财政拨款</w:t>
      </w:r>
      <w:r>
        <w:rPr>
          <w:rStyle w:val="27"/>
          <w:rFonts w:hint="eastAsia" w:ascii="黑体" w:hAnsi="黑体" w:eastAsia="黑体"/>
          <w:color w:val="auto"/>
          <w:highlight w:val="none"/>
        </w:rPr>
        <w:t>“</w:t>
      </w:r>
      <w:r>
        <w:rPr>
          <w:rStyle w:val="27"/>
          <w:rFonts w:hint="eastAsia" w:ascii="黑体" w:hAnsi="黑体" w:eastAsia="黑体"/>
          <w:b w:val="0"/>
          <w:color w:val="auto"/>
          <w:highlight w:val="none"/>
        </w:rPr>
        <w:t>三公”经费支出决算情况说明</w:t>
      </w:r>
      <w:bookmarkEnd w:id="31"/>
      <w:bookmarkEnd w:id="32"/>
    </w:p>
    <w:p>
      <w:pPr>
        <w:spacing w:line="600" w:lineRule="exact"/>
        <w:ind w:firstLine="640"/>
        <w:outlineLvl w:val="2"/>
        <w:rPr>
          <w:rFonts w:ascii="仿宋" w:hAnsi="仿宋" w:eastAsia="仿宋"/>
          <w:b/>
          <w:color w:val="auto"/>
          <w:sz w:val="32"/>
          <w:szCs w:val="32"/>
          <w:highlight w:val="none"/>
        </w:rPr>
      </w:pPr>
      <w:bookmarkStart w:id="33" w:name="_Toc15377216"/>
      <w:r>
        <w:rPr>
          <w:rFonts w:hint="eastAsia" w:ascii="仿宋" w:hAnsi="仿宋" w:eastAsia="仿宋"/>
          <w:b/>
          <w:color w:val="auto"/>
          <w:sz w:val="32"/>
          <w:szCs w:val="32"/>
          <w:highlight w:val="none"/>
        </w:rPr>
        <w:t>（一）“三公”经费财政拨款支出决算总体情况说明</w:t>
      </w:r>
      <w:bookmarkEnd w:id="33"/>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与2021年度持平</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34" w:name="_Toc15377217"/>
      <w:r>
        <w:rPr>
          <w:rFonts w:hint="eastAsia" w:ascii="仿宋" w:hAnsi="仿宋" w:eastAsia="仿宋"/>
          <w:b/>
          <w:color w:val="auto"/>
          <w:sz w:val="32"/>
          <w:szCs w:val="32"/>
          <w:highlight w:val="none"/>
        </w:rPr>
        <w:t>（二）“三公”经费财政拨款支出决算具体情况说明</w:t>
      </w:r>
      <w:bookmarkEnd w:id="34"/>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人。因公出国（境）支出决算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6"/>
          <w:rFonts w:hint="eastAsia" w:ascii="仿宋" w:hAnsi="仿宋" w:eastAsia="仿宋"/>
          <w:b w:val="0"/>
          <w:bCs/>
          <w:color w:val="auto"/>
          <w:sz w:val="32"/>
          <w:szCs w:val="32"/>
          <w:highlight w:val="none"/>
        </w:rPr>
        <w:t>完成预算</w:t>
      </w:r>
      <w:r>
        <w:rPr>
          <w:rStyle w:val="16"/>
          <w:rFonts w:hint="eastAsia" w:ascii="仿宋" w:hAnsi="仿宋" w:eastAsia="仿宋"/>
          <w:b w:val="0"/>
          <w:bCs/>
          <w:color w:val="auto"/>
          <w:sz w:val="32"/>
          <w:szCs w:val="32"/>
          <w:highlight w:val="none"/>
          <w:lang w:val="en-US" w:eastAsia="zh-CN"/>
        </w:rPr>
        <w:t>0</w:t>
      </w:r>
      <w:r>
        <w:rPr>
          <w:rStyle w:val="16"/>
          <w:rFonts w:ascii="仿宋" w:hAnsi="仿宋" w:eastAsia="仿宋"/>
          <w:b w:val="0"/>
          <w:bCs/>
          <w:color w:val="auto"/>
          <w:sz w:val="32"/>
          <w:szCs w:val="32"/>
          <w:highlight w:val="none"/>
        </w:rPr>
        <w:t>%</w:t>
      </w:r>
      <w:r>
        <w:rPr>
          <w:rStyle w:val="16"/>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w:t>
      </w:r>
      <w:r>
        <w:rPr>
          <w:rFonts w:hint="eastAsia" w:ascii="仿宋" w:hAnsi="仿宋" w:eastAsia="仿宋"/>
          <w:color w:val="auto"/>
          <w:sz w:val="32"/>
          <w:szCs w:val="32"/>
          <w:highlight w:val="none"/>
          <w:lang w:val="en-US" w:eastAsia="zh-CN"/>
        </w:rPr>
        <w:t>与2021年度持平</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万元。国内公务接待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外事接待</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批次，共计支出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bookmarkStart w:id="35" w:name="_Toc15396610"/>
      <w:bookmarkStart w:id="36" w:name="_Toc15377218"/>
    </w:p>
    <w:p>
      <w:pPr>
        <w:spacing w:line="600" w:lineRule="exact"/>
        <w:ind w:firstLine="640"/>
        <w:outlineLvl w:val="1"/>
        <w:rPr>
          <w:rStyle w:val="27"/>
          <w:rFonts w:ascii="黑体" w:hAnsi="黑体" w:eastAsia="黑体"/>
          <w:color w:val="auto"/>
          <w:highlight w:val="none"/>
        </w:rPr>
      </w:pPr>
      <w:r>
        <w:rPr>
          <w:rFonts w:hint="eastAsia" w:ascii="黑体" w:eastAsia="黑体"/>
          <w:color w:val="auto"/>
          <w:sz w:val="32"/>
          <w:szCs w:val="32"/>
          <w:highlight w:val="none"/>
        </w:rPr>
        <w:t>八、</w:t>
      </w:r>
      <w:r>
        <w:rPr>
          <w:rStyle w:val="27"/>
          <w:rFonts w:hint="eastAsia" w:ascii="黑体" w:hAnsi="黑体" w:eastAsia="黑体"/>
          <w:b w:val="0"/>
          <w:color w:val="auto"/>
          <w:highlight w:val="none"/>
        </w:rPr>
        <w:t>政府性基金预算支出决算情况说明</w:t>
      </w:r>
      <w:bookmarkEnd w:id="35"/>
      <w:bookmarkEnd w:id="3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ascii="黑体" w:hAnsi="黑体" w:eastAsia="黑体"/>
          <w:b w:val="0"/>
          <w:color w:val="auto"/>
          <w:highlight w:val="none"/>
        </w:rPr>
      </w:pPr>
      <w:bookmarkStart w:id="37" w:name="_Toc15396611"/>
      <w:bookmarkStart w:id="38" w:name="_Toc15377219"/>
      <w:r>
        <w:rPr>
          <w:rStyle w:val="27"/>
          <w:rFonts w:hint="eastAsia" w:ascii="黑体" w:hAnsi="黑体" w:eastAsia="黑体"/>
          <w:b w:val="0"/>
          <w:color w:val="auto"/>
          <w:highlight w:val="none"/>
        </w:rPr>
        <w:t>国有资本经营预算支出决算情况说明</w:t>
      </w:r>
      <w:bookmarkEnd w:id="37"/>
      <w:bookmarkEnd w:id="38"/>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7"/>
          <w:rFonts w:hint="eastAsia" w:ascii="黑体" w:hAnsi="黑体" w:eastAsia="黑体"/>
          <w:b w:val="0"/>
          <w:color w:val="auto"/>
          <w:highlight w:val="none"/>
        </w:rPr>
      </w:pPr>
      <w:bookmarkStart w:id="39" w:name="_Toc15377221"/>
      <w:bookmarkStart w:id="40" w:name="_Toc15396612"/>
      <w:r>
        <w:rPr>
          <w:rStyle w:val="27"/>
          <w:rFonts w:hint="eastAsia" w:ascii="黑体" w:hAnsi="黑体" w:eastAsia="黑体"/>
          <w:b w:val="0"/>
          <w:color w:val="auto"/>
          <w:highlight w:val="none"/>
        </w:rPr>
        <w:t>其他重要事项的情况说明</w:t>
      </w:r>
      <w:bookmarkEnd w:id="39"/>
      <w:bookmarkEnd w:id="40"/>
    </w:p>
    <w:p>
      <w:pPr>
        <w:spacing w:line="600" w:lineRule="exact"/>
        <w:ind w:firstLine="643" w:firstLineChars="200"/>
        <w:outlineLvl w:val="2"/>
        <w:rPr>
          <w:rFonts w:ascii="仿宋" w:hAnsi="仿宋" w:eastAsia="仿宋"/>
          <w:color w:val="auto"/>
          <w:sz w:val="32"/>
          <w:szCs w:val="32"/>
          <w:highlight w:val="none"/>
        </w:rPr>
      </w:pPr>
      <w:bookmarkStart w:id="41" w:name="_Toc15377222"/>
      <w:r>
        <w:rPr>
          <w:rFonts w:hint="eastAsia" w:ascii="仿宋" w:hAnsi="仿宋" w:eastAsia="仿宋"/>
          <w:b/>
          <w:color w:val="auto"/>
          <w:sz w:val="32"/>
          <w:szCs w:val="32"/>
          <w:highlight w:val="none"/>
        </w:rPr>
        <w:t>（一）机关运行经费支出情况</w:t>
      </w:r>
      <w:bookmarkEnd w:id="41"/>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2" w:name="_Toc15377223"/>
      <w:r>
        <w:rPr>
          <w:rFonts w:hint="eastAsia" w:ascii="仿宋" w:hAnsi="仿宋" w:eastAsia="仿宋"/>
          <w:b/>
          <w:color w:val="auto"/>
          <w:sz w:val="32"/>
          <w:szCs w:val="32"/>
          <w:highlight w:val="none"/>
        </w:rPr>
        <w:t>（二）政府采购支出情况</w:t>
      </w:r>
      <w:bookmarkEnd w:id="4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3" w:name="_Toc15377224"/>
      <w:r>
        <w:rPr>
          <w:rFonts w:hint="eastAsia" w:ascii="仿宋" w:hAnsi="仿宋" w:eastAsia="仿宋"/>
          <w:b/>
          <w:color w:val="auto"/>
          <w:sz w:val="32"/>
          <w:szCs w:val="32"/>
          <w:highlight w:val="none"/>
        </w:rPr>
        <w:t>（三）国有资产占有使用情况</w:t>
      </w:r>
      <w:bookmarkEnd w:id="43"/>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本单位</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营养餐改善计划、特岗教师、农村教师生活补助</w:t>
      </w:r>
      <w:r>
        <w:rPr>
          <w:rFonts w:hint="eastAsia" w:ascii="仿宋_GB2312" w:hAnsi="仿宋_GB2312" w:eastAsia="仿宋_GB2312" w:cs="仿宋_GB2312"/>
          <w:color w:val="auto"/>
          <w:sz w:val="32"/>
          <w:szCs w:val="32"/>
          <w:highlight w:val="none"/>
        </w:rPr>
        <w:t>等</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6"/>
          <w:rFonts w:ascii="黑体" w:hAnsi="黑体" w:eastAsia="黑体"/>
          <w:b w:val="0"/>
          <w:color w:val="auto"/>
          <w:highlight w:val="none"/>
        </w:rPr>
      </w:pPr>
      <w:bookmarkStart w:id="44" w:name="_Toc15396613"/>
      <w:bookmarkStart w:id="45" w:name="_Toc15377225"/>
      <w:r>
        <w:rPr>
          <w:rFonts w:hint="eastAsia" w:ascii="黑体" w:hAnsi="黑体" w:eastAsia="黑体"/>
          <w:color w:val="auto"/>
          <w:sz w:val="44"/>
          <w:szCs w:val="44"/>
          <w:highlight w:val="none"/>
        </w:rPr>
        <w:t>名</w:t>
      </w:r>
      <w:r>
        <w:rPr>
          <w:rStyle w:val="26"/>
          <w:rFonts w:hint="eastAsia" w:ascii="黑体" w:hAnsi="黑体" w:eastAsia="黑体"/>
          <w:b w:val="0"/>
          <w:color w:val="auto"/>
          <w:highlight w:val="none"/>
        </w:rPr>
        <w:t>词解释</w:t>
      </w:r>
      <w:bookmarkEnd w:id="44"/>
      <w:bookmarkEnd w:id="45"/>
    </w:p>
    <w:p>
      <w:pPr>
        <w:spacing w:line="600" w:lineRule="exact"/>
        <w:jc w:val="left"/>
        <w:rPr>
          <w:rFonts w:ascii="宋体"/>
          <w:b/>
          <w:color w:val="auto"/>
          <w:sz w:val="44"/>
          <w:szCs w:val="44"/>
          <w:highlight w:val="none"/>
        </w:rPr>
      </w:pPr>
    </w:p>
    <w:p>
      <w:pPr>
        <w:pStyle w:val="24"/>
        <w:snapToGrid w:val="0"/>
        <w:spacing w:line="520" w:lineRule="exact"/>
        <w:ind w:firstLine="560" w:firstLineChars="200"/>
        <w:rPr>
          <w:rFonts w:ascii="仿宋_GB2312" w:eastAsia="仿宋_GB2312"/>
          <w:color w:val="auto"/>
          <w:sz w:val="28"/>
          <w:szCs w:val="28"/>
        </w:rPr>
      </w:pPr>
      <w:bookmarkStart w:id="46" w:name="_Toc15377226"/>
      <w:r>
        <w:rPr>
          <w:rFonts w:hint="eastAsia" w:ascii="仿宋_GB2312" w:eastAsia="仿宋_GB2312"/>
          <w:color w:val="auto"/>
          <w:sz w:val="28"/>
          <w:szCs w:val="28"/>
        </w:rPr>
        <w:t>1.财政拨款收入：指单位从同级财政部门取得的财政预算资金。</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2.事业收入：指事业单位开展专业业务活动及辅助活动取得的收入。</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3.经营收入：指事业单位在专业业务活动及其辅助活动之外开展非独立核算经营活动取得的收入。。</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4.其他收入：指单位取得的除上述收入以外的各项收入。主要是学前教育保育教育费收入、银行存款利息收入等。 </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6.年初结转和结余：指以前年度尚未完成、结转到本年按有关规定继续使用的资金。 </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7.结余分配：指事业单位按照事业单位会计制度的规定从非财政补助结余中分配的事业基金和职工福利基金等。</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8.年末结转和结余：指单位按有关规定结转到下年或以后年度继续使用的资金。</w:t>
      </w:r>
    </w:p>
    <w:p>
      <w:pPr>
        <w:pStyle w:val="24"/>
        <w:snapToGrid w:val="0"/>
        <w:spacing w:line="52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9.</w:t>
      </w:r>
      <w:r>
        <w:rPr>
          <w:rFonts w:hint="eastAsia" w:ascii="仿宋_GB2312" w:eastAsia="仿宋_GB2312"/>
          <w:color w:val="auto"/>
          <w:sz w:val="28"/>
          <w:szCs w:val="28"/>
        </w:rPr>
        <w:t>教育（类）</w:t>
      </w:r>
      <w:r>
        <w:rPr>
          <w:rFonts w:hint="eastAsia" w:ascii="仿宋_GB2312" w:eastAsia="仿宋_GB2312"/>
          <w:color w:val="auto"/>
          <w:sz w:val="28"/>
          <w:szCs w:val="28"/>
          <w:lang w:val="en-US" w:eastAsia="zh-CN"/>
        </w:rPr>
        <w:t>普通教育</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学前教育</w:t>
      </w:r>
      <w:r>
        <w:rPr>
          <w:rFonts w:hint="eastAsia" w:ascii="仿宋_GB2312" w:eastAsia="仿宋_GB2312"/>
          <w:color w:val="auto"/>
          <w:sz w:val="28"/>
          <w:szCs w:val="28"/>
        </w:rPr>
        <w:t>（项）:反映各部门举办的学前教育支出。</w:t>
      </w:r>
    </w:p>
    <w:p>
      <w:pPr>
        <w:pStyle w:val="24"/>
        <w:snapToGrid w:val="0"/>
        <w:spacing w:line="52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10.</w:t>
      </w:r>
      <w:r>
        <w:rPr>
          <w:rFonts w:hint="eastAsia" w:ascii="仿宋_GB2312" w:eastAsia="仿宋_GB2312"/>
          <w:color w:val="auto"/>
          <w:sz w:val="28"/>
          <w:szCs w:val="28"/>
        </w:rPr>
        <w:t>教育（类）</w:t>
      </w:r>
      <w:r>
        <w:rPr>
          <w:rFonts w:hint="eastAsia" w:ascii="仿宋_GB2312" w:eastAsia="仿宋_GB2312"/>
          <w:color w:val="auto"/>
          <w:sz w:val="28"/>
          <w:szCs w:val="28"/>
          <w:lang w:val="en-US" w:eastAsia="zh-CN"/>
        </w:rPr>
        <w:t>普通教育</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小学教育</w:t>
      </w:r>
      <w:r>
        <w:rPr>
          <w:rFonts w:hint="eastAsia" w:ascii="仿宋_GB2312" w:eastAsia="仿宋_GB2312"/>
          <w:color w:val="auto"/>
          <w:sz w:val="28"/>
          <w:szCs w:val="28"/>
        </w:rPr>
        <w:t>（项）:反映各部门举办的小学教育支出。政府各部门对社会中介组织等举办的小学的资助，如各类捐赠、补贴等，也在本科目中反映。</w:t>
      </w:r>
    </w:p>
    <w:p>
      <w:pPr>
        <w:pStyle w:val="24"/>
        <w:snapToGrid w:val="0"/>
        <w:spacing w:line="520" w:lineRule="exact"/>
        <w:ind w:firstLine="560" w:firstLineChars="200"/>
        <w:rPr>
          <w:rFonts w:hint="eastAsia" w:ascii="仿宋_GB2312" w:eastAsia="仿宋_GB2312"/>
          <w:color w:val="auto"/>
          <w:sz w:val="28"/>
          <w:szCs w:val="28"/>
        </w:rPr>
      </w:pPr>
      <w:r>
        <w:rPr>
          <w:rFonts w:hint="eastAsia" w:ascii="仿宋_GB2312" w:eastAsia="仿宋_GB2312"/>
          <w:color w:val="auto"/>
          <w:sz w:val="28"/>
          <w:szCs w:val="28"/>
          <w:lang w:val="en-US" w:eastAsia="zh-CN"/>
        </w:rPr>
        <w:t>11.教育支出（类）普通教育（款）初中教育（项）</w:t>
      </w:r>
      <w:r>
        <w:rPr>
          <w:rFonts w:hint="eastAsia" w:ascii="仿宋_GB2312" w:eastAsia="仿宋_GB2312"/>
          <w:color w:val="auto"/>
          <w:sz w:val="28"/>
          <w:szCs w:val="28"/>
        </w:rPr>
        <w:t>: 反映各部门举办的初中教育支出。政府各部门对社会中介组织等举办的初中教育的资助，如捐赠、补贴等，也在本科目中反映。</w:t>
      </w:r>
    </w:p>
    <w:p>
      <w:pPr>
        <w:pStyle w:val="24"/>
        <w:snapToGrid w:val="0"/>
        <w:spacing w:line="52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12</w:t>
      </w:r>
      <w:r>
        <w:rPr>
          <w:rFonts w:hint="default" w:ascii="仿宋_GB2312" w:eastAsia="仿宋_GB2312"/>
          <w:color w:val="auto"/>
          <w:sz w:val="28"/>
          <w:szCs w:val="28"/>
          <w:lang w:val="en-US" w:eastAsia="zh-CN"/>
        </w:rPr>
        <w:t>.</w:t>
      </w:r>
      <w:r>
        <w:rPr>
          <w:rFonts w:hint="eastAsia" w:ascii="仿宋_GB2312" w:eastAsia="仿宋_GB2312"/>
          <w:color w:val="auto"/>
          <w:sz w:val="28"/>
          <w:szCs w:val="28"/>
        </w:rPr>
        <w:t>教育（类）</w:t>
      </w:r>
      <w:r>
        <w:rPr>
          <w:rFonts w:hint="eastAsia" w:ascii="仿宋_GB2312" w:eastAsia="仿宋_GB2312"/>
          <w:color w:val="auto"/>
          <w:sz w:val="28"/>
          <w:szCs w:val="28"/>
          <w:lang w:val="en-US" w:eastAsia="zh-CN"/>
        </w:rPr>
        <w:t>普通教育</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其他普通教育</w:t>
      </w:r>
      <w:r>
        <w:rPr>
          <w:rFonts w:hint="eastAsia" w:ascii="仿宋_GB2312" w:eastAsia="仿宋_GB2312"/>
          <w:color w:val="auto"/>
          <w:sz w:val="28"/>
          <w:szCs w:val="28"/>
        </w:rPr>
        <w:t>（项）: 反映除上述项目以外其他用于普通教育方面的支出。</w:t>
      </w:r>
    </w:p>
    <w:p>
      <w:pPr>
        <w:pStyle w:val="24"/>
        <w:snapToGrid w:val="0"/>
        <w:spacing w:line="520" w:lineRule="exact"/>
        <w:ind w:firstLine="560" w:firstLineChars="200"/>
        <w:rPr>
          <w:rFonts w:hint="default" w:ascii="仿宋_GB2312" w:eastAsia="仿宋_GB2312"/>
          <w:color w:val="auto"/>
          <w:sz w:val="28"/>
          <w:szCs w:val="28"/>
          <w:lang w:val="en-US" w:eastAsia="zh-CN"/>
        </w:rPr>
      </w:pPr>
      <w:r>
        <w:rPr>
          <w:rFonts w:hint="eastAsia" w:ascii="仿宋_GB2312" w:eastAsia="仿宋_GB2312"/>
          <w:color w:val="auto"/>
          <w:sz w:val="28"/>
          <w:szCs w:val="28"/>
          <w:lang w:val="en-US" w:eastAsia="zh-CN"/>
        </w:rPr>
        <w:t>13</w:t>
      </w:r>
      <w:r>
        <w:rPr>
          <w:rFonts w:hint="default" w:ascii="仿宋_GB2312" w:eastAsia="仿宋_GB2312"/>
          <w:color w:val="auto"/>
          <w:sz w:val="28"/>
          <w:szCs w:val="28"/>
          <w:lang w:val="en-US" w:eastAsia="zh-CN"/>
        </w:rPr>
        <w:t>.</w:t>
      </w:r>
      <w:r>
        <w:rPr>
          <w:rFonts w:hint="eastAsia" w:ascii="仿宋_GB2312" w:eastAsia="仿宋_GB2312"/>
          <w:color w:val="auto"/>
          <w:sz w:val="28"/>
          <w:szCs w:val="28"/>
        </w:rPr>
        <w:t>社会保障和就业（类）其他社会保障和就业支出（款）其他社会保障和就业支出（项）: 指上述项目以外其他用于社会保障和就业方面的支出。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14</w:t>
      </w:r>
      <w:r>
        <w:rPr>
          <w:rFonts w:hint="eastAsia" w:ascii="仿宋_GB2312" w:eastAsia="仿宋_GB2312"/>
          <w:color w:val="auto"/>
          <w:sz w:val="28"/>
          <w:szCs w:val="28"/>
        </w:rPr>
        <w:t>.卫生健康</w:t>
      </w:r>
      <w:r>
        <w:rPr>
          <w:rFonts w:hint="eastAsia" w:ascii="仿宋_GB2312" w:eastAsia="仿宋_GB2312"/>
          <w:color w:val="auto"/>
          <w:sz w:val="28"/>
          <w:szCs w:val="28"/>
          <w:lang w:val="en-US" w:eastAsia="zh-CN"/>
        </w:rPr>
        <w:t>支出</w:t>
      </w:r>
      <w:r>
        <w:rPr>
          <w:rFonts w:hint="eastAsia" w:ascii="仿宋_GB2312" w:eastAsia="仿宋_GB2312"/>
          <w:color w:val="auto"/>
          <w:sz w:val="28"/>
          <w:szCs w:val="28"/>
        </w:rPr>
        <w:t>（类）</w:t>
      </w:r>
      <w:r>
        <w:rPr>
          <w:rFonts w:hint="eastAsia" w:ascii="仿宋_GB2312" w:eastAsia="仿宋_GB2312"/>
          <w:color w:val="auto"/>
          <w:sz w:val="28"/>
          <w:szCs w:val="28"/>
          <w:lang w:val="en-US" w:eastAsia="zh-CN"/>
        </w:rPr>
        <w:t>行政事业单位医疗</w:t>
      </w:r>
      <w:r>
        <w:rPr>
          <w:rFonts w:hint="eastAsia" w:ascii="仿宋_GB2312" w:eastAsia="仿宋_GB2312"/>
          <w:color w:val="auto"/>
          <w:sz w:val="28"/>
          <w:szCs w:val="28"/>
        </w:rPr>
        <w:t>（款）</w:t>
      </w:r>
      <w:r>
        <w:rPr>
          <w:rFonts w:hint="eastAsia" w:ascii="仿宋_GB2312" w:eastAsia="仿宋_GB2312"/>
          <w:color w:val="auto"/>
          <w:sz w:val="28"/>
          <w:szCs w:val="28"/>
          <w:lang w:val="en-US" w:eastAsia="zh-CN"/>
        </w:rPr>
        <w:t>事业单位医疗</w:t>
      </w:r>
      <w:r>
        <w:rPr>
          <w:rFonts w:hint="eastAsia" w:ascii="仿宋_GB2312" w:eastAsia="仿宋_GB2312"/>
          <w:color w:val="auto"/>
          <w:sz w:val="28"/>
          <w:szCs w:val="28"/>
        </w:rPr>
        <w:t>（项）指财政部门安排的事业单位基本医疗保险缴费经费，未参加医疗保险的事业单位的公费医疗经费，按国家规定享受离休人员待遇的医疗经费。</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15</w:t>
      </w:r>
      <w:r>
        <w:rPr>
          <w:rFonts w:hint="eastAsia" w:ascii="仿宋_GB2312" w:eastAsia="仿宋_GB2312"/>
          <w:color w:val="auto"/>
          <w:sz w:val="28"/>
          <w:szCs w:val="28"/>
        </w:rPr>
        <w:t>.基本支出：指为保障机构正常运转、完成日常工作任务而发生的人员支出和公用支出。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16</w:t>
      </w:r>
      <w:r>
        <w:rPr>
          <w:rFonts w:hint="eastAsia" w:ascii="仿宋_GB2312" w:eastAsia="仿宋_GB2312"/>
          <w:color w:val="auto"/>
          <w:sz w:val="28"/>
          <w:szCs w:val="28"/>
        </w:rPr>
        <w:t xml:space="preserve">.项目支出：指在基本支出之外为完成特定行政任务和事业发展目标所发生的支出。 </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17</w:t>
      </w:r>
      <w:r>
        <w:rPr>
          <w:rFonts w:hint="eastAsia" w:ascii="仿宋_GB2312" w:eastAsia="仿宋_GB2312"/>
          <w:color w:val="auto"/>
          <w:sz w:val="28"/>
          <w:szCs w:val="28"/>
        </w:rPr>
        <w:t>.经营支出：指事业单位在专业业务活动及其辅助活动之外开展非独立核算经营活动发生的支出。</w:t>
      </w:r>
    </w:p>
    <w:p>
      <w:pPr>
        <w:pStyle w:val="24"/>
        <w:snapToGrid w:val="0"/>
        <w:spacing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lang w:val="en-US" w:eastAsia="zh-CN"/>
        </w:rPr>
        <w:t>18</w:t>
      </w:r>
      <w:r>
        <w:rPr>
          <w:rFonts w:hint="eastAsia" w:ascii="仿宋_GB2312" w:eastAsia="仿宋_GB2312"/>
          <w:color w:val="auto"/>
          <w:sz w:val="28"/>
          <w:szCs w:val="28"/>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napToGrid w:val="0"/>
        <w:spacing w:line="520" w:lineRule="exact"/>
        <w:ind w:firstLine="560" w:firstLineChars="200"/>
        <w:rPr>
          <w:rFonts w:ascii="仿宋_GB2312" w:eastAsia="仿宋_GB2312" w:cs="黑体"/>
          <w:color w:val="auto"/>
          <w:sz w:val="28"/>
          <w:szCs w:val="28"/>
        </w:rPr>
      </w:pPr>
      <w:r>
        <w:rPr>
          <w:rFonts w:hint="eastAsia" w:ascii="仿宋_GB2312" w:eastAsia="仿宋_GB2312"/>
          <w:color w:val="auto"/>
          <w:sz w:val="28"/>
          <w:szCs w:val="28"/>
          <w:lang w:val="en-US" w:eastAsia="zh-CN"/>
        </w:rPr>
        <w:t>19</w:t>
      </w:r>
      <w:r>
        <w:rPr>
          <w:rFonts w:hint="eastAsia" w:ascii="仿宋_GB2312" w:eastAsia="仿宋_GB2312"/>
          <w:color w:val="auto"/>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6"/>
          <w:rFonts w:hint="eastAsia" w:ascii="黑体" w:hAnsi="黑体" w:eastAsia="黑体"/>
          <w:b w:val="0"/>
          <w:color w:val="auto"/>
          <w:highlight w:val="none"/>
        </w:rPr>
      </w:pPr>
      <w:r>
        <w:rPr>
          <w:rFonts w:ascii="宋体"/>
          <w:b/>
          <w:color w:val="auto"/>
          <w:sz w:val="44"/>
          <w:szCs w:val="44"/>
          <w:highlight w:val="none"/>
        </w:rPr>
        <w:br w:type="page"/>
      </w:r>
      <w:bookmarkStart w:id="47" w:name="_Toc15396614"/>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四部分 附件</w:t>
      </w:r>
      <w:bookmarkEnd w:id="47"/>
    </w:p>
    <w:p>
      <w:pPr>
        <w:spacing w:before="147" w:line="379" w:lineRule="auto"/>
        <w:ind w:firstLine="635"/>
        <w:rPr>
          <w:rFonts w:hint="eastAsia" w:ascii="仿宋" w:hAnsi="仿宋" w:eastAsia="仿宋" w:cs="仿宋"/>
          <w:b w:val="0"/>
          <w:bCs w:val="0"/>
          <w:spacing w:val="8"/>
          <w:kern w:val="2"/>
          <w:sz w:val="31"/>
          <w:szCs w:val="31"/>
          <w:lang w:val="en-US" w:eastAsia="zh-CN" w:bidi="ar-SA"/>
        </w:rPr>
      </w:pPr>
      <w:bookmarkStart w:id="48" w:name="_Toc15396618"/>
      <w:r>
        <w:rPr>
          <w:rStyle w:val="27"/>
          <w:rFonts w:hint="eastAsia" w:ascii="仿宋" w:hAnsi="仿宋" w:eastAsia="仿宋"/>
          <w:b w:val="0"/>
          <w:bCs w:val="0"/>
          <w:color w:val="auto"/>
          <w:highlight w:val="none"/>
          <w:lang w:val="en-US" w:eastAsia="zh-CN" w:bidi="ar-SA"/>
        </w:rPr>
        <w:t>部门预算项目支出绩效自评表（2022年度）</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62" w:name="_GoBack"/>
      <w:bookmarkEnd w:id="62"/>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6"/>
          <w:rFonts w:hint="eastAsia" w:ascii="黑体" w:hAnsi="黑体" w:eastAsia="黑体"/>
          <w:b w:val="0"/>
          <w:color w:val="auto"/>
          <w:highlight w:val="none"/>
        </w:rPr>
        <w:t>五部分 附表</w:t>
      </w:r>
      <w:bookmarkEnd w:id="46"/>
      <w:bookmarkEnd w:id="48"/>
      <w:bookmarkStart w:id="49"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7"/>
          <w:rFonts w:hint="eastAsia" w:ascii="仿宋" w:hAnsi="仿宋" w:eastAsia="仿宋"/>
          <w:b w:val="0"/>
          <w:bCs w:val="0"/>
          <w:color w:val="auto"/>
          <w:highlight w:val="none"/>
        </w:rPr>
        <w:t>入支出决算总表</w:t>
      </w:r>
      <w:bookmarkEnd w:id="49"/>
    </w:p>
    <w:p>
      <w:pPr>
        <w:pStyle w:val="4"/>
        <w:rPr>
          <w:rFonts w:ascii="仿宋" w:hAnsi="仿宋" w:eastAsia="仿宋"/>
          <w:color w:val="auto"/>
          <w:highlight w:val="none"/>
        </w:rPr>
      </w:pPr>
      <w:bookmarkStart w:id="50" w:name="_Toc15396620"/>
      <w:r>
        <w:rPr>
          <w:rFonts w:hint="eastAsia" w:ascii="仿宋" w:hAnsi="仿宋" w:eastAsia="仿宋"/>
          <w:b w:val="0"/>
          <w:color w:val="auto"/>
          <w:highlight w:val="none"/>
        </w:rPr>
        <w:t>二、收</w:t>
      </w:r>
      <w:r>
        <w:rPr>
          <w:rStyle w:val="27"/>
          <w:rFonts w:hint="eastAsia" w:ascii="仿宋" w:hAnsi="仿宋" w:eastAsia="仿宋"/>
          <w:b w:val="0"/>
          <w:bCs w:val="0"/>
          <w:color w:val="auto"/>
          <w:highlight w:val="none"/>
        </w:rPr>
        <w:t>入决算表</w:t>
      </w:r>
      <w:bookmarkEnd w:id="50"/>
    </w:p>
    <w:p>
      <w:pPr>
        <w:pStyle w:val="4"/>
        <w:rPr>
          <w:rFonts w:ascii="仿宋" w:hAnsi="仿宋" w:eastAsia="仿宋"/>
          <w:color w:val="auto"/>
          <w:highlight w:val="none"/>
        </w:rPr>
      </w:pPr>
      <w:bookmarkStart w:id="51" w:name="_Toc15396621"/>
      <w:r>
        <w:rPr>
          <w:rStyle w:val="2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7"/>
          <w:rFonts w:hint="eastAsia" w:ascii="仿宋" w:hAnsi="仿宋" w:eastAsia="仿宋"/>
          <w:b w:val="0"/>
          <w:bCs w:val="0"/>
          <w:color w:val="auto"/>
          <w:highlight w:val="none"/>
        </w:rPr>
        <w:t>出决算表</w:t>
      </w:r>
      <w:bookmarkEnd w:id="51"/>
    </w:p>
    <w:p>
      <w:pPr>
        <w:pStyle w:val="4"/>
        <w:rPr>
          <w:rFonts w:ascii="仿宋" w:hAnsi="仿宋" w:eastAsia="仿宋"/>
          <w:b w:val="0"/>
          <w:color w:val="auto"/>
          <w:highlight w:val="none"/>
        </w:rPr>
      </w:pPr>
      <w:bookmarkStart w:id="52" w:name="_Toc15396622"/>
      <w:r>
        <w:rPr>
          <w:rStyle w:val="2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政拨款收入支出决算总表</w:t>
      </w:r>
      <w:bookmarkEnd w:id="52"/>
    </w:p>
    <w:p>
      <w:pPr>
        <w:pStyle w:val="4"/>
        <w:rPr>
          <w:rStyle w:val="27"/>
          <w:rFonts w:ascii="仿宋" w:hAnsi="仿宋" w:eastAsia="仿宋"/>
          <w:b w:val="0"/>
          <w:bCs w:val="0"/>
          <w:color w:val="auto"/>
          <w:highlight w:val="none"/>
        </w:rPr>
      </w:pPr>
      <w:bookmarkStart w:id="53" w:name="_Toc15396623"/>
      <w:r>
        <w:rPr>
          <w:rStyle w:val="2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7"/>
          <w:rFonts w:hint="eastAsia" w:ascii="仿宋" w:hAnsi="仿宋" w:eastAsia="仿宋"/>
          <w:b w:val="0"/>
          <w:bCs w:val="0"/>
          <w:color w:val="auto"/>
          <w:highlight w:val="none"/>
        </w:rPr>
        <w:t>政拨款支出决算明细表</w:t>
      </w:r>
      <w:bookmarkEnd w:id="53"/>
      <w:bookmarkStart w:id="54" w:name="_Toc15396624"/>
    </w:p>
    <w:p>
      <w:pPr>
        <w:pStyle w:val="4"/>
        <w:rPr>
          <w:rFonts w:ascii="仿宋" w:hAnsi="仿宋" w:eastAsia="仿宋"/>
          <w:color w:val="auto"/>
          <w:highlight w:val="none"/>
        </w:rPr>
      </w:pPr>
      <w:r>
        <w:rPr>
          <w:rStyle w:val="2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般公共预算财政拨款支出决算表</w:t>
      </w:r>
      <w:bookmarkEnd w:id="54"/>
    </w:p>
    <w:p>
      <w:pPr>
        <w:pStyle w:val="4"/>
        <w:rPr>
          <w:rFonts w:ascii="仿宋" w:hAnsi="仿宋" w:eastAsia="仿宋"/>
          <w:color w:val="auto"/>
          <w:highlight w:val="none"/>
        </w:rPr>
      </w:pPr>
      <w:bookmarkStart w:id="55" w:name="_Toc15396625"/>
      <w:r>
        <w:rPr>
          <w:rStyle w:val="2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般公共预算财政拨款支出决算明细表</w:t>
      </w:r>
      <w:bookmarkEnd w:id="55"/>
    </w:p>
    <w:p>
      <w:pPr>
        <w:pStyle w:val="4"/>
        <w:rPr>
          <w:rFonts w:ascii="仿宋" w:hAnsi="仿宋" w:eastAsia="仿宋"/>
          <w:color w:val="auto"/>
          <w:highlight w:val="none"/>
        </w:rPr>
      </w:pPr>
      <w:bookmarkStart w:id="56" w:name="_Toc15396626"/>
      <w:r>
        <w:rPr>
          <w:rStyle w:val="2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般公共预算财政拨款基本支出决算表</w:t>
      </w:r>
      <w:bookmarkEnd w:id="56"/>
    </w:p>
    <w:p>
      <w:pPr>
        <w:pStyle w:val="4"/>
        <w:rPr>
          <w:rFonts w:ascii="仿宋" w:hAnsi="仿宋" w:eastAsia="仿宋"/>
          <w:color w:val="auto"/>
          <w:highlight w:val="none"/>
        </w:rPr>
      </w:pPr>
      <w:bookmarkStart w:id="57" w:name="_Toc15396627"/>
      <w:r>
        <w:rPr>
          <w:rStyle w:val="2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7"/>
          <w:rFonts w:hint="eastAsia" w:ascii="仿宋" w:hAnsi="仿宋" w:eastAsia="仿宋"/>
          <w:b w:val="0"/>
          <w:bCs w:val="0"/>
          <w:color w:val="auto"/>
          <w:highlight w:val="none"/>
        </w:rPr>
        <w:t>般公共预算财政拨款项目支出决算表</w:t>
      </w:r>
      <w:bookmarkEnd w:id="57"/>
    </w:p>
    <w:p>
      <w:pPr>
        <w:pStyle w:val="4"/>
        <w:rPr>
          <w:rFonts w:ascii="仿宋" w:hAnsi="仿宋" w:eastAsia="仿宋"/>
          <w:color w:val="auto"/>
          <w:highlight w:val="none"/>
        </w:rPr>
      </w:pPr>
      <w:bookmarkStart w:id="58" w:name="_Toc15396628"/>
      <w:r>
        <w:rPr>
          <w:rStyle w:val="27"/>
          <w:rFonts w:hint="eastAsia" w:ascii="仿宋" w:hAnsi="仿宋" w:eastAsia="仿宋"/>
          <w:b w:val="0"/>
          <w:bCs w:val="0"/>
          <w:color w:val="auto"/>
          <w:highlight w:val="none"/>
        </w:rPr>
        <w:t>十、</w:t>
      </w:r>
      <w:bookmarkEnd w:id="58"/>
      <w:r>
        <w:rPr>
          <w:rFonts w:hint="eastAsia" w:ascii="仿宋" w:hAnsi="仿宋" w:eastAsia="仿宋"/>
          <w:b w:val="0"/>
          <w:color w:val="auto"/>
          <w:highlight w:val="none"/>
        </w:rPr>
        <w:t>政</w:t>
      </w:r>
      <w:r>
        <w:rPr>
          <w:rStyle w:val="27"/>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59" w:name="_Toc15396629"/>
      <w:r>
        <w:rPr>
          <w:rStyle w:val="27"/>
          <w:rFonts w:hint="eastAsia" w:ascii="仿宋" w:hAnsi="仿宋" w:eastAsia="仿宋"/>
          <w:b w:val="0"/>
          <w:bCs w:val="0"/>
          <w:color w:val="auto"/>
          <w:highlight w:val="none"/>
        </w:rPr>
        <w:t>十一、</w:t>
      </w:r>
      <w:bookmarkEnd w:id="59"/>
      <w:r>
        <w:rPr>
          <w:rFonts w:hint="eastAsia" w:ascii="仿宋" w:hAnsi="仿宋" w:eastAsia="仿宋"/>
          <w:b w:val="0"/>
          <w:color w:val="auto"/>
          <w:highlight w:val="none"/>
        </w:rPr>
        <w:t>国</w:t>
      </w:r>
      <w:r>
        <w:rPr>
          <w:rStyle w:val="27"/>
          <w:rFonts w:hint="eastAsia" w:ascii="仿宋" w:hAnsi="仿宋" w:eastAsia="仿宋"/>
          <w:b w:val="0"/>
          <w:bCs w:val="0"/>
          <w:color w:val="auto"/>
          <w:highlight w:val="none"/>
        </w:rPr>
        <w:t>有资本经营预算</w:t>
      </w:r>
      <w:r>
        <w:rPr>
          <w:rStyle w:val="27"/>
          <w:rFonts w:hint="eastAsia" w:ascii="仿宋" w:hAnsi="仿宋" w:eastAsia="仿宋"/>
          <w:b w:val="0"/>
          <w:bCs w:val="0"/>
          <w:color w:val="auto"/>
          <w:highlight w:val="none"/>
          <w:lang w:eastAsia="zh-CN"/>
        </w:rPr>
        <w:t>财政拨款收入</w:t>
      </w:r>
      <w:r>
        <w:rPr>
          <w:rStyle w:val="27"/>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60" w:name="_Toc15396630"/>
      <w:r>
        <w:rPr>
          <w:rStyle w:val="27"/>
          <w:rFonts w:hint="eastAsia" w:ascii="仿宋" w:hAnsi="仿宋" w:eastAsia="仿宋"/>
          <w:b w:val="0"/>
          <w:bCs w:val="0"/>
          <w:color w:val="auto"/>
          <w:highlight w:val="none"/>
        </w:rPr>
        <w:t>十二、</w:t>
      </w:r>
      <w:bookmarkEnd w:id="60"/>
      <w:r>
        <w:rPr>
          <w:rStyle w:val="27"/>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61" w:name="_Toc15396631"/>
      <w:r>
        <w:rPr>
          <w:rStyle w:val="27"/>
          <w:rFonts w:hint="eastAsia" w:ascii="仿宋" w:hAnsi="仿宋" w:eastAsia="仿宋"/>
          <w:b w:val="0"/>
          <w:bCs w:val="0"/>
          <w:color w:val="auto"/>
          <w:highlight w:val="none"/>
        </w:rPr>
        <w:t>十三、</w:t>
      </w:r>
      <w:bookmarkEnd w:id="61"/>
      <w:r>
        <w:rPr>
          <w:rStyle w:val="27"/>
          <w:rFonts w:hint="eastAsia" w:ascii="仿宋" w:hAnsi="仿宋" w:eastAsia="仿宋"/>
          <w:b w:val="0"/>
          <w:bCs w:val="0"/>
          <w:color w:val="auto"/>
          <w:highlight w:val="none"/>
          <w:lang w:eastAsia="zh-CN"/>
        </w:rPr>
        <w:t>财政拨款“三公”经费支出决算表</w:t>
      </w:r>
    </w:p>
    <w:sectPr>
      <w:footerReference r:id="rId7" w:type="firs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02A952F4"/>
    <w:multiLevelType w:val="singleLevel"/>
    <w:tmpl w:val="02A952F4"/>
    <w:lvl w:ilvl="0" w:tentative="0">
      <w:start w:val="1"/>
      <w:numFmt w:val="chineseCounting"/>
      <w:suff w:val="nothing"/>
      <w:lvlText w:val="%1、"/>
      <w:lvlJc w:val="left"/>
      <w:pPr>
        <w:ind w:left="0" w:firstLine="420"/>
      </w:pPr>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1FF9"/>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4F219D"/>
    <w:rsid w:val="02823918"/>
    <w:rsid w:val="028642E4"/>
    <w:rsid w:val="053A62B5"/>
    <w:rsid w:val="05D4264D"/>
    <w:rsid w:val="06163BD1"/>
    <w:rsid w:val="06CC440E"/>
    <w:rsid w:val="07DE071F"/>
    <w:rsid w:val="088539E3"/>
    <w:rsid w:val="09371E95"/>
    <w:rsid w:val="098470A4"/>
    <w:rsid w:val="0A2032A3"/>
    <w:rsid w:val="0A2E7B50"/>
    <w:rsid w:val="0B460AB5"/>
    <w:rsid w:val="0B8415DD"/>
    <w:rsid w:val="0B8A37D8"/>
    <w:rsid w:val="0BE1258C"/>
    <w:rsid w:val="0C027923"/>
    <w:rsid w:val="0C046E3A"/>
    <w:rsid w:val="0D39099C"/>
    <w:rsid w:val="0D554FDF"/>
    <w:rsid w:val="0DA11FD2"/>
    <w:rsid w:val="0E611762"/>
    <w:rsid w:val="0ED939EE"/>
    <w:rsid w:val="0F6C6610"/>
    <w:rsid w:val="0F9471C6"/>
    <w:rsid w:val="0FF00FEF"/>
    <w:rsid w:val="106D0892"/>
    <w:rsid w:val="107439CE"/>
    <w:rsid w:val="109156AE"/>
    <w:rsid w:val="10B62239"/>
    <w:rsid w:val="10C055FF"/>
    <w:rsid w:val="113849FC"/>
    <w:rsid w:val="118107EC"/>
    <w:rsid w:val="11DD6519"/>
    <w:rsid w:val="12940358"/>
    <w:rsid w:val="140277D4"/>
    <w:rsid w:val="147A2226"/>
    <w:rsid w:val="14BC3B96"/>
    <w:rsid w:val="15A5287C"/>
    <w:rsid w:val="15BC3411"/>
    <w:rsid w:val="15DA0D61"/>
    <w:rsid w:val="15EE5FD1"/>
    <w:rsid w:val="16BB723D"/>
    <w:rsid w:val="16D26743"/>
    <w:rsid w:val="16FA2753"/>
    <w:rsid w:val="172D0D7B"/>
    <w:rsid w:val="179761F4"/>
    <w:rsid w:val="18015F3F"/>
    <w:rsid w:val="1844012A"/>
    <w:rsid w:val="18700F1F"/>
    <w:rsid w:val="196F306B"/>
    <w:rsid w:val="19EA45E5"/>
    <w:rsid w:val="1A562397"/>
    <w:rsid w:val="1A9D6217"/>
    <w:rsid w:val="1ABA0B77"/>
    <w:rsid w:val="1B0F7D5F"/>
    <w:rsid w:val="1BD00F56"/>
    <w:rsid w:val="1BE8440E"/>
    <w:rsid w:val="1C060380"/>
    <w:rsid w:val="1D155CEE"/>
    <w:rsid w:val="1D2A61BE"/>
    <w:rsid w:val="1DFD14A7"/>
    <w:rsid w:val="1E311151"/>
    <w:rsid w:val="1E6A6411"/>
    <w:rsid w:val="1E911BEF"/>
    <w:rsid w:val="1F7D585A"/>
    <w:rsid w:val="1F813A12"/>
    <w:rsid w:val="1FEF3071"/>
    <w:rsid w:val="20810D5F"/>
    <w:rsid w:val="20E71F9A"/>
    <w:rsid w:val="20F57F95"/>
    <w:rsid w:val="21880388"/>
    <w:rsid w:val="22192627"/>
    <w:rsid w:val="232C70E9"/>
    <w:rsid w:val="240371BF"/>
    <w:rsid w:val="242B650E"/>
    <w:rsid w:val="243D353F"/>
    <w:rsid w:val="25711CC6"/>
    <w:rsid w:val="25C741E6"/>
    <w:rsid w:val="263C778F"/>
    <w:rsid w:val="26622587"/>
    <w:rsid w:val="266F6CBA"/>
    <w:rsid w:val="27090EBD"/>
    <w:rsid w:val="27842671"/>
    <w:rsid w:val="2815563F"/>
    <w:rsid w:val="28EC412E"/>
    <w:rsid w:val="29FD04D3"/>
    <w:rsid w:val="2A636B36"/>
    <w:rsid w:val="2A77438F"/>
    <w:rsid w:val="2ABE7A3E"/>
    <w:rsid w:val="2AD96DF8"/>
    <w:rsid w:val="2B4F3203"/>
    <w:rsid w:val="2BD1595B"/>
    <w:rsid w:val="2C422884"/>
    <w:rsid w:val="2CA234A8"/>
    <w:rsid w:val="2E32221A"/>
    <w:rsid w:val="2EFA178C"/>
    <w:rsid w:val="30B46D73"/>
    <w:rsid w:val="30CB749B"/>
    <w:rsid w:val="30F46739"/>
    <w:rsid w:val="316D029A"/>
    <w:rsid w:val="319F7F4E"/>
    <w:rsid w:val="31AB6772"/>
    <w:rsid w:val="32004C6A"/>
    <w:rsid w:val="32931F82"/>
    <w:rsid w:val="32A221C5"/>
    <w:rsid w:val="33525999"/>
    <w:rsid w:val="33EC62C2"/>
    <w:rsid w:val="3428494C"/>
    <w:rsid w:val="346516FC"/>
    <w:rsid w:val="35245113"/>
    <w:rsid w:val="352E18B2"/>
    <w:rsid w:val="353C06AF"/>
    <w:rsid w:val="3667721A"/>
    <w:rsid w:val="36BB3856"/>
    <w:rsid w:val="372E04CB"/>
    <w:rsid w:val="373D62EC"/>
    <w:rsid w:val="383D272C"/>
    <w:rsid w:val="38EC5F48"/>
    <w:rsid w:val="39AE70AB"/>
    <w:rsid w:val="3A334D25"/>
    <w:rsid w:val="3A824DB6"/>
    <w:rsid w:val="3A95616C"/>
    <w:rsid w:val="3B293484"/>
    <w:rsid w:val="3BF33A92"/>
    <w:rsid w:val="3C0C0783"/>
    <w:rsid w:val="3CF924CC"/>
    <w:rsid w:val="3D1B504E"/>
    <w:rsid w:val="3D6E1622"/>
    <w:rsid w:val="3E736E3C"/>
    <w:rsid w:val="3F615C35"/>
    <w:rsid w:val="3F9F3A96"/>
    <w:rsid w:val="3FA931F6"/>
    <w:rsid w:val="41A32140"/>
    <w:rsid w:val="43860D47"/>
    <w:rsid w:val="43B835F7"/>
    <w:rsid w:val="43E837B0"/>
    <w:rsid w:val="44DE52DF"/>
    <w:rsid w:val="44F763A1"/>
    <w:rsid w:val="45486BFC"/>
    <w:rsid w:val="45A1630C"/>
    <w:rsid w:val="46E26BDC"/>
    <w:rsid w:val="480F7B95"/>
    <w:rsid w:val="483E7E42"/>
    <w:rsid w:val="48912668"/>
    <w:rsid w:val="48BF60AB"/>
    <w:rsid w:val="48F50E49"/>
    <w:rsid w:val="493C27E9"/>
    <w:rsid w:val="496F39ED"/>
    <w:rsid w:val="49DB57C3"/>
    <w:rsid w:val="49FF41D3"/>
    <w:rsid w:val="4B393965"/>
    <w:rsid w:val="4BE068DB"/>
    <w:rsid w:val="4BF6002B"/>
    <w:rsid w:val="4D151ABA"/>
    <w:rsid w:val="4ECE2238"/>
    <w:rsid w:val="4F155DA1"/>
    <w:rsid w:val="51711289"/>
    <w:rsid w:val="51DB4B86"/>
    <w:rsid w:val="51F86065"/>
    <w:rsid w:val="51FB7686"/>
    <w:rsid w:val="52782066"/>
    <w:rsid w:val="53046781"/>
    <w:rsid w:val="54017AAB"/>
    <w:rsid w:val="54122C02"/>
    <w:rsid w:val="54F75F49"/>
    <w:rsid w:val="55333C3E"/>
    <w:rsid w:val="56114DE8"/>
    <w:rsid w:val="56502B9B"/>
    <w:rsid w:val="56FE711B"/>
    <w:rsid w:val="570C1B99"/>
    <w:rsid w:val="579B705F"/>
    <w:rsid w:val="580C1D0B"/>
    <w:rsid w:val="58A27F7A"/>
    <w:rsid w:val="58FA1B64"/>
    <w:rsid w:val="59162E41"/>
    <w:rsid w:val="5A405C9C"/>
    <w:rsid w:val="5A5F4374"/>
    <w:rsid w:val="5B61411C"/>
    <w:rsid w:val="5B672B36"/>
    <w:rsid w:val="5CB92D5A"/>
    <w:rsid w:val="5D704AEA"/>
    <w:rsid w:val="5D900CE9"/>
    <w:rsid w:val="5DC170F4"/>
    <w:rsid w:val="5E390074"/>
    <w:rsid w:val="5E5166CA"/>
    <w:rsid w:val="5F152C62"/>
    <w:rsid w:val="5FD72BFF"/>
    <w:rsid w:val="60FB0B6F"/>
    <w:rsid w:val="619C4100"/>
    <w:rsid w:val="6213687B"/>
    <w:rsid w:val="626F35C2"/>
    <w:rsid w:val="62E0001C"/>
    <w:rsid w:val="63F95EFF"/>
    <w:rsid w:val="64CA39A1"/>
    <w:rsid w:val="666941F8"/>
    <w:rsid w:val="66860510"/>
    <w:rsid w:val="6712451C"/>
    <w:rsid w:val="673D5429"/>
    <w:rsid w:val="69630ADE"/>
    <w:rsid w:val="6A63196C"/>
    <w:rsid w:val="6B013472"/>
    <w:rsid w:val="6C124735"/>
    <w:rsid w:val="6C240F7A"/>
    <w:rsid w:val="6C4A05C8"/>
    <w:rsid w:val="6D282CEC"/>
    <w:rsid w:val="6D3B1A89"/>
    <w:rsid w:val="6DA31C40"/>
    <w:rsid w:val="6E8201DA"/>
    <w:rsid w:val="6EF72976"/>
    <w:rsid w:val="71BF4EC2"/>
    <w:rsid w:val="72734D90"/>
    <w:rsid w:val="728A632E"/>
    <w:rsid w:val="72BB15BB"/>
    <w:rsid w:val="73706606"/>
    <w:rsid w:val="740022CC"/>
    <w:rsid w:val="7412278C"/>
    <w:rsid w:val="74266FD9"/>
    <w:rsid w:val="74A71E5E"/>
    <w:rsid w:val="74F929A6"/>
    <w:rsid w:val="756B5E6B"/>
    <w:rsid w:val="75FC7BA5"/>
    <w:rsid w:val="764010A6"/>
    <w:rsid w:val="76984A3E"/>
    <w:rsid w:val="77232FAB"/>
    <w:rsid w:val="77D0645A"/>
    <w:rsid w:val="78436C2C"/>
    <w:rsid w:val="78C01126"/>
    <w:rsid w:val="78FB2499"/>
    <w:rsid w:val="79E7B28D"/>
    <w:rsid w:val="79FB5607"/>
    <w:rsid w:val="7BF974C4"/>
    <w:rsid w:val="7C80044E"/>
    <w:rsid w:val="7CB225D2"/>
    <w:rsid w:val="7CEB12B6"/>
    <w:rsid w:val="7D07647A"/>
    <w:rsid w:val="7D747887"/>
    <w:rsid w:val="7DFF35F5"/>
    <w:rsid w:val="7EA85A3A"/>
    <w:rsid w:val="7EFB3DBC"/>
    <w:rsid w:val="7F0E4BB1"/>
    <w:rsid w:val="7F3E014D"/>
    <w:rsid w:val="7F954211"/>
    <w:rsid w:val="7F9F20EE"/>
    <w:rsid w:val="7FAA4988"/>
    <w:rsid w:val="7FCE7723"/>
    <w:rsid w:val="7FD50AB1"/>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next w:val="1"/>
    <w:qFormat/>
    <w:uiPriority w:val="99"/>
    <w:rPr>
      <w:rFonts w:ascii="宋体" w:hAnsi="Courier New" w:eastAsia="仿宋" w:cs="Times New Roman"/>
      <w:kern w:val="0"/>
      <w:sz w:val="32"/>
      <w:szCs w:val="21"/>
    </w:r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0"/>
    <w:pPr>
      <w:spacing w:line="360" w:lineRule="auto"/>
    </w:pPr>
    <w:rPr>
      <w:rFonts w:ascii="??" w:hAnsi="??" w:eastAsia="Times New Roman"/>
      <w:color w:val="000000"/>
      <w:kern w:val="0"/>
      <w:sz w:val="28"/>
      <w:szCs w:val="21"/>
    </w:rPr>
  </w:style>
</w:styles>
</file>

<file path=word/_rels/document.xml.rels><?xml version="1.0" encoding="UTF-8" standalone="yes"?>
<Relationships xmlns="http://schemas.openxmlformats.org/package/2006/relationships"><Relationship Id="rId9" Type="http://www.wps.cn/officeDocument/2018/webExtension" Target="webExtensions/webExtension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5.png"/><Relationship Id="rId18" Type="http://www.wps.cn/officeDocument/2018/webExtension" Target="webExtensions/webExtension5.xml"/><Relationship Id="rId17" Type="http://schemas.openxmlformats.org/officeDocument/2006/relationships/image" Target="media/image4.png"/><Relationship Id="rId16" Type="http://www.wps.cn/officeDocument/2018/webExtension" Target="webExtensions/webExtension4.xml"/><Relationship Id="rId15" Type="http://schemas.openxmlformats.org/officeDocument/2006/relationships/image" Target="media/image3.png"/><Relationship Id="rId14" Type="http://www.wps.cn/officeDocument/2018/webExtension" Target="webExtensions/webExtension3.xml"/><Relationship Id="rId13" Type="http://schemas.openxmlformats.org/officeDocument/2006/relationships/chart" Target="charts/chart1.xml"/><Relationship Id="rId12" Type="http://schemas.openxmlformats.org/officeDocument/2006/relationships/image" Target="media/image2.png"/><Relationship Id="rId11" Type="http://www.wps.cn/officeDocument/2018/webExtension" Target="webExtensions/webExtension2.xml"/><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289783119937288"/>
          <c:y val="0.180154355016538"/>
          <c:w val="0.444473477920042"/>
          <c:h val="0.750165380374862"/>
        </c:manualLayout>
      </c:layout>
      <c:pieChart>
        <c:varyColors val="1"/>
        <c:ser>
          <c:idx val="0"/>
          <c:order val="0"/>
          <c:tx>
            <c:strRef>
              <c:f>Sheet1!$B$1</c:f>
              <c:strCache>
                <c:ptCount val="1"/>
                <c:pt idx="0">
                  <c:v>支出决算情况</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elete val="1"/>
          </c:dLbls>
          <c:cat>
            <c:strRef>
              <c:f>Sheet1!$A$2:$A$3</c:f>
              <c:strCache>
                <c:ptCount val="2"/>
                <c:pt idx="0">
                  <c:v>基本支出</c:v>
                </c:pt>
                <c:pt idx="1">
                  <c:v>项目支出</c:v>
                </c:pt>
              </c:strCache>
            </c:strRef>
          </c:cat>
          <c:val>
            <c:numRef>
              <c:f>Sheet1!$B$2:$B$3</c:f>
              <c:numCache>
                <c:formatCode>General</c:formatCode>
                <c:ptCount val="2"/>
                <c:pt idx="0">
                  <c:v>1623.15</c:v>
                </c:pt>
                <c:pt idx="1">
                  <c:v>184.73</c:v>
                </c:pt>
              </c:numCache>
            </c:numRef>
          </c:val>
        </c:ser>
        <c:dLbls>
          <c:showLegendKey val="0"/>
          <c:showVal val="1"/>
          <c:showCatName val="0"/>
          <c:showSerName val="0"/>
          <c:showPercent val="0"/>
          <c:showBubbleSize val="0"/>
          <c:showLeaderLines val="0"/>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webExtensions/_rels/webExtension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package" Target="../embeddings/Workbook6.xlsx"/></Relationships>
</file>

<file path=word/webExtensions/_rels/webExtension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package" Target="../embeddings/Workbook3.xlsx"/></Relationships>
</file>

<file path=word/webExtensions/_rels/webExtension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package" Target="../embeddings/Workbook4.xlsx"/></Relationships>
</file>

<file path=word/webExtensions/_rels/webExtension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package" Target="../embeddings/Workbook2.xlsx"/></Relationships>
</file>

<file path=word/webExtensions/_rels/webExtension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package" Target="../embeddings/Workbook5.xlsx"/></Relationships>
</file>

<file path=word/webExtensions/webExtension1.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1&quot;,&quot;2115.20&quot;,&quot;2115.20&quot;],[&quot;2022&quot;,&quot;1807.88&quot;,&quot;1807.88&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340,&quot;ratio&quot;:&quot;&quot;,&quot;rotate&quot;:0,&quot;width&quot;:540.9090909090909},&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quot;}"/>
    <wpswe:property key="isUseCommonErrorPage" value="false"/>
    <wpswe:property key="loadingImage" value="res:/icons/DsWebShapeDefaultPage.svg"/>
  </wpswe:properties>
  <wpswe:watchingCache>
    <wpswe:linkPath>C:/Users/Administrator/AppData/Local/Temp/wps.viWxaz/Workbook2.xlsx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2.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1243067126556290&quot;,&quot;chart_type&quot;:&quot;饼图&quot;,&quot;classifty_type&quot;:[&quot;占比类&quot;],&quot;dataSrc&quot;:{&quot;data&quot;:[[[&quot;项目&quot;,&quot;占比（%）&quot;],[&quot;一般公共预算财政拨款收入&quot;,&quot;99.83&quot;],[&quot;其他收入&quot;,&quot;0.19&quot;],[&quot;其他收入&quot;,&quot;0.19&quot;]]],&quot;dataType&quot;:&quot;object-table&quot;,&quot;download&quot;:false,&quot;srcType&quot;:&quot;local&quot;,&quot;url&quot;:&quot;&quot;},&quot;function_type&quot;:[&quot;饼图&quot;],&quot;gif&quot;:&quot;//web.docer.wpscdn.cn/docer/ds-page/images/5544734748594536493.gif?imageView2/2/w/500/quality/90&quot;,&quot;isFree&quot;:&quot;1&quot;,&quot;label&quot;:&quot;&lt;d-corner-pie-chart&gt;&quot;,&quot;projectId&quot;:&quot;5544734748594536493&quot;,&quot;props&quot;:{&quot;animation&quot;:{&quot;duration&quot;:&quot;1.5&quot;,&quot;easeStyle&quot;:&quot;&quot;,&quot;endPause&quot;:&quot;1&quot;,&quot;moveOptions&quot;:[&quot;轮子&quot;,&quot;百叶窗&quot;,&quot;折扇&quot;,&quot;径向展开&quot;],&quot;moveStyle&quot;:&quot;轮子&quot;,&quot;startDelay&quot;:&quot;0&quot;,&quot;transition&quot;:true},&quot;axis&quot;:&quot;&quot;,&quot;backgroundColor&quot;:&quot;&quot;,&quot;colors&quot;:{&quot;colorControlers&quot;:[&quot;multiple&quot;,&quot;linear&quot;],&quot;list&quot;:[0,1,2],&quot;type&quot;:&quot;multiple&quot;},&quot;display&quot;:{&quot;borderColor&quot;:&quot;#FFFFFF&quot;,&quot;borderWidth&quot;:&quot;1&quot;,&quot;cornerRadius&quot;:&quot;10&quot;,&quot;fillOpacity&quot;:&quot;1&quot;,&quot;gapPercentage&quot;:&quot;0&quot;,&quot;innerRadiusRatio&quot;:&quot;0&quot;},&quot;label&quot;:{&quot;contentChoice&quot;:[&quot;名称&quot;],&quot;contentOption&quot;:[&quot;名称&quot;,&quot;百分比&quot;,&quot;数值&quot;],&quot;display&quot;:true,&quot;positionChoice&quot;:&quot;内部周向&quot;,&quot;positionOptions&quot;:[&quot;内部周向&quot;,&quot;内部水平&quot;,&quot;外部&quot;],&quot;suffix&quot;:&quot;&quot;,&quot;textLabel&quot;:{&quot;color&quot;:&quot;#545454&quot;,&quot;fontFamily&quot;:&quot;黑体&quot;,&quot;fontSize&quot;:&quot;14&quot;}},&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data.io/newchartLogo.png&quot;,&quot;show&quot;:tru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33&quot;,&quot;chartBottom&quot;:&quot;5&quot;,&quot;left&quot;:&quot;24&quot;,&quot;right&quot;:&quot;24&quot;,&quot;top&quot;:&quot;24&quot;},&quot;publishDisplay&quot;:{&quot;color&quot;:&quot;#878787&quot;,&quot;fontFamily&quot;:&quot;黑体&quot;,&quot;fontSize&quot;:&quot;14&quot;,&quot;show&quot;:true,&quot;text&quot;:&quot;镝数出品&quot;},&quot;shadow&quot;:{&quot;display&quot;:false,&quot;shadowAngle&quot;:&quot;45&quot;,&quot;shadowBlur&quot;:&quot;5&quot;,&quot;shadowColor&quot;:&quot;#c6c6c6&quot;,&quot;shadowOpacity&quot;:&quot;100&quot;,&quot;shadowRadius&quot;:&quot;3&quot;},&quot;size&quot;:{&quot;height&quot;:410,&quot;ratio&quot;:&quot;&quot;,&quot;rotate&quot;:0,&quot;width&quot;:390},&quot;sourceDisplay&quot;:{&quot;color&quot;:&quot;#878787&quot;,&quot;fontFamily&quot;:&quot;黑体&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中国网红受教育水平&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quot;,&quot;xPosition&quot;:&quot;left&quot;,&quot;yPosition&quot;:&quot;top&quot;},&quot;watermarkDisplay&quot;:{&quot;imgHeight&quot;:&quot;80&quot;,&quot;imgUrl&quot;:&quot;https://ss1.dydata.io/newchartWatermark.png&quot;,&quot;imgWidth&quot;:&quot;80&quot;,&quot;show&quot;:false}},&quot;templateId&quot;:&quot;5544734748594536493&quot;,&quot;templateSwitch&quot;:&quot;key-value&quot;,&quot;theme&quot;:{&quot;axis&quot;:{&quot;color&quot;:&quot;#a1a1a1&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黑体&quot;,&quot;fontSize&quot;:&quot;14&quot;},&quot;grid&quot;:{&quot;color&quot;:&quot;#ccc&quot;},&quot;name&quot;:&quot;默认主题&quot;,&quot;price&quot;:&quot;0.0&quot;,&quot;shapeColor&quot;:1,&quot;themeId&quot;:&quot;18&quot;,&quot;titleFont&quot;:{&quot;color&quot;:&quot;#4c4c4c&quot;,&quot;fontFamily&quot;:&quot;黑体&quot;,&quot;fontSize&quot;:&quot;36&quot;}},&quot;thumb&quot;:&quot;//web.docer.wpscdn.cn/docer/ds-page/images/TX1uSMvdp16D12h5XrG9jv.CE6FB975.jpg?imageView2/2/w/500/quality/90&quot;,&quot;title&quot;:&quot;基础饼图（圆角）&quot;,&quot;type&quot;:&quot;chart&quot;},&quot;dschart_id&quot;:&quot;5544734748594536493&quot;,&quot;flag&quot;:&quot;1003&quot;,&quot;id&quot;:&quot;&quot;}"/>
    <wpswe:property key="isUseCommonErrorPage" value="false"/>
    <wpswe:property key="loadingImage" value="res:/icons/DsWebShapeDefaultPage.svg"/>
  </wpswe:properties>
  <wpswe:watchingCache>
    <wpswe:linkPath>C:/Users/Administrator/AppData/Local/Temp/wps.aWTATd/Workbook5.xlsx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https://clientweb.docer.wps.cn/ds/1.0.0/webShapeView?id=&amp;dschart_id=5544734748594536493&amp;from=taskbar_default&amp;productEntry=toolbar&amp;sceneEntry=tosobc_pie&amp;flag=1003</wpswe:url>
  <wpswe:constantSnapshot>false</wpswe:constantSnapshot>
</wpswe:webExtension>
</file>

<file path=word/webExtensions/webExtension3.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751221290197424&quot;,&quot;chart_type&quot;:&quot;柱状图&quot;,&quot;classifty_type&quot;:[&quot;比较类&quot;],&quot;dataSrc&quot;:{&quot;data&quot;:[[[&quot;年度&quot;,&quot;收入&quot;,&quot;支出&quot;],[&quot;2021&quot;,&quot;2108.93&quot;,&quot;2108.93&quot;],[&quot;2022&quot;,&quot;1805.08&quot;,&quot;1805.08&quot;]]],&quot;dataType&quot;:&quot;cross-table&quot;,&quot;download&quot;:false,&quot;srcType&quot;:&quot;local&quot;,&quot;url&quot;:&quot;&quot;},&quot;function_type&quot;:[&quot;柱形图&quot;],&quot;gif&quot;:&quot;https://image.dycharts.com/3612096174443311105.gif?imageView2/2/w/500/quality/90&quot;,&quot;isFree&quot;:&quot;0&quot;,&quot;label&quot;:&quot;&lt;e-barmultiple-chart&gt;&quot;,&quot;position&quot;:{&quot;left&quot;:0,&quot;top&quot;:0},&quot;price&quot;:0,&quot;projectId&quot;:&quot;164751145132966661&quot;,&quot;props&quot;:{&quot;animation&quot;:{&quot;duration&quot;:&quot;2&quot;,&quot;easeStyle&quot;:&quot;&quot;,&quot;endPause&quot;:&quot;1&quot;,&quot;moveOptions&quot;:[&quot;纵向整体拉伸&quot;,&quot;纵向分组拉伸&quot;,&quot;纵向分类拉伸&quot;,&quot;横向分组展开&quot;,&quot;横向同步展开&quot;,&quot;横向分类展开&quot;],&quot;moveStyle&quot;:&quot;纵向整体拉伸&quot;,&quot;startDelay&quot;:&quot;0&quot;,&quot;transition&quot;:true},&quot;axis&quot;:{&quot;grid&quot;:{&quot;color&quot;:&quot;#e3e3e3ff&quot;,&quot;gridLineWidth&quot;:&quot;1&quot;,&quot;lineStyle&quot;:&quot;line&quot;,&quot;show&quot;:&quot;x&quot;},&quot;x&quot;:{&quot;axisColor&quot;:&quot;#bfbfbf&quot;,&quot;axisLineWidth&quot;:&quot;1&quot;,&quot;axisShow&quot;:true,&quot;labelAngle&quot;:&quot;0&quot;,&quot;labelDirection&quot;:&quot;横排&quot;,&quot;labelDirectionOptions&quot;:[&quot;自动&quot;,&quot;横排&quot;,&quot;竖排&quot;],&quot;labelShow&quot;:true,&quot;name&quot;:&quot;&quot;},&quot;y&quot;:{&quot;axisColor&quot;:&quot;#bfbfbf&quot;,&quot;axisLineWidth&quot;:&quot;1&quot;,&quot;axisShow&quot;:false,&quot;labelShow&quot;:true,&quot;labelSuffix&quot;:&quot;&quot;,&quot;name&quot;:&quot;&quot;,&quot;range&quot;:[],&quot;stepOfLabel&quot;:&quot;&quot;}},&quot;backgroundColor&quot;:&quot;&quot;,&quot;colors&quot;:{&quot;colorControlers&quot;:[&quot;multiple&quot;],&quot;list&quot;:[0,1],&quot;type&quot;:&quot;multiple&quot;},&quot;display&quot;:{&quot;bar4CornerRadius&quot;:[0,0,0,0],&quot;barWidthPercent&quot;:&quot;0.7&quot;,&quot;barborderColor&quot;:&quot;#ffffffff&quot;,&quot;barborderWidth&quot;:2,&quot;fillOpacity&quot;:1},&quot;font&quot;:{&quot;color&quot;:&quot;#545454&quot;,&quot;fontFamily&quot;:&quot;阿里巴巴普惠体 常规&quot;,&quot;fontSize&quot;:&quot;14&quot;},&quot;label&quot;:{&quot;display&quot;:false,&quot;positionChoice&quot;:&quot;上面&quot;,&quot;positionOptions&quot;:[&quot;上面&quot;,&quot;内部居下&quot;],&quot;suffix&quot;:&quot;&quot;,&quot;textLabel&quot;:{&quot;color&quot;:&quot;#545454&quot;,&quot;fontFamily&quot;:&quot;阿里巴巴普惠体 常规&quot;,&quot;fontSize&quot;:&quot;14&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false,&quot;name&quot;:&quot;X轴对象&quot;},{&quot;allowType&quot;:[&quot;number&quot;],&quot;configurable&quot;:true,&quot;function&quot;:&quot;vCol&quot;,&quot;index&quot;:1,&quot;isLegend&quot;:false,&quot;name&quot;:&quot;数值列&quot;},{&quot;allowType&quot;:[&quot;number&quot;],&quot;configurable&quot;:true,&quot;function&quot;:&quot;vCol&quot;,&quot;index&quot;:2,&quot;isLegend&quot;:false,&quot;name&quot;:&quot;数值列&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09,&quot;ratio&quot;:&quot;&quot;,&quot;rotate&quot;:0,&quot;width&quot;:402},&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28&quot;,&quot;lineHeight&quot;:&quot;10&quot;,&quot;show&quot;:false,&quot;text&quot;:&quot;2010-2016年一线城市房价情况&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true,&quot;text&quot;:&quot; &quot;,&quot;xPosition&quot;:&quot;left&quot;,&quot;yPosition&quot;:&quot;top&quot;},&quot;watermarkDisplay&quot;:{&quot;imgHeight&quot;:&quot;80&quot;,&quot;imgUrl&quot;:&quot;https://ss1.dycharts.com/newchartWatermark.png&quot;,&quot;imgWidth&quot;:&quot;80&quot;,&quot;show&quot;:false}},&quot;templateId&quot;:&quot;3612096174443311105-3&quot;,&quot;templateSwitch&quot;:&quot;cross&quot;,&quot;theme&quot;:{&quot;_id&quot;:18,&quot;axis&quot;:{&quot;color&quot;:&quot;#a1a1a1 &quot;},&quot;backgroundColor&quot;:&quot;#FFFFFF&quot;,&quot;colors&quot;:[&quot;#7d97bfff&quot;,&quot;#FFA500ff&quot;,&quot;#556280ff&quot;,&quot;#7d97bfff&quot;,&quot;#FFA500ff&quot;,&quot;#556280ff&quot;,&quot;#7d97bfff&quot;,&quot;#FFA500ff&quot;,&quot;#556280ff&quot;,&quot;#7d97bfff&quot;,&quot;#FFA500ff&quot;,&quot;#556280ff&quot;,&quot;#7d97bfff&quot;,&quot;#FFA500ff&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36&quot;}},&quot;thumb&quot;:&quot;//web.docer.wpscdn.cn/docer/ds-page/images/3612096174443311105-3.png&quot;,&quot;title&quot;:&quot;分组柱状图&quot;,&quot;type&quot;:&quot;chart&quot;},&quot;dschart_id&quot;:&quot;3612096174443311105-3&quot;,&quot;flag&quot;:&quot;1003&quot;,&quot;id&quot;:&quot;&quot;}"/>
    <wpswe:property key="isUseCommonErrorPage" value="false"/>
    <wpswe:property key="loadingImage" value="res:/icons/DsWebShapeDefaultPage.svg"/>
  </wpswe:properties>
  <wpswe:watchingCache>
    <wpswe:linkPath>C:/Users/Administrator/AppData/Local/Temp/wps.EgLzXa/Workbook3.xlsx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https://clientweb.docer.wps.cn/ds/1.0.0/webShapeView?id=&amp;dschart_id=3612096174443311105-3&amp;from=taskbar_default&amp;productEntry=toolbar&amp;sceneEntry=tosobc_column&amp;flag=1003</wpswe:url>
  <wpswe:constantSnapshot>false</wpswe:constantSnapshot>
</wpswe:webExtension>
</file>

<file path=word/webExtensions/webExtension4.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0708166709743559&quot;,&quot;chart_type&quot;:&quot;柱状图&quot;,&quot;classifty_type&quot;:[&quot;比较类&quot;],&quot;dataSrc&quot;:{&quot;data&quot;:[[[&quot;时间&quot;,&quot;金额（万元）&quot;],[&quot;2021&quot;,&quot;2108.93&quot;],[&quot;2022&quot;,&quot;1805.08&quot;]]],&quot;dataType&quot;:&quot;obejct-table&quot;,&quot;download&quot;:false,&quot;srcType&quot;:&quot;local&quot;,&quot;url&quot;:&quot;&quot;},&quot;function_type&quot;:[&quot;柱形图&quot;],&quot;gif&quot;:&quot;//web.docer.wpscdn.cn/docer/ds-page/images/444734748594536323.gif?imageView2/2/w/500/quality/90&quot;,&quot;isFree&quot;:&quot;0&quot;,&quot;label&quot;:&quot;&lt;e-barbasic-chart&gt;&quot;,&quot;projectId&quot;:&quot;160732933154413062&quot;,&quot;props&quot;:{&quot;animation&quot;:{&quot;duration&quot;:&quot;2&quot;,&quot;easeStyle&quot;:&quot;&quot;,&quot;endPause&quot;:&quot;1&quot;,&quot;moveOptions&quot;:[&quot;纵向同步拉伸&quot;,&quot;纵向依次拉伸&quot;,&quot;横向同步展开&quot;,&quot;横向依次展开&quot;],&quot;moveStyle&quot;:&quot;纵向同步拉伸&quot;,&quot;startDelay&quot;:&quot;0&quot;,&quot;transition&quot;:true},&quot;axis&quot;:{&quot;color&quot;:&quot;#a1a1a1&quot;,&quot;grid&quot;:{&quot;color&quot;:&quot;#ccc&quot;,&quot;gridLineWidth&quot;:&quot;1&quot;,&quot;lineStyle&quot;:&quot;dashline&quot;,&quot;show&quot;:&quot;none&quot;},&quot;x&quot;:{&quot;axisColor&quot;:&quot;#bfbfbf&quot;,&quot;axisLineWidth&quot;:&quot;1&quot;,&quot;axisShow&quot;:false,&quot;labelAngle&quot;:&quot;0&quot;,&quot;labelDirection&quot;:&quot;自动&quot;,&quot;labelDirectionOptions&quot;:[&quot;自动&quot;,&quot;横排&quot;,&quot;竖排&quot;],&quot;labelShow&quot;:true,&quot;name&quot;:&quot;&quot;},&quot;y&quot;:{&quot;axisColor&quot;:&quot;#bfbfbf&quot;,&quot;axisLineWidth&quot;:&quot;1&quot;,&quot;axisShow&quot;:false,&quot;labelShow&quot;:false,&quot;labelSuffix&quot;:&quot;&quot;,&quot;name&quot;:&quot;&quot;,&quot;range&quot;:[],&quot;stepOfLabel&quot;:&quot;&quot;}},&quot;backgroundColor&quot;:&quot;&quot;,&quot;colors&quot;:{&quot;colorControlers&quot;:[&quot;single&quot;,&quot;multiple&quot;,&quot;linear&quot;],&quot;list&quot;:[3,0],&quot;type&quot;:&quot;linear&quot;},&quot;display&quot;:{&quot;bar4CornerRadius&quot;:[18,18,18,18],&quot;barWidthPercent&quot;:&quot;0.5&quot;,&quot;borderColor&quot;:&quot;&quot;,&quot;borderWidth&quot;:&quot;0&quot;,&quot;fillOpacity&quot;:&quot;1&quot;},&quot;font&quot;:{&quot;color&quot;:&quot;#333333ff&quot;,&quot;fontFamily&quot;:&quot;阿里巴巴普惠体 常规&quot;,&quot;fontSize&quot;:16},&quot;label&quot;:{&quot;display&quot;:true,&quot;positionChoice&quot;:&quot;上面&quot;,&quot;positionOptions&quot;:[&quot;上面&quot;,&quot;内部居下&quot;],&quot;suffix&quot;:&quot;&quot;,&quot;textLabel&quot;:{&quot;color&quot;:&quot;#333333ff&quot;,&quot;fontFamily&quot;:&quot;阿里巴巴普惠体 常规&quot;,&quot;fontSize&quot;:16}},&quot;legend&quot;:{&quot;color&quot;:[&quot;#545454&quot;],&quot;fontFamily&quot;:[&quot;黑体&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301.8181818181818,&quot;ratio&quot;:&quot;&quot;,&quot;rotate&quot;:0,&quot;width&quot;:567.2727272727273},&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黑体&quot;,&quot;fontSize&quot;:&quot;36&quot;,&quot;lineHeight&quot;:&quot;10&quot;,&quot;show&quot;:false,&quot;text&quot;:&quot;2018年全国各地区销售额情况&quot;,&quot;totalHeight&quot;:&quot;39&quot;,&quot;xPosition&quot;:&quot;left&quot;,&quot;yPosition&quot;:&quot;top&quot;},&quot;tooltip&quot;:true,&quot;unitDisplay&quot;:{&quot;bottomLineHeight&quot;:&quot;15&quot;,&quot;color&quot;:&quot;#878787&quot;,&quot;fontFamily&quot;:&quot;黑体&quot;,&quot;fontSize&quot;:&quot;14&quot;,&quot;show&quot;:false,&quot;text&quot;:&quot;单位：万元&quot;,&quot;xPosition&quot;:&quot;left&quot;,&quot;yPosition&quot;:&quot;top&quot;},&quot;watermarkDisplay&quot;:{&quot;imgHeight&quot;:&quot;80&quot;,&quot;imgUrl&quot;:&quot;https://ss1.dycharts.com/newchartWatermark.png&quot;,&quot;imgWidth&quot;:&quot;80&quot;,&quot;show&quot;:false}},&quot;templateId&quot;:&quot;444734748594536323-2&quot;,&quot;templateSwitch&quot;:&quot;key-value&quot;,&quot;theme&quot;:{&quot;_id&quot;:18,&quot;axis&quot;:{&quot;color&quot;:&quot;#a1a1a1 &quot;},&quot;backgroundColor&quot;:&quot;#FFFFFF&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阿里巴巴普惠体 常规&quot;,&quot;fontSize&quot;:&quot;14&quot;},&quot;grid&quot;:{&quot;color&quot;:&quot;#cccccc&quot;},&quot;id&quot;:&quot;17&quot;,&quot;name&quot;:&quot;默认主题&quot;,&quot;price&quot;:&quot;0.0&quot;,&quot;shapeColor&quot;:1,&quot;themeId&quot;:&quot;18&quot;,&quot;thumb&quot;:&quot;https://ss1.dydata.io/v2/themes/17.png&quot;,&quot;titleFont&quot;:{&quot;color&quot;:&quot;#4c4c4c&quot;,&quot;fontFamily&quot;:&quot;阿里巴巴普惠体 常规&quot;,&quot;fontSize&quot;:&quot;18&quot;}},&quot;thumb&quot;:&quot;//web.docer.wpscdn.cn/docer/ds-page/images/444734748594536323-2.png&quot;,&quot;title&quot;:&quot;基础柱状图&quot;,&quot;type&quot;:&quot;chart&quot;},&quot;dschart_id&quot;:&quot;444734748594536323-2&quot;}"/>
    <wpswe:property key="isUseCommonErrorPage" value="false"/>
    <wpswe:property key="loadingImage" value="res:/icons/DsWebShapeDefaultPage.svg"/>
  </wpswe:properties>
  <wpswe:watchingCache>
    <wpswe:linkPath>C:/Users/Administrator/AppData/Local/Temp/wps.eKFHQi/Workbook4.xlsx</wpswe:linkPath>
  </wpswe:watchingCache>
  <wpswe:snapshot xmlns:r="http://schemas.openxmlformats.org/officeDocument/2006/relationships" r:embed="rId2"/>
  <wpswe:externalData xmlns:r="http://schemas.openxmlformats.org/officeDocument/2006/relationships" r:id="rId1"/>
  <wpswe:url>https://clientweb.docer.wps.cn/ds/1.0.0/webShapeView?id=45&amp;dschart_id=154772011302084304&amp;from=resource&amp;productEntry=docers&amp;sceneEntry=docrec&amp;flag=1003</wpswe:url>
  <wpswe:constantSnapshot>false</wpswe:constantSnapshot>
</wpswe:webExtension>
</file>

<file path=word/webExtensions/webExtension5.xml><?xml version="1.0" encoding="utf-8"?>
<wpswe:webExtension xmlns:wpswe="http://www.wps.cn/officeDocument/2018/webExtension">
  <wpswe:extSource id="dschart" version="1.0"/>
  <wpswe:properties>
    <wpswe:property key="DiscardFirstCodeChange" value="0"/>
    <wpswe:property key="autoSnapshot" value="0"/>
    <wpswe:property key="dschart" value="{&quot;dschart_data&quot;:{&quot;blockId&quot;:&quot;164699681860417958&quot;,&quot;chart_type&quot;:&quot;饼图&quot;,&quot;classifty_type&quot;:[&quot;占比类&quot;],&quot;dataSrc&quot;:{&quot;data&quot;:[[[&quot;项目&quot;,&quot;占比（%）&quot;],[&quot;教育支出&quot;,&quot;99.07&quot;],[&quot;社会保障和就业支出&quot;,&quot;0.46&quot;],[&quot;卫生健康支出&quot;,&quot;0.47&quot;]]],&quot;dataType&quot;:&quot;obejct-table&quot;,&quot;download&quot;:false,&quot;srcType&quot;:&quot;local&quot;,&quot;url&quot;:&quot;&quot;},&quot;function_type&quot;:[&quot;饼图&quot;],&quot;gif&quot;:&quot;https://image.dycharts.com/444746070325460997.gif?imageView2/2/w/500/quality/90&quot;,&quot;isFree&quot;:&quot;0&quot;,&quot;label&quot;:&quot;&lt;e-piebasic-chart&gt;&quot;,&quot;position&quot;:{&quot;left&quot;:0,&quot;top&quot;:0},&quot;price&quot;:0,&quot;projectId&quot;:&quot;164758893425733001&quot;,&quot;props&quot;:{&quot;animation&quot;:{&quot;duration&quot;:&quot;1.5&quot;,&quot;easeStyle&quot;:&quot;&quot;,&quot;endPause&quot;:&quot;1&quot;,&quot;moveOptions&quot;:[&quot;轮子&quot;,&quot;百叶窗&quot;,&quot;折扇&quot;,&quot;径向展开&quot;],&quot;moveStyle&quot;:&quot;轮子&quot;,&quot;startDelay&quot;:&quot;0&quot;,&quot;transition&quot;:true},&quot;backgroundColor&quot;:&quot;#FFFFFF&quot;,&quot;colors&quot;:{&quot;colorControlers&quot;:[&quot;multiple&quot;,&quot;linear&quot;],&quot;list&quot;:[0,1,2],&quot;type&quot;:&quot;multiple&quot;},&quot;display&quot;:{&quot;borderColor&quot;:&quot;#222222ff&quot;,&quot;borderWidth&quot;:1.5,&quot;cornerRadius&quot;:0,&quot;fillOpacity&quot;:&quot;1&quot;,&quot;gapPercentage&quot;:&quot;0&quot;,&quot;innerRadiusRatio&quot;:&quot;0&quot;},&quot;label&quot;:{&quot;contentChoice&quot;:[&quot;名称&quot;,&quot;百分比&quot;],&quot;contentOption&quot;:[&quot;名称&quot;,&quot;百分比&quot;,&quot;数值&quot;],&quot;display&quot;:true,&quot;positionChoice&quot;:&quot;外部&quot;,&quot;positionOptions&quot;:[&quot;内部周向&quot;,&quot;内部水平&quot;,&quot;外部&quot;],&quot;suffix&quot;:&quot;&quot;,&quot;textLabel&quot;:{&quot;color&quot;:&quot;#545454&quot;,&quot;fontFamily&quot;:&quot;OPPOSans-M&quot;,&quot;fontSize&quot;:&quot;15&quot;}},&quot;legend&quot;:{&quot;color&quot;:[&quot;#545454&quot;],&quot;fontFamily&quot;:&quot;阿里巴巴普惠体 常规&quot;,&quot;fontSize&quot;:&quot;14&quot;,&quot;lineHeight&quot;:&quot;15&quot;,&quot;show&quot;:true,&quot;style&quot;:&quot;&quot;,&quot;styleOptions&quot;:[],&quot;xPosition&quot;:&quot;center&quot;,&quot;yPosition&quot;:&quot;bottom&quot;},&quot;logoDisplay&quot;:{&quot;bottomLineHeight&quot;:&quot;15&quot;,&quot;imgHeight&quot;:&quot;32&quot;,&quot;imgUrl&quot;:&quot;https://ss1.dycharts.com/newchartLogo.png&quot;,&quot;show&quot;:false,&quot;topLineHeight&quot;:&quot;11&quot;},&quot;map&quot;:[[{&quot;allowType&quot;:[&quot;string&quot;],&quot;configurable&quot;:false,&quot;function&quot;:&quot;objCol&quot;,&quot;index&quot;:0,&quot;isLegend&quot;:true,&quot;name&quot;:&quot;名称&quot;},{&quot;allowType&quot;:[&quot;number&quot;],&quot;configurable&quot;:false,&quot;function&quot;:&quot;vCol&quot;,&quot;index&quot;:1,&quot;isLegend&quot;:false,&quot;name&quot;:&quot;值&quot;}]],&quot;numberFormat&quot;:{&quot;decimalPlaces&quot;:&quot;&quot;,&quot;style&quot;:&quot;1000.00&quot;},&quot;paddings&quot;:{&quot;bottom&quot;:&quot;23&quot;,&quot;chartBottom&quot;:&quot;5&quot;,&quot;left&quot;:&quot;24&quot;,&quot;right&quot;:&quot;24&quot;,&quot;top&quot;:&quot;20&quot;},&quot;publishDisplay&quot;:{&quot;color&quot;:&quot;#878787&quot;,&quot;fontFamily&quot;:&quot;阿里巴巴普惠体 常规&quot;,&quot;fontSize&quot;:&quot;14&quot;,&quot;show&quot;:false,&quot;text&quot;:&quot;镝数出品&quot;},&quot;shadow&quot;:{&quot;display&quot;:false,&quot;shadowAngle&quot;:&quot;45&quot;,&quot;shadowBlur&quot;:&quot;5&quot;,&quot;shadowColor&quot;:&quot;#c6c6c6&quot;,&quot;shadowOpacity&quot;:&quot;100&quot;,&quot;shadowRadius&quot;:&quot;3&quot;},&quot;size&quot;:{&quot;height&quot;:287.27272727272725,&quot;ratio&quot;:&quot;&quot;,&quot;rotate&quot;:0,&quot;width&quot;:647.2727272727273},&quot;sourceDisplay&quot;:{&quot;color&quot;:&quot;#878787&quot;,&quot;fontFamily&quot;:&quot;阿里巴巴普惠体 常规&quot;,&quot;fontSize&quot;:&quot;14&quot;,&quot;show&quot;:false,&quot;text&quot;:&quot;数据来源：示例数据&quot;,&quot;topLineHeight&quot;:&quot;15&quot;,&quot;xPosition&quot;:&quot;left&quot;,&quot;yPosition&quot;:&quot;bottom&quot;},&quot;titleDisplay&quot;:{&quot;color&quot;:&quot;#4c4c4c&quot;,&quot;fontFamily&quot;:&quot;阿里巴巴普惠体 常规&quot;,&quot;fontSize&quot;:&quot;30&quot;,&quot;lineHeight&quot;:&quot;10&quot;,&quot;show&quot;:false,&quot;text&quot;:&quot;中国网红受教育水平&quot;,&quot;totalHeight&quot;:&quot;39&quot;,&quot;xPosition&quot;:&quot;center&quot;,&quot;yPosition&quot;:&quot;top&quot;},&quot;tooltip&quot;:true,&quot;unitDisplay&quot;:{&quot;bottomLineHeight&quot;:&quot;15&quot;,&quot;color&quot;:&quot;#878787&quot;,&quot;fontFamily&quot;:&quot;阿里巴巴普惠体 常规&quot;,&quot;fontSize&quot;:&quot;14&quot;,&quot;show&quot;:false,&quot;text&quot;:&quot; &quot;,&quot;xPosition&quot;:&quot;left&quot;,&quot;yPosition&quot;:&quot;top&quot;},&quot;watermarkDisplay&quot;:{&quot;imgHeight&quot;:&quot;80&quot;,&quot;imgUrl&quot;:&quot;https://ss1.dycharts.com/newchartWatermark.png&quot;,&quot;imgWidth&quot;:&quot;80&quot;,&quot;show&quot;:false}},&quot;templateId&quot;:&quot;444746070325460997-3&quot;,&quot;templateSwitch&quot;:&quot;key-value&quot;,&quot;theme&quot;:{&quot;_id&quot;:18,&quot;axis&quot;:{&quot;color&quot;:&quot;#a1a1a1&quot;},&quot;backgroundColor&quot;:&quot;#FFFFFF&quot;,&quot;card_color&quot;:&quot;#FAFAFA&quot;,&quot;colors&quot;:[&quot;#5AAEF3&quot;,&quot;#62D9AD&quot;,&quot;#5B6E96&quot;,&quot;#a8dffa&quot;,&quot;#ffdc4c&quot;,&quot;#FF974C&quot;,&quot;#E65A56&quot;,&quot;#6D61E4&quot;,&quot;#4A6FE2&quot;,&quot;#6D9AE7&quot;,&quot;#23C2DB&quot;,&quot;#D4EC59&quot;,&quot;#FFE88E&quot;,&quot;#FEB64D&quot;,&quot;#FB6E6C&quot;],&quot;fonts&quot;:{&quot;accessoryColor&quot;:&quot;#878787&quot;,&quot;color&quot;:&quot;#545454&quot;,&quot;fontFamily&quot;:&quot;阿里巴巴普惠体 常规&quot;,&quot;fontSize&quot;:&quot;14&quot;},&quot;grid&quot;:{&quot;color&quot;:&quot;#ccc&quot;},&quot;name&quot;:&quot;默认主题&quot;,&quot;price&quot;:&quot;0.0&quot;,&quot;shapeColor&quot;:1,&quot;themeId&quot;:&quot;18&quot;,&quot;thumb&quot;:&quot;https://ss1.dydata.io/v2/themes/18.png&quot;,&quot;titleFont&quot;:{&quot;color&quot;:&quot;#4c4c4c&quot;,&quot;fontFamily&quot;:&quot;阿里巴巴普惠体 常规&quot;,&quot;fontSize&quot;:&quot;36&quot;},&quot;typeDycharts&quot;:{}},&quot;thumb&quot;:&quot;//web.docer.wpscdn.cn/docer/ds-page/images/444746070325460997-3.png&quot;,&quot;title&quot;:&quot;基础饼图&quot;,&quot;type&quot;:&quot;chart&quot;},&quot;dschart_id&quot;:&quot;444746070325460997-3&quot;,&quot;flag&quot;:&quot;1003&quot;}"/>
    <wpswe:property key="isUseCommonErrorPage" value="false"/>
    <wpswe:property key="loadingImage" value="res:/icons/DsWebShapeDefaultPage.svg"/>
  </wpswe:properties>
  <wpswe:watchingCache>
    <wpswe:linkPath>C:/Users/Administrator/AppData/Local/Temp/wps.ZZQxpI/Workbook6.xlsx</wpswe:linkPath>
  </wpswe:watchingCache>
  <wpswe:snapshot xmlns:r="http://schemas.openxmlformats.org/officeDocument/2006/relationships" r:embed="rId2"/>
  <wpswe:externalData xmlns:r="http://schemas.openxmlformats.org/officeDocument/2006/relationships" r:id="rId1"/>
  <wpswe:url>https://clientweb.docer.wps.cn/ds/1.0.0/webShapeView?id=&amp;dschart_id=444746070325460997-3&amp;from=taskbar_default&amp;productEntry=toolbar&amp;sceneEntry=tosobc_pie&amp;flag=1003</wpswe:url>
  <wpswe:constantSnapshot>false</wpswe:constantSnapshot>
</wps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43</Pages>
  <Words>14049</Words>
  <Characters>14542</Characters>
  <Lines>61</Lines>
  <Paragraphs>17</Paragraphs>
  <TotalTime>0</TotalTime>
  <ScaleCrop>false</ScaleCrop>
  <LinksUpToDate>false</LinksUpToDate>
  <CharactersWithSpaces>14666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2023-09-11T02:05:00Z</cp:lastPrinted>
  <dcterms:modified xsi:type="dcterms:W3CDTF">2023-10-15T06:07:23Z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689E2858E80845B5B88485ADF22A54CF_13</vt:lpwstr>
  </property>
</Properties>
</file>