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Extensions/webExtension1.xml" ContentType="application/vnd.wps-officedocument.webExtension+xml"/>
  <Override PartName="/word/webExtensions/webExtension2.xml" ContentType="application/vnd.wps-officedocument.webExtension+xml"/>
  <Override PartName="/word/webExtensions/webExtension3.xml" ContentType="application/vnd.wps-officedocument.webExtension+xml"/>
  <Override PartName="/word/webExtensions/webExtension4.xml" ContentType="application/vnd.wps-officedocument.webExtension+xml"/>
  <Override PartName="/word/webExtensions/webExtension5.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77425"/>
      <w:bookmarkStart w:id="3" w:name="_Toc15377193"/>
      <w:bookmarkStart w:id="4" w:name="_Toc15396475"/>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广元市利州区</w:t>
      </w:r>
      <w:r>
        <w:rPr>
          <w:rFonts w:hint="eastAsia" w:ascii="方正小标宋简体" w:hAnsi="方正小标宋简体" w:eastAsia="方正小标宋简体" w:cs="方正小标宋简体"/>
          <w:color w:val="auto"/>
          <w:sz w:val="72"/>
          <w:szCs w:val="72"/>
          <w:highlight w:val="none"/>
          <w:lang w:eastAsia="zh-CN"/>
        </w:rPr>
        <w:t>江北</w:t>
      </w:r>
      <w:r>
        <w:rPr>
          <w:rFonts w:hint="eastAsia" w:ascii="方正小标宋简体" w:hAnsi="方正小标宋简体" w:eastAsia="方正小标宋简体" w:cs="方正小标宋简体"/>
          <w:color w:val="auto"/>
          <w:sz w:val="72"/>
          <w:szCs w:val="72"/>
          <w:highlight w:val="none"/>
        </w:rPr>
        <w:t>小学</w:t>
      </w:r>
    </w:p>
    <w:p>
      <w:pPr>
        <w:widowControl/>
        <w:jc w:val="center"/>
        <w:rPr>
          <w:rFonts w:ascii="方正小标宋简体" w:hAnsi="宋体" w:eastAsia="方正小标宋简体"/>
          <w:color w:val="auto"/>
          <w:sz w:val="36"/>
          <w:szCs w:val="36"/>
          <w:highlight w:val="none"/>
        </w:rPr>
      </w:pPr>
      <w:bookmarkStart w:id="6" w:name="_Toc19089860"/>
      <w:r>
        <w:rPr>
          <w:rFonts w:hint="eastAsia" w:ascii="方正小标宋简体" w:hAnsi="宋体" w:eastAsia="方正小标宋简体"/>
          <w:sz w:val="72"/>
          <w:szCs w:val="72"/>
        </w:rPr>
        <w:t>部门决算</w:t>
      </w:r>
      <w:bookmarkEnd w:id="6"/>
    </w:p>
    <w:p>
      <w:pPr>
        <w:widowControl/>
        <w:jc w:val="center"/>
        <w:rPr>
          <w:rFonts w:ascii="方正小标宋简体" w:hAnsi="宋体" w:eastAsia="方正小标宋简体"/>
          <w:color w:val="auto"/>
          <w:sz w:val="36"/>
          <w:szCs w:val="36"/>
          <w:highlight w:val="none"/>
        </w:rPr>
      </w:pPr>
    </w:p>
    <w:p>
      <w:pPr>
        <w:widowControl/>
        <w:jc w:val="center"/>
        <w:rPr>
          <w:rFonts w:ascii="方正小标宋简体" w:hAnsi="宋体" w:eastAsia="方正小标宋简体"/>
          <w:color w:val="auto"/>
          <w:sz w:val="36"/>
          <w:szCs w:val="36"/>
          <w:highlight w:val="none"/>
        </w:rPr>
      </w:pPr>
    </w:p>
    <w:p>
      <w:pPr>
        <w:pStyle w:val="2"/>
      </w:pP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p>
    <w:p>
      <w:pPr>
        <w:rPr>
          <w:color w:val="auto"/>
          <w:highlight w:val="none"/>
        </w:rPr>
      </w:pPr>
    </w:p>
    <w:p>
      <w:pPr>
        <w:keepNext w:val="0"/>
        <w:keepLines w:val="0"/>
        <w:pageBreakBefore w:val="0"/>
        <w:widowControl/>
        <w:numPr>
          <w:ilvl w:val="0"/>
          <w:numId w:val="1"/>
        </w:numPr>
        <w:kinsoku/>
        <w:wordWrap/>
        <w:overflowPunct/>
        <w:topLinePunct w:val="0"/>
        <w:autoSpaceDE/>
        <w:autoSpaceDN/>
        <w:bidi w:val="0"/>
        <w:adjustRightInd/>
        <w:snapToGrid w:val="0"/>
        <w:spacing w:line="54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单位</w:t>
      </w:r>
      <w:r>
        <w:rPr>
          <w:rFonts w:hint="eastAsia" w:ascii="仿宋" w:hAnsi="仿宋" w:eastAsia="仿宋" w:cs="仿宋"/>
          <w:sz w:val="28"/>
          <w:szCs w:val="28"/>
        </w:rPr>
        <w:t>概况</w:t>
      </w:r>
    </w:p>
    <w:p>
      <w:pPr>
        <w:keepNext w:val="0"/>
        <w:keepLines w:val="0"/>
        <w:pageBreakBefore w:val="0"/>
        <w:widowControl/>
        <w:numPr>
          <w:ilvl w:val="0"/>
          <w:numId w:val="1"/>
        </w:numPr>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rPr>
        <w:t>一、</w:t>
      </w:r>
      <w:r>
        <w:rPr>
          <w:rFonts w:hint="eastAsia" w:ascii="仿宋" w:hAnsi="仿宋" w:eastAsia="仿宋" w:cs="仿宋"/>
          <w:sz w:val="28"/>
          <w:szCs w:val="28"/>
          <w:lang w:eastAsia="zh-CN"/>
        </w:rPr>
        <w:t>主要职责</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lang w:eastAsia="zh-CN"/>
        </w:rPr>
        <w:t>二</w:t>
      </w:r>
      <w:r>
        <w:rPr>
          <w:rFonts w:hint="eastAsia" w:ascii="仿宋" w:hAnsi="仿宋" w:eastAsia="仿宋" w:cs="仿宋"/>
          <w:sz w:val="28"/>
          <w:szCs w:val="28"/>
        </w:rPr>
        <w:t>、</w:t>
      </w:r>
      <w:r>
        <w:rPr>
          <w:rFonts w:hint="eastAsia" w:ascii="仿宋" w:hAnsi="仿宋" w:eastAsia="仿宋" w:cs="仿宋"/>
          <w:sz w:val="28"/>
          <w:szCs w:val="28"/>
          <w:lang w:eastAsia="zh-CN"/>
        </w:rPr>
        <w:t>机构设置</w:t>
      </w:r>
      <w:r>
        <w:rPr>
          <w:rFonts w:hint="eastAsia" w:ascii="仿宋" w:hAnsi="仿宋" w:eastAsia="仿宋" w:cs="仿宋"/>
          <w:sz w:val="28"/>
          <w:szCs w:val="28"/>
        </w:rPr>
        <w:t>第二部分</w:t>
      </w:r>
      <w:r>
        <w:rPr>
          <w:rFonts w:hint="eastAsia" w:ascii="仿宋" w:hAnsi="仿宋" w:eastAsia="仿宋" w:cs="仿宋"/>
          <w:sz w:val="28"/>
          <w:szCs w:val="28"/>
          <w:lang w:val="en-US" w:eastAsia="zh-CN"/>
        </w:rPr>
        <w:t xml:space="preserve"> 2022年度</w:t>
      </w:r>
      <w:r>
        <w:rPr>
          <w:rFonts w:hint="eastAsia" w:ascii="仿宋" w:hAnsi="仿宋" w:eastAsia="仿宋" w:cs="仿宋"/>
          <w:sz w:val="28"/>
          <w:szCs w:val="28"/>
          <w:lang w:eastAsia="zh-CN"/>
        </w:rPr>
        <w:t>单位</w:t>
      </w:r>
      <w:r>
        <w:rPr>
          <w:rFonts w:hint="eastAsia" w:ascii="仿宋" w:hAnsi="仿宋" w:eastAsia="仿宋" w:cs="仿宋"/>
          <w:sz w:val="28"/>
          <w:szCs w:val="28"/>
        </w:rPr>
        <w:t>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一、收入支出决算总体情况说明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二、收入决算情况说明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rPr>
        <w:t>三、支出决算情况说明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四、财政拨款收入支出决算总体情况说明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六、一般公共预算财政拨款基本支出决算情况说明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七、财政拨款</w:t>
      </w:r>
      <w:r>
        <w:rPr>
          <w:rFonts w:hint="eastAsia" w:ascii="仿宋" w:hAnsi="仿宋" w:eastAsia="仿宋" w:cs="仿宋"/>
          <w:sz w:val="28"/>
          <w:szCs w:val="28"/>
          <w:lang w:eastAsia="zh-CN"/>
        </w:rPr>
        <w:t>“</w:t>
      </w:r>
      <w:r>
        <w:rPr>
          <w:rFonts w:hint="eastAsia" w:ascii="仿宋" w:hAnsi="仿宋" w:eastAsia="仿宋" w:cs="仿宋"/>
          <w:sz w:val="28"/>
          <w:szCs w:val="28"/>
        </w:rPr>
        <w:t>三公”经费支出决算情况说明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八、政府性基金预算支出决算情况说明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九、国有资本经营预算支出决算情况说明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rPr>
        <w:t>十、其他重要事项的情况说明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第三部分 名词解释</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第四部分 附件</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部门预算项目支出绩效自评表（2022年度）</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第五部分 附表</w:t>
      </w:r>
    </w:p>
    <w:p>
      <w:pPr>
        <w:pStyle w:val="11"/>
        <w:adjustRightInd w:val="0"/>
        <w:snapToGrid w:val="0"/>
        <w:spacing w:line="44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一、收入支出决算总表</w:t>
      </w:r>
    </w:p>
    <w:p>
      <w:pPr>
        <w:pStyle w:val="11"/>
        <w:adjustRightInd w:val="0"/>
        <w:snapToGrid w:val="0"/>
        <w:spacing w:line="44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二、收入决算表</w:t>
      </w:r>
    </w:p>
    <w:p>
      <w:pPr>
        <w:pStyle w:val="11"/>
        <w:adjustRightInd w:val="0"/>
        <w:snapToGrid w:val="0"/>
        <w:spacing w:line="44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三、支出决算表</w:t>
      </w:r>
    </w:p>
    <w:p>
      <w:pPr>
        <w:pStyle w:val="11"/>
        <w:adjustRightInd w:val="0"/>
        <w:snapToGrid w:val="0"/>
        <w:spacing w:line="44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四、财政拨款收入支出决算总表</w:t>
      </w:r>
    </w:p>
    <w:p>
      <w:pPr>
        <w:pStyle w:val="11"/>
        <w:adjustRightInd w:val="0"/>
        <w:snapToGrid w:val="0"/>
        <w:spacing w:line="44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五、财政拨款支出决算明细表</w:t>
      </w:r>
    </w:p>
    <w:p>
      <w:pPr>
        <w:pStyle w:val="11"/>
        <w:adjustRightInd w:val="0"/>
        <w:snapToGrid w:val="0"/>
        <w:spacing w:line="44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六、一般公共预算财政拨款支出决算表</w:t>
      </w:r>
    </w:p>
    <w:p>
      <w:pPr>
        <w:pStyle w:val="11"/>
        <w:adjustRightInd w:val="0"/>
        <w:snapToGrid w:val="0"/>
        <w:spacing w:line="44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七、一般公共预算财政拨款支出决算明细表</w:t>
      </w:r>
    </w:p>
    <w:p>
      <w:pPr>
        <w:pStyle w:val="11"/>
        <w:adjustRightInd w:val="0"/>
        <w:snapToGrid w:val="0"/>
        <w:spacing w:line="44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八、一般公共预算财政拨款基本支出决算</w:t>
      </w:r>
      <w:r>
        <w:rPr>
          <w:rFonts w:hint="eastAsia" w:ascii="仿宋" w:hAnsi="仿宋" w:eastAsia="仿宋" w:cs="仿宋"/>
          <w:color w:val="auto"/>
          <w:sz w:val="28"/>
          <w:szCs w:val="28"/>
          <w:highlight w:val="none"/>
          <w:lang w:eastAsia="zh-CN"/>
        </w:rPr>
        <w:t>明细</w:t>
      </w:r>
      <w:r>
        <w:rPr>
          <w:rFonts w:hint="eastAsia" w:ascii="仿宋" w:hAnsi="仿宋" w:eastAsia="仿宋" w:cs="仿宋"/>
          <w:color w:val="auto"/>
          <w:sz w:val="28"/>
          <w:szCs w:val="28"/>
          <w:highlight w:val="none"/>
        </w:rPr>
        <w:t>表</w:t>
      </w:r>
    </w:p>
    <w:p>
      <w:pPr>
        <w:pStyle w:val="11"/>
        <w:adjustRightInd w:val="0"/>
        <w:snapToGrid w:val="0"/>
        <w:spacing w:line="44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九、一般公共预算财政拨款项目支出决算表</w:t>
      </w:r>
    </w:p>
    <w:p>
      <w:pPr>
        <w:pStyle w:val="11"/>
        <w:adjustRightInd w:val="0"/>
        <w:snapToGrid w:val="0"/>
        <w:spacing w:line="44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十、政府性基金预算财政拨款收入支出决算表</w:t>
      </w:r>
    </w:p>
    <w:p>
      <w:pPr>
        <w:pStyle w:val="11"/>
        <w:adjustRightInd w:val="0"/>
        <w:snapToGrid w:val="0"/>
        <w:spacing w:line="44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十一、国有资本经营预算财政拨款收入支出决算表</w:t>
      </w:r>
    </w:p>
    <w:p>
      <w:pPr>
        <w:pStyle w:val="11"/>
        <w:adjustRightInd w:val="0"/>
        <w:snapToGrid w:val="0"/>
        <w:spacing w:line="44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十二、</w:t>
      </w:r>
      <w:r>
        <w:rPr>
          <w:rFonts w:hint="eastAsia" w:ascii="仿宋" w:hAnsi="仿宋" w:eastAsia="仿宋" w:cs="仿宋"/>
          <w:color w:val="auto"/>
          <w:sz w:val="28"/>
          <w:szCs w:val="28"/>
          <w:highlight w:val="none"/>
          <w:lang w:val="en-US" w:eastAsia="zh-CN"/>
        </w:rPr>
        <w:t>国有资本经营预算财政拨款支出决算表</w:t>
      </w:r>
    </w:p>
    <w:p>
      <w:pPr>
        <w:pStyle w:val="11"/>
        <w:adjustRightInd w:val="0"/>
        <w:snapToGrid w:val="0"/>
        <w:spacing w:line="440" w:lineRule="exact"/>
        <w:jc w:val="both"/>
        <w:rPr>
          <w:rFonts w:hint="eastAsia"/>
          <w:color w:val="auto"/>
          <w:sz w:val="24"/>
          <w:highlight w:val="none"/>
        </w:rPr>
      </w:pPr>
      <w:r>
        <w:rPr>
          <w:rFonts w:hint="eastAsia" w:ascii="仿宋" w:hAnsi="仿宋" w:eastAsia="仿宋" w:cs="仿宋"/>
          <w:color w:val="auto"/>
          <w:sz w:val="28"/>
          <w:szCs w:val="28"/>
          <w:highlight w:val="none"/>
        </w:rPr>
        <w:t>十三、财政拨款“三公”经费支出决算表</w:t>
      </w:r>
    </w:p>
    <w:p>
      <w:pPr>
        <w:pStyle w:val="3"/>
        <w:jc w:val="both"/>
        <w:rPr>
          <w:rFonts w:hint="eastAsia" w:ascii="黑体" w:hAnsi="黑体" w:eastAsia="黑体"/>
          <w:b w:val="0"/>
          <w:color w:val="auto"/>
          <w:highlight w:val="none"/>
        </w:rPr>
        <w:sectPr>
          <w:headerReference r:id="rId3" w:type="default"/>
          <w:pgSz w:w="11906" w:h="16838"/>
          <w:pgMar w:top="1440" w:right="1800" w:bottom="1440" w:left="1800" w:header="851" w:footer="992" w:gutter="0"/>
          <w:pgNumType w:start="1"/>
          <w:cols w:space="425" w:num="1"/>
          <w:titlePg/>
          <w:docGrid w:type="lines" w:linePitch="312" w:charSpace="0"/>
        </w:sectPr>
      </w:pPr>
      <w:bookmarkStart w:id="7" w:name="_Toc15396599"/>
      <w:bookmarkStart w:id="8" w:name="_Toc15377196"/>
    </w:p>
    <w:p>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7"/>
      <w:bookmarkEnd w:id="8"/>
    </w:p>
    <w:p>
      <w:pPr>
        <w:widowControl/>
        <w:jc w:val="left"/>
        <w:rPr>
          <w:rFonts w:ascii="黑体" w:eastAsia="黑体"/>
          <w:color w:val="auto"/>
          <w:sz w:val="32"/>
          <w:szCs w:val="32"/>
          <w:highlight w:val="none"/>
        </w:rPr>
      </w:pPr>
    </w:p>
    <w:p>
      <w:pPr>
        <w:pStyle w:val="4"/>
        <w:numPr>
          <w:ilvl w:val="0"/>
          <w:numId w:val="2"/>
        </w:numPr>
        <w:ind w:left="0" w:leftChars="0" w:firstLine="0" w:firstLineChars="0"/>
        <w:rPr>
          <w:rStyle w:val="26"/>
          <w:rFonts w:hint="eastAsia" w:ascii="黑体" w:hAnsi="黑体" w:eastAsia="黑体"/>
          <w:b w:val="0"/>
          <w:bCs w:val="0"/>
          <w:color w:val="auto"/>
          <w:highlight w:val="none"/>
          <w:lang w:eastAsia="zh-CN"/>
        </w:rPr>
      </w:pPr>
      <w:bookmarkStart w:id="9" w:name="_Toc15377197"/>
      <w:bookmarkStart w:id="10" w:name="_Toc15396600"/>
      <w:r>
        <w:rPr>
          <w:rStyle w:val="26"/>
          <w:rFonts w:hint="eastAsia" w:ascii="黑体" w:hAnsi="黑体" w:eastAsia="黑体"/>
          <w:b w:val="0"/>
          <w:bCs w:val="0"/>
          <w:color w:val="auto"/>
          <w:highlight w:val="none"/>
          <w:lang w:eastAsia="zh-CN"/>
        </w:rPr>
        <w:t>主要职责</w:t>
      </w:r>
    </w:p>
    <w:p>
      <w:pPr>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1．贯彻执行党和国家关于教育改革和发展的各项方针、政策，拟订全校教育事业发展规划和有关教育的规范性文件并组织实施；指导协调学校各部门的教育、教学体制改革。</w:t>
      </w:r>
    </w:p>
    <w:p>
      <w:pPr>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3．负责推进义务教育均衡发展和促进教育公平，负责义务教育的宏观指导与协调；指导学校全面实施素质教育；督促检查学校各类学校的办学标准、教学基本要求、教学基本条件的落实情况。</w:t>
      </w:r>
    </w:p>
    <w:p>
      <w:pPr>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hint="eastAsia"/>
          <w:lang w:eastAsia="zh-CN"/>
        </w:rPr>
      </w:pPr>
      <w:r>
        <w:rPr>
          <w:rFonts w:hint="eastAsia" w:ascii="仿宋" w:hAnsi="仿宋" w:eastAsia="仿宋" w:cs="仿宋"/>
          <w:sz w:val="28"/>
          <w:szCs w:val="28"/>
        </w:rPr>
        <w:t>4.促进基础教育发展，教育学生成长为德学兼备、思想端正的学生，让学生获得基本的基础知识，尽可能培养其自学能力。</w:t>
      </w: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9"/>
    <w:bookmarkEnd w:id="10"/>
    <w:p>
      <w:pPr>
        <w:widowControl/>
        <w:ind w:firstLine="560" w:firstLineChars="200"/>
        <w:jc w:val="left"/>
        <w:rPr>
          <w:rFonts w:hint="eastAsia" w:ascii="仿宋" w:hAnsi="仿宋" w:eastAsia="仿宋"/>
          <w:color w:val="auto"/>
          <w:kern w:val="0"/>
          <w:sz w:val="28"/>
          <w:szCs w:val="28"/>
          <w:highlight w:val="none"/>
        </w:rPr>
      </w:pPr>
      <w:r>
        <w:rPr>
          <w:rFonts w:hint="eastAsia" w:ascii="仿宋" w:hAnsi="仿宋" w:eastAsia="仿宋" w:cs="仿宋"/>
          <w:sz w:val="28"/>
          <w:szCs w:val="28"/>
        </w:rPr>
        <w:t>1、</w:t>
      </w:r>
      <w:r>
        <w:rPr>
          <w:rFonts w:hint="eastAsia" w:ascii="仿宋" w:hAnsi="仿宋" w:eastAsia="仿宋" w:cs="仿宋"/>
          <w:sz w:val="28"/>
          <w:szCs w:val="28"/>
          <w:lang w:eastAsia="zh-CN"/>
        </w:rPr>
        <w:t>江北</w:t>
      </w:r>
      <w:r>
        <w:rPr>
          <w:rFonts w:hint="eastAsia" w:ascii="仿宋" w:hAnsi="仿宋" w:eastAsia="仿宋" w:cs="仿宋"/>
          <w:sz w:val="28"/>
          <w:szCs w:val="28"/>
        </w:rPr>
        <w:t>小学是经利州区编制委员会批准成立的，隶属区教</w:t>
      </w:r>
      <w:r>
        <w:rPr>
          <w:rFonts w:hint="eastAsia" w:ascii="仿宋" w:hAnsi="仿宋" w:eastAsia="仿宋"/>
          <w:color w:val="auto"/>
          <w:kern w:val="0"/>
          <w:sz w:val="28"/>
          <w:szCs w:val="28"/>
          <w:highlight w:val="none"/>
        </w:rPr>
        <w:t>育局领导下的一所</w:t>
      </w:r>
      <w:r>
        <w:rPr>
          <w:rFonts w:hint="eastAsia" w:ascii="仿宋" w:hAnsi="仿宋" w:eastAsia="仿宋"/>
          <w:color w:val="auto"/>
          <w:kern w:val="0"/>
          <w:sz w:val="28"/>
          <w:szCs w:val="28"/>
          <w:highlight w:val="none"/>
          <w:lang w:val="en-US" w:eastAsia="zh-CN"/>
        </w:rPr>
        <w:t>城市</w:t>
      </w:r>
      <w:r>
        <w:rPr>
          <w:rFonts w:hint="eastAsia" w:ascii="仿宋" w:hAnsi="仿宋" w:eastAsia="仿宋"/>
          <w:color w:val="auto"/>
          <w:kern w:val="0"/>
          <w:sz w:val="28"/>
          <w:szCs w:val="28"/>
          <w:highlight w:val="none"/>
        </w:rPr>
        <w:t>完全小学校。主要职能：实施小学义务教育，小学学历教育。</w:t>
      </w:r>
    </w:p>
    <w:p>
      <w:pPr>
        <w:widowControl/>
        <w:ind w:firstLine="560" w:firstLineChars="200"/>
        <w:jc w:val="left"/>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2、</w:t>
      </w:r>
      <w:r>
        <w:rPr>
          <w:rFonts w:hint="eastAsia" w:ascii="仿宋" w:hAnsi="仿宋" w:eastAsia="仿宋"/>
          <w:color w:val="auto"/>
          <w:kern w:val="0"/>
          <w:sz w:val="28"/>
          <w:szCs w:val="28"/>
          <w:highlight w:val="none"/>
          <w:lang w:eastAsia="zh-CN"/>
        </w:rPr>
        <w:t>江北</w:t>
      </w:r>
      <w:r>
        <w:rPr>
          <w:rFonts w:hint="eastAsia" w:ascii="仿宋" w:hAnsi="仿宋" w:eastAsia="仿宋"/>
          <w:color w:val="auto"/>
          <w:kern w:val="0"/>
          <w:sz w:val="28"/>
          <w:szCs w:val="28"/>
          <w:highlight w:val="none"/>
        </w:rPr>
        <w:t>小学是区编制委员会命名的独立法人机构，为经费独立核算单位。</w:t>
      </w:r>
    </w:p>
    <w:p>
      <w:pPr>
        <w:pStyle w:val="3"/>
        <w:ind w:right="440"/>
        <w:jc w:val="center"/>
        <w:rPr>
          <w:rFonts w:hint="eastAsia" w:ascii="黑体" w:hAnsi="黑体" w:eastAsia="黑体"/>
          <w:b w:val="0"/>
          <w:bCs/>
          <w:color w:val="auto"/>
          <w:highlight w:val="none"/>
        </w:rPr>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pPr>
      <w:bookmarkStart w:id="11" w:name="_Toc15396602"/>
      <w:bookmarkStart w:id="12" w:name="_Toc15377204"/>
    </w:p>
    <w:p>
      <w:pPr>
        <w:pStyle w:val="3"/>
        <w:ind w:right="440"/>
        <w:jc w:val="center"/>
        <w:rPr>
          <w:rStyle w:val="25"/>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1"/>
      <w:bookmarkEnd w:id="12"/>
    </w:p>
    <w:p>
      <w:pPr>
        <w:rPr>
          <w:color w:val="auto"/>
          <w:highlight w:val="none"/>
        </w:rPr>
      </w:pPr>
    </w:p>
    <w:p>
      <w:pPr>
        <w:pStyle w:val="24"/>
        <w:numPr>
          <w:ilvl w:val="0"/>
          <w:numId w:val="3"/>
        </w:numPr>
        <w:spacing w:line="600" w:lineRule="exact"/>
        <w:ind w:firstLineChars="0"/>
        <w:outlineLvl w:val="1"/>
        <w:rPr>
          <w:rStyle w:val="26"/>
          <w:rFonts w:ascii="黑体" w:hAnsi="黑体" w:eastAsia="黑体"/>
          <w:b w:val="0"/>
          <w:color w:val="auto"/>
          <w:highlight w:val="none"/>
        </w:rPr>
      </w:pPr>
      <w:bookmarkStart w:id="13" w:name="_Toc15377205"/>
      <w:bookmarkStart w:id="14"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3"/>
      <w:bookmarkEnd w:id="14"/>
    </w:p>
    <w:p>
      <w:p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368.45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收入116.91万元，支出65.26万元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相比，收、支总计</w:t>
      </w:r>
      <w:r>
        <w:rPr>
          <w:rFonts w:hint="eastAsia" w:ascii="仿宋" w:hAnsi="仿宋" w:eastAsia="仿宋"/>
          <w:color w:val="auto"/>
          <w:sz w:val="32"/>
          <w:szCs w:val="32"/>
          <w:highlight w:val="none"/>
          <w:lang w:val="en-US" w:eastAsia="zh-CN"/>
        </w:rPr>
        <w:t>各增加251.54万元、303.19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各上升215.16%、464.59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一江北小学2021年9月成立，人员工资本年11月开始独立核算，原1-10月工资由杨家浩小学核算；二2022年补充5名教师，人员工资支出增加；三新成立学校，学校设备不足，增加部分项目资金购置设备。</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
      </w:pPr>
      <w:r>
        <w:rPr>
          <w:rFonts w:hint="eastAsia" w:eastAsiaTheme="minorEastAsia"/>
          <w:lang w:eastAsia="zh-CN"/>
        </w:rPr>
        <w:drawing>
          <wp:inline distT="0" distB="0" distL="114300" distR="114300">
            <wp:extent cx="5143500" cy="3229610"/>
            <wp:effectExtent l="0" t="0" r="0" b="889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stretch>
                      <a:fillRect/>
                    </a:stretch>
                  </pic:blipFill>
                  <pic:spPr>
                    <a:xfrm>
                      <a:off x="0" y="0"/>
                      <a:ext cx="5143500" cy="3229610"/>
                    </a:xfrm>
                    <a:prstGeom prst="rect">
                      <a:avLst/>
                    </a:prstGeom>
                    <a:extLst>
                      <wpswe:webExtensionRef xmlns:wpswe="http://www.wps.cn/officeDocument/2018/webExtension" r:id="rId9"/>
                    </a:extLst>
                  </pic:spPr>
                </pic:pic>
              </a:graphicData>
            </a:graphic>
          </wp:inline>
        </w:drawing>
      </w:r>
    </w:p>
    <w:p>
      <w:pPr>
        <w:spacing w:line="600" w:lineRule="exact"/>
        <w:ind w:firstLine="640" w:firstLineChars="200"/>
        <w:jc w:val="left"/>
        <w:rPr>
          <w:rFonts w:ascii="仿宋_GB2312" w:eastAsia="仿宋_GB2312"/>
          <w:color w:val="auto"/>
          <w:sz w:val="32"/>
          <w:szCs w:val="32"/>
          <w:highlight w:val="none"/>
        </w:rPr>
      </w:pPr>
    </w:p>
    <w:p>
      <w:pPr>
        <w:pStyle w:val="2"/>
      </w:pPr>
    </w:p>
    <w:p>
      <w:pPr>
        <w:pStyle w:val="24"/>
        <w:numPr>
          <w:ilvl w:val="0"/>
          <w:numId w:val="3"/>
        </w:numPr>
        <w:spacing w:line="600" w:lineRule="exact"/>
        <w:ind w:firstLineChars="0"/>
        <w:outlineLvl w:val="1"/>
        <w:rPr>
          <w:rStyle w:val="26"/>
          <w:rFonts w:ascii="黑体" w:hAnsi="黑体" w:eastAsia="黑体"/>
          <w:b w:val="0"/>
          <w:color w:val="auto"/>
          <w:highlight w:val="none"/>
        </w:rPr>
      </w:pPr>
      <w:bookmarkStart w:id="15" w:name="_Toc15377206"/>
      <w:bookmarkStart w:id="16"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15"/>
      <w:bookmarkEnd w:id="16"/>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316.80</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307.67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97.11</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9.06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2.87</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080000" cy="412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2"/>
                    <a:stretch>
                      <a:fillRect/>
                    </a:stretch>
                  </pic:blipFill>
                  <pic:spPr>
                    <a:xfrm>
                      <a:off x="0" y="0"/>
                      <a:ext cx="5080000" cy="4127500"/>
                    </a:xfrm>
                    <a:prstGeom prst="rect">
                      <a:avLst/>
                    </a:prstGeom>
                    <a:extLst>
                      <wpswe:webExtensionRef xmlns:wpswe="http://www.wps.cn/officeDocument/2018/webExtension" r:id="rId11"/>
                    </a:extLst>
                  </pic:spPr>
                </pic:pic>
              </a:graphicData>
            </a:graphic>
          </wp:inline>
        </w:drawing>
      </w:r>
    </w:p>
    <w:p>
      <w:pPr>
        <w:pStyle w:val="24"/>
        <w:numPr>
          <w:ilvl w:val="0"/>
          <w:numId w:val="3"/>
        </w:numPr>
        <w:spacing w:line="600" w:lineRule="exact"/>
        <w:ind w:firstLineChars="0"/>
        <w:outlineLvl w:val="1"/>
        <w:rPr>
          <w:rStyle w:val="26"/>
          <w:rFonts w:ascii="黑体" w:hAnsi="黑体" w:eastAsia="黑体"/>
          <w:b w:val="0"/>
          <w:color w:val="auto"/>
          <w:highlight w:val="none"/>
        </w:rPr>
      </w:pPr>
      <w:bookmarkStart w:id="17" w:name="_Toc15396605"/>
      <w:bookmarkStart w:id="18" w:name="_Toc15377207"/>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17"/>
      <w:bookmarkEnd w:id="18"/>
    </w:p>
    <w:p>
      <w:pPr>
        <w:spacing w:line="600" w:lineRule="exact"/>
        <w:ind w:firstLine="640" w:firstLineChars="200"/>
        <w:outlineLvl w:val="1"/>
        <w:rPr>
          <w:rFonts w:ascii="仿宋" w:hAnsi="仿宋" w:eastAsia="仿宋"/>
          <w:color w:val="auto"/>
          <w:sz w:val="32"/>
          <w:szCs w:val="32"/>
          <w:highlight w:val="none"/>
          <w:shd w:val="pct10" w:color="auto" w:fill="FFFFFF"/>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368.45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328.89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89.26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39.57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10.74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pStyle w:val="2"/>
        <w:rPr>
          <w:rFonts w:hint="eastAsia" w:eastAsia="仿宋"/>
          <w:lang w:eastAsia="zh-CN"/>
        </w:rPr>
      </w:pPr>
      <w:r>
        <w:rPr>
          <w:rFonts w:hint="eastAsia" w:eastAsiaTheme="minorEastAsia"/>
          <w:lang w:eastAsia="zh-CN"/>
        </w:rPr>
        <w:drawing>
          <wp:inline distT="0" distB="0" distL="114300" distR="114300">
            <wp:extent cx="5115560" cy="1724660"/>
            <wp:effectExtent l="5080" t="4445" r="10160" b="10795"/>
            <wp:docPr id="7" name="图表 7"/>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0468242&quot;,&quot;origin&quot;:0,&quot;type&quot;:&quot;charts&quot;,&quot;user&quot;:&quot;271171727&quot;}"/>
                  </s:tag>
                </a:ext>
              </a:extLs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19" w:name="_Toc15396606"/>
      <w:bookmarkStart w:id="20" w:name="_Toc15377208"/>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19"/>
      <w:bookmarkEnd w:id="20"/>
    </w:p>
    <w:p>
      <w:pPr>
        <w:spacing w:line="600" w:lineRule="exact"/>
        <w:ind w:firstLine="64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359.32</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增加249.65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增加227.64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财政拨款资金收入变化幅度大。主要是人员独立核算。</w:t>
      </w:r>
    </w:p>
    <w:p>
      <w:pPr>
        <w:spacing w:line="600" w:lineRule="exact"/>
        <w:ind w:firstLine="640"/>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w:t>
      </w:r>
      <w:r>
        <w:rPr>
          <w:rFonts w:hint="eastAsia" w:ascii="仿宋" w:hAnsi="仿宋" w:eastAsia="仿宋"/>
          <w:color w:val="auto"/>
          <w:sz w:val="32"/>
          <w:szCs w:val="32"/>
          <w:highlight w:val="none"/>
          <w:lang w:val="en-US" w:eastAsia="zh-CN"/>
        </w:rPr>
        <w:t>支出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359.32</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w:t>
      </w:r>
      <w:r>
        <w:rPr>
          <w:rFonts w:hint="eastAsia" w:ascii="仿宋" w:hAnsi="仿宋" w:eastAsia="仿宋"/>
          <w:color w:val="auto"/>
          <w:sz w:val="32"/>
          <w:szCs w:val="32"/>
          <w:highlight w:val="none"/>
          <w:lang w:val="en-US" w:eastAsia="zh-CN"/>
        </w:rPr>
        <w:t>支出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增加303.19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增加450.51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一江北小学2021年9月成立，人员工资本年11月开始独立核算，原1-10月工资由杨家浩小学核算；二2022年补充5名教师，人员工资支出增加；三新成立学校，学校设备不足，增加部分项目资金购置设备。</w:t>
      </w:r>
    </w:p>
    <w:p>
      <w:pPr>
        <w:spacing w:line="600" w:lineRule="exact"/>
        <w:ind w:firstLine="640" w:firstLineChars="200"/>
        <w:rPr>
          <w:rFonts w:hint="eastAsia" w:ascii="仿宋" w:hAnsi="仿宋" w:eastAsia="仿宋"/>
          <w:b/>
          <w:color w:val="auto"/>
          <w:sz w:val="32"/>
          <w:szCs w:val="32"/>
          <w:highlight w:val="none"/>
          <w:lang w:eastAsia="zh-CN"/>
        </w:rPr>
      </w:pPr>
      <w:r>
        <w:rPr>
          <w:rFonts w:hint="eastAsia" w:ascii="仿宋" w:hAnsi="仿宋" w:eastAsia="仿宋"/>
          <w:color w:val="auto"/>
          <w:sz w:val="32"/>
          <w:szCs w:val="32"/>
          <w:highlight w:val="none"/>
        </w:rPr>
        <w:t>（图4：财政拨款收、支决算总计变动情况）（柱状图）</w:t>
      </w:r>
    </w:p>
    <w:p>
      <w:pPr>
        <w:pStyle w:val="2"/>
        <w:rPr>
          <w:rFonts w:hint="eastAsia" w:ascii="仿宋" w:hAnsi="仿宋" w:eastAsia="仿宋"/>
          <w:b/>
          <w:color w:val="auto"/>
          <w:sz w:val="32"/>
          <w:szCs w:val="32"/>
          <w:highlight w:val="none"/>
          <w:lang w:eastAsia="zh-CN"/>
        </w:rPr>
      </w:pPr>
      <w:r>
        <w:rPr>
          <w:rFonts w:hint="eastAsia" w:eastAsiaTheme="minorEastAsia"/>
          <w:lang w:eastAsia="zh-CN"/>
        </w:rPr>
        <w:drawing>
          <wp:inline distT="0" distB="0" distL="114300" distR="114300">
            <wp:extent cx="5461000" cy="210185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5"/>
                    <a:stretch>
                      <a:fillRect/>
                    </a:stretch>
                  </pic:blipFill>
                  <pic:spPr>
                    <a:xfrm>
                      <a:off x="0" y="0"/>
                      <a:ext cx="5461000" cy="2101850"/>
                    </a:xfrm>
                    <a:prstGeom prst="rect">
                      <a:avLst/>
                    </a:prstGeom>
                    <a:extLst>
                      <wpswe:webExtensionRef xmlns:wpswe="http://www.wps.cn/officeDocument/2018/webExtension" r:id="rId14"/>
                    </a:extLst>
                  </pic:spPr>
                </pic:pic>
              </a:graphicData>
            </a:graphic>
          </wp:inline>
        </w:drawing>
      </w:r>
    </w:p>
    <w:p>
      <w:pPr>
        <w:spacing w:line="600" w:lineRule="exact"/>
        <w:ind w:firstLine="640" w:firstLineChars="200"/>
        <w:outlineLvl w:val="1"/>
        <w:rPr>
          <w:rStyle w:val="26"/>
          <w:rFonts w:ascii="黑体" w:hAnsi="黑体" w:eastAsia="黑体"/>
          <w:b w:val="0"/>
          <w:color w:val="auto"/>
          <w:highlight w:val="none"/>
        </w:rPr>
      </w:pPr>
      <w:bookmarkStart w:id="21" w:name="_Toc15377209"/>
      <w:bookmarkStart w:id="22"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1"/>
      <w:bookmarkEnd w:id="22"/>
    </w:p>
    <w:p>
      <w:pPr>
        <w:spacing w:line="600" w:lineRule="exact"/>
        <w:ind w:firstLine="643" w:firstLineChars="200"/>
        <w:outlineLvl w:val="2"/>
        <w:rPr>
          <w:rFonts w:ascii="仿宋" w:hAnsi="仿宋" w:eastAsia="仿宋"/>
          <w:b/>
          <w:color w:val="auto"/>
          <w:sz w:val="32"/>
          <w:szCs w:val="32"/>
          <w:highlight w:val="none"/>
        </w:rPr>
      </w:pPr>
      <w:bookmarkStart w:id="23" w:name="_Toc15377210"/>
      <w:r>
        <w:rPr>
          <w:rFonts w:hint="eastAsia" w:ascii="仿宋" w:hAnsi="仿宋" w:eastAsia="仿宋"/>
          <w:b/>
          <w:color w:val="auto"/>
          <w:sz w:val="32"/>
          <w:szCs w:val="32"/>
          <w:highlight w:val="none"/>
        </w:rPr>
        <w:t>（一）一般公共预算财政拨款支出决算总体情况</w:t>
      </w:r>
      <w:bookmarkEnd w:id="23"/>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359.32</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97.52</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增加188.87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增加110.81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一江北小学2021年9月成立，人员工资本年11月开始独立核算，原1-10月工资由杨家浩小学核算；二2022年补充5名教师，人员工资支出增加；三新成立学校，学校设备不足，增加部分项目资金购置设备</w:t>
      </w:r>
    </w:p>
    <w:p>
      <w:pPr>
        <w:spacing w:line="6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pStyle w:val="2"/>
        <w:rPr>
          <w:rFonts w:hint="eastAsia" w:eastAsia="仿宋"/>
          <w:lang w:eastAsia="zh-CN"/>
        </w:rPr>
      </w:pPr>
      <w:r>
        <w:rPr>
          <w:rFonts w:hint="eastAsia" w:eastAsiaTheme="minorEastAsia"/>
          <w:lang w:eastAsia="zh-CN"/>
        </w:rPr>
        <w:drawing>
          <wp:inline distT="0" distB="0" distL="114300" distR="114300">
            <wp:extent cx="5397500" cy="2867660"/>
            <wp:effectExtent l="0" t="0" r="0" b="254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7"/>
                    <a:stretch>
                      <a:fillRect/>
                    </a:stretch>
                  </pic:blipFill>
                  <pic:spPr>
                    <a:xfrm>
                      <a:off x="0" y="0"/>
                      <a:ext cx="5397500" cy="2867660"/>
                    </a:xfrm>
                    <a:prstGeom prst="rect">
                      <a:avLst/>
                    </a:prstGeom>
                    <a:extLst>
                      <wpswe:webExtensionRef xmlns:wpswe="http://www.wps.cn/officeDocument/2018/webExtension" r:id="rId16"/>
                    </a:extLst>
                  </pic:spPr>
                </pic:pic>
              </a:graphicData>
            </a:graphic>
          </wp:inline>
        </w:drawing>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4" w:name="_Toc15377211"/>
      <w:r>
        <w:rPr>
          <w:rFonts w:hint="eastAsia" w:ascii="仿宋" w:hAnsi="仿宋" w:eastAsia="仿宋"/>
          <w:b/>
          <w:color w:val="auto"/>
          <w:sz w:val="32"/>
          <w:szCs w:val="32"/>
          <w:highlight w:val="none"/>
        </w:rPr>
        <w:t>（二）一般公共预算财政拨款支出决算结构情况</w:t>
      </w:r>
      <w:bookmarkEnd w:id="2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359.32</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309.38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86.10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31.55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8.78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18.39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5.12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pStyle w:val="2"/>
        <w:rPr>
          <w:rFonts w:ascii="仿宋" w:hAnsi="仿宋" w:eastAsia="仿宋"/>
          <w:color w:val="auto"/>
          <w:sz w:val="32"/>
          <w:szCs w:val="32"/>
          <w:highlight w:val="none"/>
        </w:rPr>
      </w:pPr>
      <w:r>
        <w:rPr>
          <w:rFonts w:hint="eastAsia" w:eastAsiaTheme="minorEastAsia"/>
          <w:lang w:eastAsia="zh-CN"/>
        </w:rPr>
        <w:drawing>
          <wp:inline distT="0" distB="0" distL="114300" distR="114300">
            <wp:extent cx="6158865" cy="2731135"/>
            <wp:effectExtent l="0" t="0" r="635" b="12065"/>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9"/>
                    <a:stretch>
                      <a:fillRect/>
                    </a:stretch>
                  </pic:blipFill>
                  <pic:spPr>
                    <a:xfrm>
                      <a:off x="0" y="0"/>
                      <a:ext cx="6158865" cy="2731135"/>
                    </a:xfrm>
                    <a:prstGeom prst="rect">
                      <a:avLst/>
                    </a:prstGeom>
                    <a:extLst>
                      <wpswe:webExtensionRef xmlns:wpswe="http://www.wps.cn/officeDocument/2018/webExtension" r:id="rId18"/>
                    </a:extLst>
                  </pic:spPr>
                </pic:pic>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25" w:name="_Toc15377212"/>
      <w:r>
        <w:rPr>
          <w:rFonts w:hint="eastAsia" w:ascii="仿宋" w:hAnsi="仿宋" w:eastAsia="仿宋"/>
          <w:b/>
          <w:color w:val="auto"/>
          <w:sz w:val="32"/>
          <w:szCs w:val="32"/>
          <w:highlight w:val="none"/>
        </w:rPr>
        <w:t>（三）一般公共预算财政拨款支出决算具体情况</w:t>
      </w:r>
      <w:bookmarkEnd w:id="25"/>
    </w:p>
    <w:p>
      <w:pPr>
        <w:spacing w:line="600" w:lineRule="exact"/>
        <w:ind w:firstLine="643" w:firstLineChars="200"/>
        <w:outlineLvl w:val="2"/>
        <w:rPr>
          <w:rFonts w:ascii="仿宋" w:hAnsi="仿宋" w:eastAsia="仿宋"/>
          <w:color w:val="auto"/>
          <w:sz w:val="32"/>
          <w:szCs w:val="32"/>
          <w:highlight w:val="none"/>
        </w:rPr>
      </w:pPr>
      <w:bookmarkStart w:id="26" w:name="_Toc15377213"/>
      <w:bookmarkStart w:id="27" w:name="_Toc15377444"/>
      <w:bookmarkStart w:id="28"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368.45万元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26"/>
      <w:bookmarkEnd w:id="27"/>
      <w:bookmarkEnd w:id="28"/>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1</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教育（类）</w:t>
      </w:r>
      <w:r>
        <w:rPr>
          <w:rStyle w:val="15"/>
          <w:rFonts w:hint="eastAsia" w:ascii="仿宋" w:hAnsi="仿宋" w:eastAsia="仿宋"/>
          <w:bCs/>
          <w:color w:val="auto"/>
          <w:sz w:val="32"/>
          <w:szCs w:val="32"/>
          <w:highlight w:val="none"/>
          <w:lang w:val="en-US" w:eastAsia="zh-CN"/>
        </w:rPr>
        <w:t>普通教育</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学前教育</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19.25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2</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教育（类）</w:t>
      </w:r>
      <w:r>
        <w:rPr>
          <w:rStyle w:val="15"/>
          <w:rFonts w:hint="eastAsia" w:ascii="仿宋" w:hAnsi="仿宋" w:eastAsia="仿宋"/>
          <w:bCs/>
          <w:color w:val="auto"/>
          <w:sz w:val="32"/>
          <w:szCs w:val="32"/>
          <w:highlight w:val="none"/>
          <w:lang w:val="en-US" w:eastAsia="zh-CN"/>
        </w:rPr>
        <w:t>普通教育</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小学教育</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290.13</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3</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社会保障和就业（类）行政事业单位养老（款）机关事业单位基本养老保险缴费（项）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29.01</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2"/>
        <w:ind w:firstLine="643" w:firstLineChars="200"/>
      </w:pPr>
      <w:r>
        <w:rPr>
          <w:rStyle w:val="15"/>
          <w:rFonts w:hint="eastAsia" w:ascii="仿宋" w:hAnsi="仿宋" w:eastAsia="仿宋"/>
          <w:bCs/>
          <w:color w:val="auto"/>
          <w:sz w:val="32"/>
          <w:szCs w:val="32"/>
          <w:highlight w:val="none"/>
          <w:lang w:val="en-US" w:eastAsia="zh-CN"/>
        </w:rPr>
        <w:t>4</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社会保障和就业（类）其他社会保障和就业支出（款）其他社会保障和就业支出（项）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2.54</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5</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卫生健康支出</w:t>
      </w:r>
      <w:r>
        <w:rPr>
          <w:rStyle w:val="15"/>
          <w:rFonts w:hint="eastAsia" w:ascii="仿宋" w:hAnsi="仿宋" w:eastAsia="仿宋"/>
          <w:bCs/>
          <w:color w:val="auto"/>
          <w:sz w:val="32"/>
          <w:szCs w:val="32"/>
          <w:highlight w:val="none"/>
        </w:rPr>
        <w:t>（类）行政事业单位医疗（款）事业单位医疗（项）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18.39</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6"/>
          <w:color w:val="auto"/>
          <w:highlight w:val="none"/>
        </w:rPr>
      </w:pPr>
      <w:bookmarkStart w:id="29" w:name="_Toc15377214"/>
      <w:bookmarkStart w:id="30"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29"/>
      <w:bookmarkEnd w:id="30"/>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319.76</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233.17</w:t>
      </w:r>
      <w:r>
        <w:rPr>
          <w:rFonts w:hint="eastAsia" w:ascii="仿宋" w:hAnsi="仿宋" w:eastAsia="仿宋"/>
          <w:color w:val="auto"/>
          <w:sz w:val="32"/>
          <w:szCs w:val="32"/>
          <w:highlight w:val="none"/>
        </w:rPr>
        <w:t>万元，主要包括：基本工资、津贴补贴、奖金、绩效工资、机关事业单位基本养老保险缴费、职业年金缴费、其他社会保障缴费、其他工资福利支出、抚恤金、生活补助、奖励金、住房公积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86.59</w:t>
      </w:r>
      <w:r>
        <w:rPr>
          <w:rFonts w:hint="eastAsia" w:ascii="仿宋" w:hAnsi="仿宋" w:eastAsia="仿宋"/>
          <w:color w:val="auto"/>
          <w:sz w:val="32"/>
          <w:szCs w:val="32"/>
          <w:highlight w:val="none"/>
        </w:rPr>
        <w:t>万元，主要包括：办公费、印刷费、咨询费、手续费、水费、电费、邮电费、取暖费、差旅费、维修（护）费、租赁费、会议费、培训费、劳务费、工会经费、福利费、其他交通费、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color w:val="auto"/>
          <w:highlight w:val="none"/>
        </w:rPr>
      </w:pPr>
      <w:bookmarkStart w:id="31" w:name="_Toc15377215"/>
      <w:bookmarkStart w:id="32" w:name="_Toc15396609"/>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31"/>
      <w:bookmarkEnd w:id="32"/>
    </w:p>
    <w:p>
      <w:pPr>
        <w:spacing w:line="600" w:lineRule="exact"/>
        <w:ind w:firstLine="640"/>
        <w:outlineLvl w:val="2"/>
        <w:rPr>
          <w:rFonts w:ascii="仿宋" w:hAnsi="仿宋" w:eastAsia="仿宋"/>
          <w:b/>
          <w:color w:val="auto"/>
          <w:sz w:val="32"/>
          <w:szCs w:val="32"/>
          <w:highlight w:val="none"/>
        </w:rPr>
      </w:pPr>
      <w:bookmarkStart w:id="33" w:name="_Toc15377216"/>
      <w:r>
        <w:rPr>
          <w:rFonts w:hint="eastAsia" w:ascii="仿宋" w:hAnsi="仿宋" w:eastAsia="仿宋"/>
          <w:b/>
          <w:color w:val="auto"/>
          <w:sz w:val="32"/>
          <w:szCs w:val="32"/>
          <w:highlight w:val="none"/>
        </w:rPr>
        <w:t>（一）“三公”经费财政拨款支出决算总体情况说明</w:t>
      </w:r>
      <w:bookmarkEnd w:id="33"/>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与2021年度持平</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4" w:name="_Toc15377217"/>
      <w:r>
        <w:rPr>
          <w:rFonts w:hint="eastAsia" w:ascii="仿宋" w:hAnsi="仿宋" w:eastAsia="仿宋"/>
          <w:b/>
          <w:color w:val="auto"/>
          <w:sz w:val="32"/>
          <w:szCs w:val="32"/>
          <w:highlight w:val="none"/>
        </w:rPr>
        <w:t>（二）“三公”经费财政拨款支出决算具体情况说明</w:t>
      </w:r>
      <w:bookmarkEnd w:id="3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与2021年度持平</w:t>
      </w:r>
      <w:r>
        <w:rPr>
          <w:rFonts w:hint="eastAsia" w:ascii="仿宋" w:hAnsi="仿宋" w:eastAsia="仿宋"/>
          <w:color w:val="auto"/>
          <w:sz w:val="32"/>
          <w:szCs w:val="32"/>
          <w:highlight w:val="none"/>
        </w:rPr>
        <w:t>。具体情况如下：</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 w:hAnsi="仿宋" w:eastAsia="仿宋"/>
          <w:color w:val="auto"/>
          <w:sz w:val="32"/>
          <w:szCs w:val="32"/>
          <w:highlight w:val="none"/>
          <w:lang w:val="en-US" w:eastAsia="zh-CN"/>
        </w:rPr>
        <w:t>与2021年度持平</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与2021年度持平</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 w:hAnsi="仿宋" w:eastAsia="仿宋"/>
          <w:color w:val="auto"/>
          <w:sz w:val="32"/>
          <w:szCs w:val="32"/>
          <w:highlight w:val="none"/>
          <w:lang w:val="en-US" w:eastAsia="zh-CN"/>
        </w:rPr>
        <w:t>与2021年度持平</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35" w:name="_Toc15377218"/>
      <w:bookmarkStart w:id="36" w:name="_Toc15396610"/>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35"/>
      <w:bookmarkEnd w:id="36"/>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26"/>
          <w:rFonts w:ascii="黑体" w:hAnsi="黑体" w:eastAsia="黑体"/>
          <w:b w:val="0"/>
          <w:color w:val="auto"/>
          <w:highlight w:val="none"/>
        </w:rPr>
      </w:pPr>
      <w:bookmarkStart w:id="37" w:name="_Toc15396611"/>
      <w:bookmarkStart w:id="38" w:name="_Toc15377219"/>
      <w:r>
        <w:rPr>
          <w:rStyle w:val="26"/>
          <w:rFonts w:hint="eastAsia" w:ascii="黑体" w:hAnsi="黑体" w:eastAsia="黑体"/>
          <w:b w:val="0"/>
          <w:color w:val="auto"/>
          <w:highlight w:val="none"/>
        </w:rPr>
        <w:t>国有资本经营预算支出决算情况说明</w:t>
      </w:r>
      <w:bookmarkEnd w:id="37"/>
      <w:bookmarkEnd w:id="38"/>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26"/>
          <w:rFonts w:hint="eastAsia" w:ascii="黑体" w:hAnsi="黑体" w:eastAsia="黑体"/>
          <w:b w:val="0"/>
          <w:color w:val="auto"/>
          <w:highlight w:val="none"/>
        </w:rPr>
      </w:pPr>
      <w:bookmarkStart w:id="39" w:name="_Toc15377221"/>
      <w:bookmarkStart w:id="40" w:name="_Toc15396612"/>
      <w:r>
        <w:rPr>
          <w:rStyle w:val="26"/>
          <w:rFonts w:hint="eastAsia" w:ascii="黑体" w:hAnsi="黑体" w:eastAsia="黑体"/>
          <w:b w:val="0"/>
          <w:color w:val="auto"/>
          <w:highlight w:val="none"/>
        </w:rPr>
        <w:t>其他重要事项的情况说明</w:t>
      </w:r>
      <w:bookmarkEnd w:id="39"/>
      <w:bookmarkEnd w:id="40"/>
    </w:p>
    <w:p>
      <w:pPr>
        <w:spacing w:line="600" w:lineRule="exact"/>
        <w:ind w:firstLine="643" w:firstLineChars="200"/>
        <w:outlineLvl w:val="2"/>
        <w:rPr>
          <w:rFonts w:ascii="仿宋" w:hAnsi="仿宋" w:eastAsia="仿宋"/>
          <w:color w:val="auto"/>
          <w:sz w:val="32"/>
          <w:szCs w:val="32"/>
          <w:highlight w:val="none"/>
        </w:rPr>
      </w:pPr>
      <w:bookmarkStart w:id="41" w:name="_Toc15377222"/>
      <w:r>
        <w:rPr>
          <w:rFonts w:hint="eastAsia" w:ascii="仿宋" w:hAnsi="仿宋" w:eastAsia="仿宋"/>
          <w:b/>
          <w:color w:val="auto"/>
          <w:sz w:val="32"/>
          <w:szCs w:val="32"/>
          <w:highlight w:val="none"/>
        </w:rPr>
        <w:t>（一）机关运行经费支出情况</w:t>
      </w:r>
      <w:bookmarkEnd w:id="41"/>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2" w:name="_Toc15377223"/>
      <w:r>
        <w:rPr>
          <w:rFonts w:hint="eastAsia" w:ascii="仿宋" w:hAnsi="仿宋" w:eastAsia="仿宋"/>
          <w:b/>
          <w:color w:val="auto"/>
          <w:sz w:val="32"/>
          <w:szCs w:val="32"/>
          <w:highlight w:val="none"/>
        </w:rPr>
        <w:t>（二）政府采购支出情况</w:t>
      </w:r>
      <w:bookmarkEnd w:id="42"/>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3" w:name="_Toc15377224"/>
      <w:r>
        <w:rPr>
          <w:rFonts w:hint="eastAsia" w:ascii="仿宋" w:hAnsi="仿宋" w:eastAsia="仿宋"/>
          <w:b/>
          <w:color w:val="auto"/>
          <w:sz w:val="32"/>
          <w:szCs w:val="32"/>
          <w:highlight w:val="none"/>
        </w:rPr>
        <w:t>（三）国有资产占有使用情况</w:t>
      </w:r>
      <w:bookmarkEnd w:id="43"/>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营养餐改善计划、特岗教师、农村教师生活补助</w:t>
      </w:r>
      <w:r>
        <w:rPr>
          <w:rFonts w:hint="eastAsia" w:ascii="仿宋_GB2312" w:hAnsi="仿宋_GB2312" w:eastAsia="仿宋_GB2312" w:cs="仿宋_GB2312"/>
          <w:color w:val="auto"/>
          <w:sz w:val="32"/>
          <w:szCs w:val="32"/>
          <w:highlight w:val="none"/>
        </w:rPr>
        <w:t>等</w:t>
      </w:r>
      <w:r>
        <w:rPr>
          <w:rFonts w:hint="eastAsia"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numPr>
          <w:ilvl w:val="0"/>
          <w:numId w:val="5"/>
        </w:numPr>
        <w:spacing w:line="600" w:lineRule="exact"/>
        <w:ind w:firstLine="660" w:firstLineChars="150"/>
        <w:jc w:val="center"/>
        <w:outlineLvl w:val="0"/>
        <w:rPr>
          <w:rStyle w:val="25"/>
          <w:rFonts w:ascii="黑体" w:hAnsi="黑体" w:eastAsia="黑体"/>
          <w:b w:val="0"/>
          <w:color w:val="auto"/>
          <w:highlight w:val="none"/>
        </w:rPr>
      </w:pPr>
      <w:bookmarkStart w:id="44" w:name="_Toc15396613"/>
      <w:bookmarkStart w:id="45" w:name="_Toc15377225"/>
      <w:bookmarkStart w:id="46" w:name="_Toc15377226"/>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4"/>
      <w:bookmarkEnd w:id="45"/>
    </w:p>
    <w:p>
      <w:pPr>
        <w:spacing w:line="600" w:lineRule="exact"/>
        <w:jc w:val="left"/>
        <w:rPr>
          <w:rFonts w:ascii="宋体"/>
          <w:b/>
          <w:color w:val="auto"/>
          <w:sz w:val="44"/>
          <w:szCs w:val="44"/>
          <w:highlight w:val="none"/>
        </w:rPr>
      </w:pP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3"/>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snapToGrid w:val="0"/>
        <w:spacing w:line="540" w:lineRule="exact"/>
        <w:ind w:firstLine="640" w:firstLineChars="200"/>
        <w:rPr>
          <w:rFonts w:hint="eastAsia" w:ascii="仿宋_GB2312" w:hAnsi="仿宋_GB2312" w:eastAsia="仿宋_GB2312" w:cs="仿宋_GB2312"/>
          <w:sz w:val="28"/>
          <w:szCs w:val="28"/>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其他收入：指单位取得的除上述收入以外的各项收入。主要是学前教育保育教育费收入、银行存款利息收入等。</w:t>
      </w:r>
      <w:r>
        <w:rPr>
          <w:rFonts w:hint="eastAsia" w:ascii="仿宋_GB2312" w:hAnsi="仿宋_GB2312" w:eastAsia="仿宋_GB2312" w:cs="仿宋_GB2312"/>
          <w:sz w:val="28"/>
          <w:szCs w:val="28"/>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snapToGrid w:val="0"/>
        <w:spacing w:line="54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教育支出（类）普通教育（款）学前教育（项）:反映各部门举办的学前教育支出。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 教育支出（类）普通教育（款）小学教育（项）:反映各部门举办的小学教育支出。政府各部门对社会中介组织等举办的小学的资助，如各类捐赠、补贴等，也在本科目中反映。</w:t>
      </w:r>
    </w:p>
    <w:p>
      <w:pPr>
        <w:pStyle w:val="23"/>
        <w:snapToGrid w:val="0"/>
        <w:spacing w:line="520" w:lineRule="exact"/>
        <w:ind w:firstLine="560" w:firstLineChars="200"/>
        <w:rPr>
          <w:rFonts w:hint="eastAsia"/>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 教育支出（类）普通教育（款）初中教育（项）: 反映各部门举办的初中教育支出。政府各部门对社会中介组织等举办的初中教育的资助，如捐赠、补贴等，也在本科目中反映。</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 教育支出（类）普通教育（款）其它普通教育（项）: 反映除上述项目以外其他用于普通教育方面的支出。</w:t>
      </w:r>
    </w:p>
    <w:p>
      <w:pPr>
        <w:snapToGrid w:val="0"/>
        <w:spacing w:line="540" w:lineRule="exact"/>
        <w:ind w:firstLine="640" w:firstLineChars="200"/>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 教育支出（类）其它教育支出（款）其他教育支出（项）: 指上述项目以外其他用于教育方面的支出。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 社会保障和就业支出（类）行政事业单位离退休（款）机关事业单位基本养老保险缴费支出（项）: 指机关事业单位实施养老保险制度由单位缴纳的基本养老保险费支出。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 社会保障和就业支出（类）行政事业单位离退休（款）机关事业单位职业年金缴费支出（项）: 指机关事业单位实施养老保险制度由单位实际缴纳的职业年金支出。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 社会保障和就业支出（类）抚恤（款）死亡抚恤（项）: 指按规定用于烈士和牺牲、病故人员家属的一次性和定期抚恤金以及丧葬补助费。</w:t>
      </w:r>
    </w:p>
    <w:p>
      <w:pPr>
        <w:snapToGrid w:val="0"/>
        <w:spacing w:line="540" w:lineRule="exact"/>
        <w:ind w:firstLine="640" w:firstLineChars="200"/>
        <w:rPr>
          <w:rFonts w:hint="eastAsia" w:ascii="仿宋_GB2312" w:hAnsi="仿宋_GB2312" w:eastAsia="仿宋_GB2312" w:cs="仿宋_GB2312"/>
          <w:sz w:val="28"/>
          <w:szCs w:val="28"/>
        </w:rPr>
      </w:pP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住房保障支出（类）住房改革支出（款）住房公积金（项）: 指行政事业单位按人力资源和社会保障部、财政部规定的基本工资和津贴补贴以及规定比例为职工缴纳的住房公积金。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jc w:val="center"/>
        <w:outlineLvl w:val="0"/>
        <w:rPr>
          <w:rStyle w:val="25"/>
          <w:rFonts w:hint="eastAsia" w:ascii="黑体" w:hAnsi="黑体" w:eastAsia="黑体"/>
          <w:b w:val="0"/>
          <w:color w:val="auto"/>
          <w:highlight w:val="none"/>
        </w:rPr>
      </w:pPr>
      <w:r>
        <w:rPr>
          <w:rFonts w:hint="eastAsia" w:ascii="仿宋_GB2312" w:eastAsia="仿宋_GB2312"/>
          <w:color w:val="auto"/>
          <w:sz w:val="32"/>
          <w:szCs w:val="32"/>
          <w:highlight w:val="none"/>
          <w:lang w:val="en-US" w:eastAsia="zh-CN"/>
        </w:rPr>
        <w:t>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宋体"/>
          <w:b/>
          <w:color w:val="auto"/>
          <w:sz w:val="44"/>
          <w:szCs w:val="44"/>
          <w:highlight w:val="none"/>
        </w:rPr>
        <w:br w:type="page"/>
      </w:r>
      <w:bookmarkStart w:id="47"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47"/>
    </w:p>
    <w:p>
      <w:pPr>
        <w:pStyle w:val="2"/>
        <w:jc w:val="center"/>
        <w:rPr>
          <w:rFonts w:hint="eastAsia"/>
        </w:rPr>
      </w:pPr>
      <w:bookmarkStart w:id="48" w:name="_Toc15396618"/>
      <w:r>
        <w:rPr>
          <w:rStyle w:val="26"/>
          <w:rFonts w:hint="eastAsia" w:ascii="仿宋" w:hAnsi="仿宋" w:eastAsia="仿宋"/>
          <w:b w:val="0"/>
          <w:bCs w:val="0"/>
          <w:color w:val="auto"/>
          <w:highlight w:val="none"/>
          <w:lang w:val="en-US" w:eastAsia="zh-CN" w:bidi="ar-SA"/>
        </w:rPr>
        <w:t>部门预算项目支出绩效自评表（2022年度）</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bookmarkStart w:id="62" w:name="_GoBack"/>
      <w:bookmarkEnd w:id="62"/>
    </w:p>
    <w:p>
      <w:pPr>
        <w:pStyle w:val="2"/>
        <w:rPr>
          <w:rFonts w:hint="eastAsi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46"/>
      <w:bookmarkEnd w:id="48"/>
      <w:bookmarkStart w:id="49"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49"/>
    </w:p>
    <w:p>
      <w:pPr>
        <w:pStyle w:val="4"/>
        <w:rPr>
          <w:rFonts w:ascii="仿宋" w:hAnsi="仿宋" w:eastAsia="仿宋"/>
          <w:color w:val="auto"/>
          <w:highlight w:val="none"/>
        </w:rPr>
      </w:pPr>
      <w:bookmarkStart w:id="50"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0"/>
    </w:p>
    <w:p>
      <w:pPr>
        <w:pStyle w:val="4"/>
        <w:rPr>
          <w:rFonts w:ascii="仿宋" w:hAnsi="仿宋" w:eastAsia="仿宋"/>
          <w:color w:val="auto"/>
          <w:highlight w:val="none"/>
        </w:rPr>
      </w:pPr>
      <w:bookmarkStart w:id="51"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1"/>
    </w:p>
    <w:p>
      <w:pPr>
        <w:pStyle w:val="4"/>
        <w:rPr>
          <w:rFonts w:ascii="仿宋" w:hAnsi="仿宋" w:eastAsia="仿宋"/>
          <w:b w:val="0"/>
          <w:color w:val="auto"/>
          <w:highlight w:val="none"/>
        </w:rPr>
      </w:pPr>
      <w:bookmarkStart w:id="52"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2"/>
    </w:p>
    <w:p>
      <w:pPr>
        <w:pStyle w:val="4"/>
        <w:rPr>
          <w:rStyle w:val="26"/>
          <w:rFonts w:ascii="仿宋" w:hAnsi="仿宋" w:eastAsia="仿宋"/>
          <w:b w:val="0"/>
          <w:bCs w:val="0"/>
          <w:color w:val="auto"/>
          <w:highlight w:val="none"/>
        </w:rPr>
      </w:pPr>
      <w:bookmarkStart w:id="53"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3"/>
      <w:bookmarkStart w:id="54" w:name="_Toc15396624"/>
    </w:p>
    <w:p>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4"/>
    </w:p>
    <w:p>
      <w:pPr>
        <w:pStyle w:val="4"/>
        <w:rPr>
          <w:rFonts w:ascii="仿宋" w:hAnsi="仿宋" w:eastAsia="仿宋"/>
          <w:color w:val="auto"/>
          <w:highlight w:val="none"/>
        </w:rPr>
      </w:pPr>
      <w:bookmarkStart w:id="55"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55"/>
    </w:p>
    <w:p>
      <w:pPr>
        <w:pStyle w:val="4"/>
        <w:rPr>
          <w:rFonts w:ascii="仿宋" w:hAnsi="仿宋" w:eastAsia="仿宋"/>
          <w:color w:val="auto"/>
          <w:highlight w:val="none"/>
        </w:rPr>
      </w:pPr>
      <w:bookmarkStart w:id="56"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56"/>
    </w:p>
    <w:p>
      <w:pPr>
        <w:pStyle w:val="4"/>
        <w:rPr>
          <w:rFonts w:ascii="仿宋" w:hAnsi="仿宋" w:eastAsia="仿宋"/>
          <w:color w:val="auto"/>
          <w:highlight w:val="none"/>
        </w:rPr>
      </w:pPr>
      <w:bookmarkStart w:id="57"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57"/>
    </w:p>
    <w:p>
      <w:pPr>
        <w:pStyle w:val="4"/>
        <w:rPr>
          <w:rFonts w:ascii="仿宋" w:hAnsi="仿宋" w:eastAsia="仿宋"/>
          <w:color w:val="auto"/>
          <w:highlight w:val="none"/>
        </w:rPr>
      </w:pPr>
      <w:bookmarkStart w:id="58" w:name="_Toc15396628"/>
      <w:r>
        <w:rPr>
          <w:rStyle w:val="26"/>
          <w:rFonts w:hint="eastAsia" w:ascii="仿宋" w:hAnsi="仿宋" w:eastAsia="仿宋"/>
          <w:b w:val="0"/>
          <w:bCs w:val="0"/>
          <w:color w:val="auto"/>
          <w:highlight w:val="none"/>
        </w:rPr>
        <w:t>十、</w:t>
      </w:r>
      <w:bookmarkEnd w:id="58"/>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59" w:name="_Toc15396629"/>
      <w:r>
        <w:rPr>
          <w:rStyle w:val="26"/>
          <w:rFonts w:hint="eastAsia" w:ascii="仿宋" w:hAnsi="仿宋" w:eastAsia="仿宋"/>
          <w:b w:val="0"/>
          <w:bCs w:val="0"/>
          <w:color w:val="auto"/>
          <w:highlight w:val="none"/>
        </w:rPr>
        <w:t>十一、</w:t>
      </w:r>
      <w:bookmarkEnd w:id="59"/>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0" w:name="_Toc15396630"/>
      <w:r>
        <w:rPr>
          <w:rStyle w:val="26"/>
          <w:rFonts w:hint="eastAsia" w:ascii="仿宋" w:hAnsi="仿宋" w:eastAsia="仿宋"/>
          <w:b w:val="0"/>
          <w:bCs w:val="0"/>
          <w:color w:val="auto"/>
          <w:highlight w:val="none"/>
        </w:rPr>
        <w:t>十二、</w:t>
      </w:r>
      <w:bookmarkEnd w:id="60"/>
      <w:r>
        <w:rPr>
          <w:rStyle w:val="26"/>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1" w:name="_Toc15396631"/>
      <w:r>
        <w:rPr>
          <w:rStyle w:val="26"/>
          <w:rFonts w:hint="eastAsia" w:ascii="仿宋" w:hAnsi="仿宋" w:eastAsia="仿宋"/>
          <w:b w:val="0"/>
          <w:bCs w:val="0"/>
          <w:color w:val="auto"/>
          <w:highlight w:val="none"/>
        </w:rPr>
        <w:t>十三、</w:t>
      </w:r>
      <w:bookmarkEnd w:id="61"/>
      <w:r>
        <w:rPr>
          <w:rStyle w:val="26"/>
          <w:rFonts w:hint="eastAsia" w:ascii="仿宋" w:hAnsi="仿宋" w:eastAsia="仿宋"/>
          <w:b w:val="0"/>
          <w:bCs w:val="0"/>
          <w:color w:val="auto"/>
          <w:highlight w:val="none"/>
          <w:lang w:eastAsia="zh-CN"/>
        </w:rPr>
        <w:t>财政拨款“三公”经费支出决算表</w:t>
      </w:r>
    </w:p>
    <w:sectPr>
      <w:footerReference r:id="rId7" w:type="firs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11A88"/>
    <w:multiLevelType w:val="singleLevel"/>
    <w:tmpl w:val="BE811A88"/>
    <w:lvl w:ilvl="0" w:tentative="0">
      <w:start w:val="1"/>
      <w:numFmt w:val="chineseCounting"/>
      <w:suff w:val="space"/>
      <w:lvlText w:val="第%1部分"/>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02A952F4"/>
    <w:multiLevelType w:val="singleLevel"/>
    <w:tmpl w:val="02A952F4"/>
    <w:lvl w:ilvl="0" w:tentative="0">
      <w:start w:val="1"/>
      <w:numFmt w:val="chineseCounting"/>
      <w:suff w:val="nothing"/>
      <w:lvlText w:val="%1、"/>
      <w:lvlJc w:val="left"/>
      <w:pPr>
        <w:ind w:left="0" w:firstLine="420"/>
      </w:pPr>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TBmYmZhMjYwMTI1OWZhNWY2NjQ0YTYyMDNmY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23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B0797"/>
    <w:rsid w:val="028642E4"/>
    <w:rsid w:val="053A62B5"/>
    <w:rsid w:val="053B6D1A"/>
    <w:rsid w:val="05D4264D"/>
    <w:rsid w:val="06CC440E"/>
    <w:rsid w:val="0A2032A3"/>
    <w:rsid w:val="0B8A37D8"/>
    <w:rsid w:val="0C027923"/>
    <w:rsid w:val="0C046E3A"/>
    <w:rsid w:val="0D554FDF"/>
    <w:rsid w:val="0EEB617C"/>
    <w:rsid w:val="0F95282F"/>
    <w:rsid w:val="109156AE"/>
    <w:rsid w:val="10C055FF"/>
    <w:rsid w:val="11364C15"/>
    <w:rsid w:val="113849FC"/>
    <w:rsid w:val="118107EC"/>
    <w:rsid w:val="11DD6519"/>
    <w:rsid w:val="14B50625"/>
    <w:rsid w:val="15BC3411"/>
    <w:rsid w:val="16BB723D"/>
    <w:rsid w:val="16D26743"/>
    <w:rsid w:val="18015F3F"/>
    <w:rsid w:val="19BC4C02"/>
    <w:rsid w:val="19EA45E5"/>
    <w:rsid w:val="1BD00F56"/>
    <w:rsid w:val="1BE8440E"/>
    <w:rsid w:val="1C544021"/>
    <w:rsid w:val="1D155CEE"/>
    <w:rsid w:val="1D2A61BE"/>
    <w:rsid w:val="1E911BEF"/>
    <w:rsid w:val="1E935AF8"/>
    <w:rsid w:val="1F7D585A"/>
    <w:rsid w:val="20861BB8"/>
    <w:rsid w:val="20F57F95"/>
    <w:rsid w:val="21982ECB"/>
    <w:rsid w:val="232C70E9"/>
    <w:rsid w:val="240371BF"/>
    <w:rsid w:val="243D353F"/>
    <w:rsid w:val="25711CC6"/>
    <w:rsid w:val="25C741E6"/>
    <w:rsid w:val="26622587"/>
    <w:rsid w:val="267764BF"/>
    <w:rsid w:val="27842671"/>
    <w:rsid w:val="28EC412E"/>
    <w:rsid w:val="29FD04D3"/>
    <w:rsid w:val="2ABE7A3E"/>
    <w:rsid w:val="2BBA7F12"/>
    <w:rsid w:val="2BD1595B"/>
    <w:rsid w:val="2C422884"/>
    <w:rsid w:val="2CA234A8"/>
    <w:rsid w:val="2EFA178C"/>
    <w:rsid w:val="30B46D73"/>
    <w:rsid w:val="30CB749B"/>
    <w:rsid w:val="319F7F4E"/>
    <w:rsid w:val="3667721A"/>
    <w:rsid w:val="37004EAB"/>
    <w:rsid w:val="373D62EC"/>
    <w:rsid w:val="383D272C"/>
    <w:rsid w:val="39AE70AB"/>
    <w:rsid w:val="3A334D25"/>
    <w:rsid w:val="3C0C0783"/>
    <w:rsid w:val="3CF924CC"/>
    <w:rsid w:val="3E736E3C"/>
    <w:rsid w:val="3F8256A6"/>
    <w:rsid w:val="3F9F3A96"/>
    <w:rsid w:val="3FA931F6"/>
    <w:rsid w:val="40100420"/>
    <w:rsid w:val="41A32140"/>
    <w:rsid w:val="41C53CDE"/>
    <w:rsid w:val="44F763A1"/>
    <w:rsid w:val="45A1630C"/>
    <w:rsid w:val="480F7B95"/>
    <w:rsid w:val="48BF60AB"/>
    <w:rsid w:val="493C27E9"/>
    <w:rsid w:val="496F39ED"/>
    <w:rsid w:val="49FF41D3"/>
    <w:rsid w:val="4B393965"/>
    <w:rsid w:val="4BE068DB"/>
    <w:rsid w:val="4BF6002B"/>
    <w:rsid w:val="4ECE2238"/>
    <w:rsid w:val="513B5867"/>
    <w:rsid w:val="51711289"/>
    <w:rsid w:val="51DB4B86"/>
    <w:rsid w:val="51F86065"/>
    <w:rsid w:val="51FB7686"/>
    <w:rsid w:val="52AB2578"/>
    <w:rsid w:val="54017AAB"/>
    <w:rsid w:val="54122C02"/>
    <w:rsid w:val="55333C3E"/>
    <w:rsid w:val="574F3CC9"/>
    <w:rsid w:val="58705DF6"/>
    <w:rsid w:val="5A405C9C"/>
    <w:rsid w:val="5B672B36"/>
    <w:rsid w:val="5E390074"/>
    <w:rsid w:val="5EF5135B"/>
    <w:rsid w:val="60E73634"/>
    <w:rsid w:val="63F95EFF"/>
    <w:rsid w:val="64CA39A1"/>
    <w:rsid w:val="666941F8"/>
    <w:rsid w:val="67210E21"/>
    <w:rsid w:val="673D5429"/>
    <w:rsid w:val="67CD1BF1"/>
    <w:rsid w:val="69630ADE"/>
    <w:rsid w:val="6A63196C"/>
    <w:rsid w:val="6BA8064D"/>
    <w:rsid w:val="6C4A05C8"/>
    <w:rsid w:val="6D3B1A89"/>
    <w:rsid w:val="71BF4EC2"/>
    <w:rsid w:val="72734D90"/>
    <w:rsid w:val="728A632E"/>
    <w:rsid w:val="73706606"/>
    <w:rsid w:val="7412278C"/>
    <w:rsid w:val="74266FD9"/>
    <w:rsid w:val="74A71E5E"/>
    <w:rsid w:val="74F929A6"/>
    <w:rsid w:val="75FC7BA5"/>
    <w:rsid w:val="7604479D"/>
    <w:rsid w:val="77232FAB"/>
    <w:rsid w:val="78FB2499"/>
    <w:rsid w:val="79E7B28D"/>
    <w:rsid w:val="79FB5607"/>
    <w:rsid w:val="7AF07139"/>
    <w:rsid w:val="7C011005"/>
    <w:rsid w:val="7C637397"/>
    <w:rsid w:val="7CEB12B6"/>
    <w:rsid w:val="7EFB3DBC"/>
    <w:rsid w:val="7F0E4BB1"/>
    <w:rsid w:val="7F9F20EE"/>
    <w:rsid w:val="7FAA4988"/>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四号正文"/>
    <w:basedOn w:val="1"/>
    <w:qFormat/>
    <w:uiPriority w:val="0"/>
    <w:pPr>
      <w:spacing w:line="360" w:lineRule="auto"/>
    </w:pPr>
    <w:rPr>
      <w:rFonts w:ascii="??" w:hAnsi="??" w:eastAsia="Times New Roman"/>
      <w:color w:val="000000"/>
      <w:kern w:val="0"/>
      <w:sz w:val="28"/>
      <w:szCs w:val="21"/>
    </w:rPr>
  </w:style>
</w:styles>
</file>

<file path=word/_rels/document.xml.rels><?xml version="1.0" encoding="UTF-8" standalone="yes"?>
<Relationships xmlns="http://schemas.openxmlformats.org/package/2006/relationships"><Relationship Id="rId9" Type="http://www.wps.cn/officeDocument/2018/webExtension" Target="webExtensions/webExtension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png"/><Relationship Id="rId18" Type="http://www.wps.cn/officeDocument/2018/webExtension" Target="webExtensions/webExtension5.xml"/><Relationship Id="rId17" Type="http://schemas.openxmlformats.org/officeDocument/2006/relationships/image" Target="media/image4.png"/><Relationship Id="rId16" Type="http://www.wps.cn/officeDocument/2018/webExtension" Target="webExtensions/webExtension4.xml"/><Relationship Id="rId15" Type="http://schemas.openxmlformats.org/officeDocument/2006/relationships/image" Target="media/image3.png"/><Relationship Id="rId14" Type="http://www.wps.cn/officeDocument/2018/webExtension" Target="webExtensions/webExtension3.xml"/><Relationship Id="rId13" Type="http://schemas.openxmlformats.org/officeDocument/2006/relationships/chart" Target="charts/chart1.xml"/><Relationship Id="rId12" Type="http://schemas.openxmlformats.org/officeDocument/2006/relationships/image" Target="media/image2.png"/><Relationship Id="rId11" Type="http://www.wps.cn/officeDocument/2018/webExtension" Target="webExtensions/webExtension2.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289783119937288"/>
          <c:y val="0.180154355016538"/>
          <c:w val="0.444473477920042"/>
          <c:h val="0.750165380374862"/>
        </c:manualLayout>
      </c:layout>
      <c:pieChart>
        <c:varyColors val="1"/>
        <c:ser>
          <c:idx val="0"/>
          <c:order val="0"/>
          <c:tx>
            <c:strRef>
              <c:f>Sheet1!$B$1</c:f>
              <c:strCache>
                <c:ptCount val="1"/>
                <c:pt idx="0">
                  <c:v>支出决算情况</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elete val="1"/>
          </c:dLbls>
          <c:cat>
            <c:strRef>
              <c:f>Sheet1!$A$2:$A$3</c:f>
              <c:strCache>
                <c:ptCount val="2"/>
                <c:pt idx="0">
                  <c:v>基本支出</c:v>
                </c:pt>
                <c:pt idx="1">
                  <c:v>项目支出</c:v>
                </c:pt>
              </c:strCache>
            </c:strRef>
          </c:cat>
          <c:val>
            <c:numRef>
              <c:f>Sheet1!$B$2:$B$3</c:f>
              <c:numCache>
                <c:formatCode>General</c:formatCode>
                <c:ptCount val="2"/>
                <c:pt idx="0">
                  <c:v>89.26</c:v>
                </c:pt>
                <c:pt idx="1">
                  <c:v>10.74</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webExtensions/_rels/webExtension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6.xlsx"/></Relationships>
</file>

<file path=word/webExtensions/_rels/webExtension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package" Target="../embeddings/Workbook4.xlsx"/></Relationships>
</file>

<file path=word/webExtensions/_rels/webExtension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package" Target="../embeddings/Workbook2.xlsx"/></Relationships>
</file>

<file path=word/webExtensions/_rels/webExtension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package" Target="../embeddings/Workbook5.xlsx"/></Relationships>
</file>

<file path=word/webExtensions/_rels/webExtension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package" Target="../embeddings/Workbook3.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751221290197424&quot;,&quot;chart_type&quot;:&quot;柱状图&quot;,&quot;classifty_type&quot;:[&quot;比较类&quot;],&quot;dataSrc&quot;:{&quot;data&quot;:[[[&quot;年度&quot;,&quot;收入&quot;,&quot;支出&quot;],[&quot;2021&quot;,&quot;116.91&quot;,&quot;65.26&quot;],[&quot;2022&quot;,&quot;368.45&quot;,&quot;368.45&quot;]]],&quot;dataType&quot;:&quot;cross-table&quot;,&quot;download&quot;:false,&quot;srcType&quot;:&quot;local&quot;,&quot;url&quot;:&quot;&quot;},&quot;function_type&quot;:[&quot;柱形图&quot;],&quot;gif&quot;:&quot;https://image.dycharts.com/3612096174443311105.gif?imageView2/2/w/500/quality/90&quot;,&quot;isFree&quot;:&quot;0&quot;,&quot;label&quot;:&quot;&lt;e-barmultiple-chart&gt;&quot;,&quot;position&quot;:{&quot;left&quot;:0,&quot;top&quot;:0},&quot;price&quot;:0,&quot;projectId&quot;:&quot;164751145132966661&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3e3e3ff&quot;,&quot;gridLineWidth&quot;:&quot;1&quot;,&quot;lineStyle&quot;:&quot;line&quot;,&quot;show&quot;:&quot;x&quot;},&quot;x&quot;:{&quot;axisColor&quot;:&quot;#bfbfbf&quot;,&quot;axisLineWidth&quot;:&quot;1&quot;,&quot;axisShow&quot;:true,&quot;labelAngle&quot;:&quot;0&quot;,&quot;labelDirection&quot;:&quot;横排&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quot;,&quot;colors&quot;:{&quot;colorControlers&quot;:[&quot;multiple&quot;],&quot;list&quot;:[0,1],&quot;type&quot;:&quot;multiple&quot;},&quot;display&quot;:{&quot;bar4CornerRadius&quot;:[0,0,0,0],&quot;barWidthPercent&quot;:&quot;0.7&quot;,&quot;barborderColor&quot;:&quot;#ffffffff&quot;,&quot;barborderWidth&quot;:2,&quot;fillOpacity&quot;:1},&quot;font&quot;:{&quot;color&quot;:&quot;#545454&quot;,&quot;fontFamily&quot;:&quot;阿里巴巴普惠体 常规&quot;,&quot;fontSize&quot;:&quot;14&quot;},&quot;label&quot;:{&quot;display&quot;:false,&quot;positionChoice&quot;:&quot;上面&quot;,&quot;positionOptions&quot;:[&quot;上面&quot;,&quot;内部居下&quot;],&quot;suffix&quot;:&quot;&quot;,&quot;textLabel&quot;:{&quot;color&quot;:&quot;#545454&quot;,&quot;fontFamily&quot;:&quot;阿里巴巴普惠体 常规&quot;,&quot;fontSize&quot;:&quot;14&quot;}},&quot;legend&quot;:{&quot;color&quot;:[&quot;#545454&quot;],&quot;fontFamily&quot;:[&quot;阿里巴巴普惠体 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allowType&quot;:[&quot;number&quot;],&quot;configurable&quot;:true,&quot;function&quot;:&quot;vCol&quot;,&quot;index&quot;:2,&quot;isLegend&quot;:false,&quot;name&quot;:&quot;数值列&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238,&quot;ratio&quot;:&quot;&quot;,&quot;rotate&quot;:0,&quot;width&quot;:378},&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28&quot;,&quot;lineHeight&quot;:&quot;10&quot;,&quot;show&quot;:false,&quot;text&quot;:&quot;2010-2016年一线城市房价情况&quot;,&quot;totalHeight&quot;:&quot;39&quot;,&quot;xPosition&quot;:&quot;center&quot;,&quot;yPosition&quot;:&quot;top&quot;},&quot;tooltip&quot;:true,&quot;unitDisplay&quot;:{&quot;bottomLineHeight&quot;:&quot;15&quot;,&quot;color&quot;:&quot;#878787&quot;,&quot;fontFamily&quot;:&quot;阿里巴巴普惠体 常规&quot;,&quot;fontSize&quot;:&quot;14&quot;,&quot;show&quot;:true,&quot;text&quot;:&quot; &quot;,&quot;xPosition&quot;:&quot;left&quot;,&quot;yPosition&quot;:&quot;top&quot;},&quot;watermarkDisplay&quot;:{&quot;imgHeight&quot;:&quot;80&quot;,&quot;imgUrl&quot;:&quot;https://ss1.dycharts.com/newchartWatermark.png&quot;,&quot;imgWidth&quot;:&quot;80&quot;,&quot;show&quot;:false}},&quot;templateId&quot;:&quot;3612096174443311105-3&quot;,&quot;templateSwitch&quot;:&quot;cross&quot;,&quot;theme&quot;:{&quot;_id&quot;:18,&quot;axis&quot;:{&quot;color&quot;:&quot;#a1a1a1 &quot;},&quot;backgroundColor&quot;:&quot;#FFFFFF&quot;,&quot;colors&quot;:[&quot;#7d97bfff&quot;,&quot;#FFA500ff&quot;,&quot;#556280ff&quot;,&quot;#7d97bfff&quot;,&quot;#FFA500ff&quot;,&quot;#556280ff&quot;,&quot;#7d97bfff&quot;,&quot;#FFA500ff&quot;,&quot;#556280ff&quot;,&quot;#7d97bfff&quot;,&quot;#FFA500ff&quot;,&quot;#556280ff&quot;,&quot;#7d97bfff&quot;,&quot;#FFA500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web.docer.wpscdn.cn/docer/ds-page/images/3612096174443311105-3.png&quot;,&quot;title&quot;:&quot;分组柱状图&quot;,&quot;type&quot;:&quot;chart&quot;},&quot;dschart_id&quot;:&quot;3612096174443311105-3&quot;,&quot;flag&quot;:&quot;1003&quot;}"/>
    <wpswe:property key="isUseCommonErrorPage" value="false"/>
    <wpswe:property key="loadingImage" value="res:/icons/DsWebShapeDefaultPage.svg"/>
  </wpswe:properties>
  <wpswe:watchingCache>
    <wpswe:linkPath>C:/Users/Administrator/AppData/Local/Temp/wps.MkGpeM/Workbook2.xlsx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https://clientweb.docer.wps.cn/ds/1.0.0/webShapeView?id=&amp;dschart_id=3612096174443311105-3&amp;from=taskbar_default&amp;productEntry=toolbar&amp;sceneEntry=tosobc_column&amp;flag=1003</wpswe:url>
  <wpswe:constantSnapshot>false</wpswe:constantSnapshot>
</wpswe:webExtension>
</file>

<file path=word/webExtensions/webExtension2.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26556290&quot;,&quot;chart_type&quot;:&quot;饼图&quot;,&quot;classifty_type&quot;:[&quot;占比类&quot;],&quot;dataSrc&quot;:{&quot;data&quot;:[[[&quot;项目&quot;,&quot;占比（%）&quot;],[&quot;一般公共预算财政拨款收入&quot;,&quot;97.11&quot;],[&quot;事业收入&quot;,&quot;2.87&quot;],[&quot;其他收入&quot;,&quot;0.19&quot;]]],&quot;dataType&quot;:&quot;object-table&quot;,&quot;download&quot;:false,&quot;srcType&quot;:&quot;local&quot;,&quot;url&quot;:&quot;&quot;},&quot;function_type&quot;:[&quot;饼图&quot;],&quot;gif&quot;:&quot;//web.docer.wpscdn.cn/docer/ds-page/images/5544734748594536493.gif?imageView2/2/w/500/quality/90&quot;,&quot;isFree&quot;:&quot;1&quot;,&quot;label&quot;:&quot;&lt;d-corner-pie-chart&gt;&quot;,&quot;projectId&quot;:&quot;5544734748594536493&quot;,&quot;props&quot;:{&quot;animation&quot;:{&quot;duration&quot;:&quot;1.5&quot;,&quot;easeStyle&quot;:&quot;&quot;,&quot;endPause&quot;:&quot;1&quot;,&quot;moveOptions&quot;:[&quot;轮子&quot;,&quot;百叶窗&quot;,&quot;折扇&quot;,&quot;径向展开&quot;],&quot;moveStyle&quot;:&quot;轮子&quot;,&quot;startDelay&quot;:&quot;0&quot;,&quot;transition&quot;:true},&quot;axis&quot;:&quot;&quot;,&quot;backgroundColor&quot;:&quot;&quot;,&quot;colors&quot;:{&quot;colorControlers&quot;:[&quot;multiple&quot;,&quot;linear&quot;],&quot;list&quot;:[0,1,2],&quot;type&quot;:&quot;multiple&quot;},&quot;display&quot;:{&quot;borderColor&quot;:&quot;#FFFFFF&quot;,&quot;borderWidth&quot;:&quot;1&quot;,&quot;cornerRadius&quot;:&quot;10&quot;,&quot;fillOpacity&quot;:&quot;1&quot;,&quot;gapPercentage&quot;:&quot;0&quot;,&quot;innerRadiusRatio&quot;:&quot;0&quot;},&quot;label&quot;:{&quot;contentChoice&quot;:[&quot;名称&quot;],&quot;contentOption&quot;:[&quot;名称&quot;,&quot;百分比&quot;,&quot;数值&quot;],&quot;display&quot;:true,&quot;positionChoice&quot;:&quot;内部周向&quot;,&quot;positionOptions&quot;:[&quot;内部周向&quot;,&quot;内部水平&quot;,&quot;外部&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quot;470&quot;,&quot;ratio&quot;:&quot;&quot;,&quot;rotate&quot;:0,&quot;width&quot;:&quot;600&quot;},&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中国网红受教育水平&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quot;,&quot;xPosition&quot;:&quot;left&quot;,&quot;yPosition&quot;:&quot;top&quot;},&quot;watermarkDisplay&quot;:{&quot;imgHeight&quot;:&quot;80&quot;,&quot;imgUrl&quot;:&quot;https://ss1.dydata.io/newchartWatermark.png&quot;,&quot;imgWidth&quot;:&quot;80&quot;,&quot;show&quot;:false}},&quot;templateId&quot;:&quot;5544734748594536493&quot;,&quot;templateSwitch&quot;:&quot;key-value&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TX1uSMvdp16D12h5XrG9jv.CE6FB975.jpg?imageView2/2/w/500/quality/90&quot;,&quot;title&quot;:&quot;基础饼图（圆角）&quot;,&quot;type&quot;:&quot;chart&quot;},&quot;dschart_id&quot;:&quot;5544734748594536493&quot;,&quot;flag&quot;:&quot;1003&quot;}"/>
    <wpswe:property key="isUseCommonErrorPage" value="false"/>
    <wpswe:property key="loadingImage" value="res:/icons/DsWebShapeDefaultPage.svg"/>
  </wpswe:properties>
  <wpswe:watchingCache>
    <wpswe:linkPath>C:/Users/Administrator/AppData/Local/Temp/wps.zjuDqZ/Workbook6.xlsx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https://clientweb.docer.wps.cn/ds/1.0.0/webShapeView?id=&amp;dschart_id=5544734748594536493&amp;from=taskbar_default&amp;productEntry=toolbar&amp;sceneEntry=tosobc_pie&amp;flag=1003</wpswe:url>
  <wpswe:constantSnapshot>false</wpswe:constantSnapshot>
</wpswe:webExtension>
</file>

<file path=word/webExtensions/webExtension3.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751221290197424&quot;,&quot;chart_type&quot;:&quot;柱状图&quot;,&quot;classifty_type&quot;:[&quot;比较类&quot;],&quot;dataSrc&quot;:{&quot;data&quot;:[[[&quot;年度&quot;,&quot;收入&quot;,&quot;支出&quot;],[&quot;2021&quot;,&quot;109.67&quot;,&quot;56.13&quot;],[&quot;2022&quot;,&quot;359.32&quot;,&quot;359.32&quot;]]],&quot;dataType&quot;:&quot;cross-table&quot;,&quot;download&quot;:false,&quot;srcType&quot;:&quot;local&quot;,&quot;url&quot;:&quot;&quot;},&quot;function_type&quot;:[&quot;柱形图&quot;],&quot;gif&quot;:&quot;https://image.dycharts.com/3612096174443311105.gif?imageView2/2/w/500/quality/90&quot;,&quot;isFree&quot;:&quot;0&quot;,&quot;label&quot;:&quot;&lt;e-barmultiple-chart&gt;&quot;,&quot;position&quot;:{&quot;left&quot;:0,&quot;top&quot;:0},&quot;price&quot;:0,&quot;projectId&quot;:&quot;164751145132966661&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3e3e3ff&quot;,&quot;gridLineWidth&quot;:&quot;1&quot;,&quot;lineStyle&quot;:&quot;line&quot;,&quot;show&quot;:&quot;x&quot;},&quot;x&quot;:{&quot;axisColor&quot;:&quot;#bfbfbf&quot;,&quot;axisLineWidth&quot;:&quot;1&quot;,&quot;axisShow&quot;:true,&quot;labelAngle&quot;:&quot;0&quot;,&quot;labelDirection&quot;:&quot;横排&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quot;,&quot;colors&quot;:{&quot;colorControlers&quot;:[&quot;multiple&quot;],&quot;list&quot;:[0,1],&quot;type&quot;:&quot;multiple&quot;},&quot;display&quot;:{&quot;bar4CornerRadius&quot;:[0,0,0,0],&quot;barWidthPercent&quot;:&quot;0.7&quot;,&quot;barborderColor&quot;:&quot;#ffffffff&quot;,&quot;barborderWidth&quot;:2,&quot;fillOpacity&quot;:1},&quot;font&quot;:{&quot;color&quot;:&quot;#545454&quot;,&quot;fontFamily&quot;:&quot;阿里巴巴普惠体 常规&quot;,&quot;fontSize&quot;:&quot;14&quot;},&quot;label&quot;:{&quot;display&quot;:false,&quot;positionChoice&quot;:&quot;上面&quot;,&quot;positionOptions&quot;:[&quot;上面&quot;,&quot;内部居下&quot;],&quot;suffix&quot;:&quot;&quot;,&quot;textLabel&quot;:{&quot;color&quot;:&quot;#545454&quot;,&quot;fontFamily&quot;:&quot;阿里巴巴普惠体 常规&quot;,&quot;fontSize&quot;:&quot;14&quot;}},&quot;legend&quot;:{&quot;color&quot;:[&quot;#545454&quot;],&quot;fontFamily&quot;:[&quot;阿里巴巴普惠体 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allowType&quot;:[&quot;number&quot;],&quot;configurable&quot;:true,&quot;function&quot;:&quot;vCol&quot;,&quot;index&quot;:2,&quot;isLegend&quot;:false,&quot;name&quot;:&quot;数值列&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155,&quot;ratio&quot;:&quot;&quot;,&quot;rotate&quot;:0,&quot;width&quot;:402},&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28&quot;,&quot;lineHeight&quot;:&quot;10&quot;,&quot;show&quot;:false,&quot;text&quot;:&quot;2010-2016年一线城市房价情况&quot;,&quot;totalHeight&quot;:&quot;39&quot;,&quot;xPosition&quot;:&quot;center&quot;,&quot;yPosition&quot;:&quot;top&quot;},&quot;tooltip&quot;:true,&quot;unitDisplay&quot;:{&quot;bottomLineHeight&quot;:&quot;15&quot;,&quot;color&quot;:&quot;#878787&quot;,&quot;fontFamily&quot;:&quot;阿里巴巴普惠体 常规&quot;,&quot;fontSize&quot;:&quot;14&quot;,&quot;show&quot;:true,&quot;text&quot;:&quot; &quot;,&quot;xPosition&quot;:&quot;left&quot;,&quot;yPosition&quot;:&quot;top&quot;},&quot;watermarkDisplay&quot;:{&quot;imgHeight&quot;:&quot;80&quot;,&quot;imgUrl&quot;:&quot;https://ss1.dycharts.com/newchartWatermark.png&quot;,&quot;imgWidth&quot;:&quot;80&quot;,&quot;show&quot;:false}},&quot;templateId&quot;:&quot;3612096174443311105-3&quot;,&quot;templateSwitch&quot;:&quot;cross&quot;,&quot;theme&quot;:{&quot;_id&quot;:18,&quot;axis&quot;:{&quot;color&quot;:&quot;#a1a1a1 &quot;},&quot;backgroundColor&quot;:&quot;#FFFFFF&quot;,&quot;colors&quot;:[&quot;#7d97bfff&quot;,&quot;#FFA500ff&quot;,&quot;#556280ff&quot;,&quot;#7d97bfff&quot;,&quot;#FFA500ff&quot;,&quot;#556280ff&quot;,&quot;#7d97bfff&quot;,&quot;#FFA500ff&quot;,&quot;#556280ff&quot;,&quot;#7d97bfff&quot;,&quot;#FFA500ff&quot;,&quot;#556280ff&quot;,&quot;#7d97bfff&quot;,&quot;#FFA500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web.docer.wpscdn.cn/docer/ds-page/images/3612096174443311105-3.png&quot;,&quot;title&quot;:&quot;分组柱状图&quot;,&quot;type&quot;:&quot;chart&quot;},&quot;dschart_id&quot;:&quot;3612096174443311105-3&quot;,&quot;flag&quot;:&quot;1003&quot;}"/>
    <wpswe:property key="isUseCommonErrorPage" value="false"/>
    <wpswe:property key="loadingImage" value="res:/icons/DsWebShapeDefaultPage.svg"/>
  </wpswe:properties>
  <wpswe:watchingCache>
    <wpswe:linkPath>C:/Users/Administrator/AppData/Local/Temp/wps.KaMgta/Workbook3.xlsx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https://clientweb.docer.wps.cn/ds/1.0.0/webShapeView?id=&amp;dschart_id=3612096174443311105-3&amp;from=taskbar_default&amp;productEntry=toolbar&amp;sceneEntry=tosobc_column&amp;flag=1003</wpswe:url>
  <wpswe:constantSnapshot>false</wpswe:constantSnapshot>
</wpswe:webExtension>
</file>

<file path=word/webExtensions/webExtension4.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0708166709743559&quot;,&quot;chart_type&quot;:&quot;柱状图&quot;,&quot;classifty_type&quot;:[&quot;比较类&quot;],&quot;dataSrc&quot;:{&quot;data&quot;:[[[&quot;时间&quot;,&quot;金额（万元）&quot;],[&quot;2021&quot;,&quot;170.45&quot;],[&quot;2022&quot;,&quot;359.32&quot;]]],&quot;dataType&quot;:&quot;obejct-table&quot;,&quot;download&quot;:false,&quot;srcType&quot;:&quot;local&quot;,&quot;url&quot;:&quot;&quot;},&quot;function_type&quot;:[&quot;柱形图&quot;],&quot;gif&quot;:&quot;//web.docer.wpscdn.cn/docer/ds-page/images/444734748594536323.gif?imageView2/2/w/500/quality/90&quot;,&quot;isFree&quot;:&quot;0&quot;,&quot;label&quot;:&quot;&lt;e-barbasic-chart&gt;&quot;,&quot;projectId&quot;:&quot;160732933154413062&quot;,&quot;props&quot;:{&quot;animation&quot;:{&quot;duration&quot;:&quot;2&quot;,&quot;easeStyle&quot;:&quot;&quot;,&quot;endPause&quot;:&quot;1&quot;,&quot;moveOptions&quot;:[&quot;纵向同步拉伸&quot;,&quot;纵向依次拉伸&quot;,&quot;横向同步展开&quot;,&quot;横向依次展开&quot;],&quot;moveStyle&quot;:&quot;纵向同步拉伸&quot;,&quot;startDelay&quot;:&quot;0&quot;,&quot;transition&quot;:true},&quot;axis&quot;:{&quot;color&quot;:&quot;#a1a1a1&quot;,&quot;grid&quot;:{&quot;color&quot;:&quot;#ccc&quot;,&quot;gridLineWidth&quot;:&quot;1&quot;,&quot;lineStyle&quot;:&quot;dashline&quot;,&quot;show&quot;:&quot;none&quot;},&quot;x&quot;:{&quot;axisColor&quot;:&quot;#bfbfbf&quot;,&quot;axisLineWidth&quot;:&quot;1&quot;,&quot;axisShow&quot;:fals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false,&quot;labelSuffix&quot;:&quot;&quot;,&quot;name&quot;:&quot;&quot;,&quot;range&quot;:[],&quot;stepOfLabel&quot;:&quot;&quot;}},&quot;backgroundColor&quot;:&quot;&quot;,&quot;colors&quot;:{&quot;colorControlers&quot;:[&quot;single&quot;,&quot;multiple&quot;,&quot;linear&quot;],&quot;list&quot;:[3,0],&quot;type&quot;:&quot;linear&quot;},&quot;display&quot;:{&quot;bar4CornerRadius&quot;:[18,18,18,18],&quot;barWidthPercent&quot;:&quot;0.5&quot;,&quot;borderColor&quot;:&quot;&quot;,&quot;borderWidth&quot;:&quot;0&quot;,&quot;fillOpacity&quot;:&quot;1&quot;},&quot;font&quot;:{&quot;color&quot;:&quot;#333333ff&quot;,&quot;fontFamily&quot;:&quot;阿里巴巴普惠体 常规&quot;,&quot;fontSize&quot;:16},&quot;label&quot;:{&quot;display&quot;:true,&quot;positionChoice&quot;:&quot;上面&quot;,&quot;positionOptions&quot;:[&quot;上面&quot;,&quot;内部居下&quot;],&quot;suffix&quot;:&quot;&quot;,&quot;textLabel&quot;:{&quot;color&quot;:&quot;#333333ff&quot;,&quot;fontFamily&quot;:&quot;阿里巴巴普惠体 常规&quot;,&quot;fontSize&quot;:16}},&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298.57142857142856,&quot;ratio&quot;:&quot;&quot;,&quot;rotate&quot;:0,&quot;width&quot;:564.2857142857143},&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charts.com/newchartWatermark.png&quot;,&quot;imgWidth&quot;:&quot;80&quot;,&quot;show&quot;:false}},&quot;templateId&quot;:&quot;444734748594536323-2&quot;,&quot;templateSwitch&quot;:&quot;key-value&quot;,&quot;theme&quot;:{&quot;_id&quot;:18,&quot;axis&quot;:{&quot;color&quot;:&quot;#a1a1a1 &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18&quot;}},&quot;thumb&quot;:&quot;//web.docer.wpscdn.cn/docer/ds-page/images/444734748594536323-2.png&quot;,&quot;title&quot;:&quot;基础柱状图&quot;,&quot;type&quot;:&quot;chart&quot;},&quot;dschart_id&quot;:&quot;444734748594536323-2&quot;,&quot;flag&quot;:&quot;1003&quot;}"/>
    <wpswe:property key="isUseCommonErrorPage" value="false"/>
    <wpswe:property key="loadingImage" value="res:/icons/DsWebShapeDefaultPage.svg"/>
  </wpswe:properties>
  <wpswe:watchingCache>
    <wpswe:linkPath>C:/Users/Administrator/AppData/Local/Temp/wps.RCgQZV/Workbook4.xlsx</wpswe:linkPath>
  </wpswe:watchingCache>
  <wpswe:snapshot xmlns:r="http://schemas.openxmlformats.org/officeDocument/2006/relationships" r:embed="rId2"/>
  <wpswe:externalData xmlns:r="http://schemas.openxmlformats.org/officeDocument/2006/relationships" r:id="rId1"/>
  <wpswe:url>https://clientweb.docer.wps.cn/ds/1.0.0/webShapeView?id=45&amp;dschart_id=154772011302084304&amp;from=resource&amp;productEntry=docers&amp;sceneEntry=docrec&amp;flag=1003</wpswe:url>
  <wpswe:constantSnapshot>false</wpswe:constantSnapshot>
</wpswe:webExtension>
</file>

<file path=word/webExtensions/webExtension5.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699681860417958&quot;,&quot;chart_type&quot;:&quot;饼图&quot;,&quot;classifty_type&quot;:[&quot;占比类&quot;],&quot;dataSrc&quot;:{&quot;data&quot;:[[[&quot;项目&quot;,&quot;占比（%）&quot;],[&quot;教育支出&quot;,&quot;86.1&quot;],[&quot;社会保障和就业支出&quot;,&quot;8.78&quot;],[&quot;卫生健康支出&quot;,&quot;5.12&quot;]]],&quot;dataType&quot;:&quot;obejct-table&quot;,&quot;download&quot;:false,&quot;srcType&quot;:&quot;local&quot;,&quot;url&quot;:&quot;&quot;},&quot;function_type&quot;:[&quot;饼图&quot;],&quot;gif&quot;:&quot;https://image.dycharts.com/444746070325460997.gif?imageView2/2/w/500/quality/90&quot;,&quot;isFree&quot;:&quot;0&quot;,&quot;label&quot;:&quot;&lt;e-piebasic-chart&gt;&quot;,&quot;position&quot;:{&quot;left&quot;:0,&quot;top&quot;:0},&quot;price&quot;:0,&quot;projectId&quot;:&quot;164758893425733001&quot;,&quot;props&quot;:{&quot;animation&quot;:{&quot;duration&quot;:&quot;1.5&quot;,&quot;easeStyle&quot;:&quot;&quot;,&quot;endPause&quot;:&quot;1&quot;,&quot;moveOptions&quot;:[&quot;轮子&quot;,&quot;百叶窗&quot;,&quot;折扇&quot;,&quot;径向展开&quot;],&quot;moveStyle&quot;:&quot;轮子&quot;,&quot;startDelay&quot;:&quot;0&quot;,&quot;transition&quot;:true},&quot;backgroundColor&quot;:&quot;&quot;,&quot;colors&quot;:{&quot;colorControlers&quot;:[&quot;multiple&quot;,&quot;linear&quot;],&quot;list&quot;:[&quot;#4FC7BAff&quot;,&quot;#A1B3F8ff&quot;,&quot;#9AE5F7ff&quot;],&quot;type&quot;:&quot;multiple&quot;},&quot;display&quot;:{&quot;borderColor&quot;:&quot;#222222ff&quot;,&quot;borderWidth&quot;:1.5,&quot;cornerRadius&quot;:0,&quot;fillOpacity&quot;:&quot;1&quot;,&quot;gapPercentage&quot;:&quot;0&quot;,&quot;innerRadiusRatio&quot;:&quot;0&quot;},&quot;label&quot;:{&quot;contentChoice&quot;:[&quot;名称&quot;,&quot;百分比&quot;],&quot;contentOption&quot;:[&quot;名称&quot;,&quot;百分比&quot;,&quot;数值&quot;],&quot;display&quot;:true,&quot;positionChoice&quot;:&quot;外部&quot;,&quot;positionOptions&quot;:[&quot;内部周向&quot;,&quot;内部水平&quot;,&quot;外部&quot;],&quot;suffix&quot;:&quot;&quot;,&quot;textLabel&quot;:{&quot;color&quot;:&quot;#545454&quot;,&quot;fontFamily&quot;:&quot;OPPOSans-M&quot;,&quot;fontSize&quot;:&quot;15&quot;}},&quot;legend&quot;:{&quot;color&quot;:[&quot;#545454&quot;],&quot;fontFamily&quot;:&quot;OPPOSans-M&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284.2857142857143,&quot;ratio&quot;:&quot;&quot;,&quot;rotate&quot;:0,&quot;width&quot;:644.2857142857143},&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OPPOSans-M&quot;,&quot;fontSize&quot;:&quot;30&quot;,&quot;lineHeight&quot;:&quot;10&quot;,&quot;show&quot;:false,&quot;text&quot;:&quot;中国网红受教育水平&quot;,&quot;totalHeight&quot;:&quot;39&quot;,&quot;xPosition&quot;:&quot;center&quot;,&quot;yPosition&quot;:&quot;top&quot;},&quot;tooltip&quot;:true,&quot;unitDisplay&quot;:{&quot;bottomLineHeight&quot;:&quot;15&quot;,&quot;color&quot;:&quot;#878787&quot;,&quot;fontFamily&quot;:&quot;阿里巴巴普惠体 常规&quot;,&quot;fontSize&quot;:&quot;14&quot;,&quot;show&quot;:false,&quot;text&quot;:&quot; &quot;,&quot;xPosition&quot;:&quot;left&quot;,&quot;yPosition&quot;:&quot;top&quot;},&quot;watermarkDisplay&quot;:{&quot;imgHeight&quot;:&quot;80&quot;,&quot;imgUrl&quot;:&quot;https://ss1.dycharts.com/newchartWatermark.png&quot;,&quot;imgWidth&quot;:&quot;80&quot;,&quot;show&quot;:false}},&quot;templateId&quot;:&quot;444746070325460997-3&quot;,&quot;templateSwitch&quot;:&quot;key-value&quot;,&quot;theme&quot;:{&quot;_id&quot;:18,&quot;axis&quot;:{&quot;color&quot;:&quot;#a1a1a1 &quot;},&quot;backgroundColor&quot;:&quot;#FFFFFF&quot;,&quot;colors&quot;:[&quot;#4FC7BAff&quot;,&quot;#A1B3F8ff&quot;,&quot;#9AE5F7ff&quot;,&quot;#fee10cff&quot;,&quot;#4FC7BAff&quot;,&quot;#A1B3F8ff&quot;,&quot;#9AE5F7ff&quot;,&quot;#fee10cff&quot;,&quot;#4FC7BAff&quot;,&quot;#A1B3F8ff&quot;,&quot;#9AE5F7ff&quot;,&quot;#fee10cff&quot;,&quot;#4FC7BAff&quot;,&quot;#A1B3F8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web.docer.wpscdn.cn/docer/ds-page/images/444746070325460997-3.png&quot;,&quot;title&quot;:&quot;基础饼图&quot;,&quot;type&quot;:&quot;chart&quot;},&quot;dschart_id&quot;:&quot;444746070325460997-3&quot;,&quot;flag&quot;:&quot;1003&quot;}"/>
    <wpswe:property key="isUseCommonErrorPage" value="false"/>
    <wpswe:property key="loadingImage" value="res:/icons/DsWebShapeDefaultPage.svg"/>
  </wpswe:properties>
  <wpswe:watchingCache>
    <wpswe:linkPath>C:/Users/Administrator/AppData/Local/Temp/wps.BklyMV/Workbook5.xlsx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https://clientweb.docer.wps.cn/ds/1.0.0/webShapeView?id=&amp;dschart_id=444746070325460997-3&amp;from=taskbar_default&amp;productEntry=toolbar&amp;sceneEntry=tosobc_pie&amp;flag=1003</wpswe:url>
  <wpswe:constantSnapshot>false</wpswe:constantSnapshot>
</wps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43</Pages>
  <Words>14784</Words>
  <Characters>15344</Characters>
  <Lines>61</Lines>
  <Paragraphs>17</Paragraphs>
  <TotalTime>0</TotalTime>
  <ScaleCrop>false</ScaleCrop>
  <LinksUpToDate>false</LinksUpToDate>
  <CharactersWithSpaces>15473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凝望</cp:lastModifiedBy>
  <cp:lastPrinted>2023-10-09T01:24:00Z</cp:lastPrinted>
  <dcterms:modified xsi:type="dcterms:W3CDTF">2023-10-15T06:00:49Z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F7B0B624D8994E28BEC1EAC646B4A0E7_13</vt:lpwstr>
  </property>
</Properties>
</file>