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193"/>
      <w:bookmarkStart w:id="3" w:name="_Toc15377425"/>
      <w:bookmarkStart w:id="4" w:name="_Toc15396475"/>
      <w:bookmarkStart w:id="5" w:name="_Toc15396597"/>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598"/>
      <w:bookmarkStart w:id="8" w:name="_Toc15377194"/>
      <w:bookmarkStart w:id="9" w:name="_Toc15396476"/>
      <w:bookmarkStart w:id="10" w:name="_Toc15378442"/>
      <w:bookmarkStart w:id="11" w:name="_Toc15306268"/>
      <w:r>
        <w:rPr>
          <w:rFonts w:hint="eastAsia" w:ascii="方正小标宋简体" w:hAnsi="方正小标宋简体" w:eastAsia="方正小标宋简体" w:cs="方正小标宋简体"/>
          <w:sz w:val="72"/>
          <w:szCs w:val="72"/>
        </w:rPr>
        <w:t>广元市树人幼儿园</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bookmarkStart w:id="12" w:name="_Toc15377196"/>
      <w:bookmarkStart w:id="13" w:name="_Toc15396599"/>
      <w:r>
        <w:rPr>
          <w:rFonts w:hint="eastAsia"/>
        </w:rPr>
        <w:t>公开时间：2023年</w:t>
      </w:r>
      <w:r>
        <w:rPr>
          <w:rFonts w:hint="eastAsia"/>
          <w:lang w:val="en-US" w:eastAsia="zh-CN"/>
        </w:rPr>
        <w:t>10</w:t>
      </w:r>
      <w:r>
        <w:rPr>
          <w:rFonts w:hint="eastAsia"/>
        </w:rPr>
        <w:t>月</w:t>
      </w:r>
      <w:r>
        <w:rPr>
          <w:rFonts w:hint="eastAsia"/>
          <w:lang w:val="en-US" w:eastAsia="zh-CN"/>
        </w:rPr>
        <w:t>15</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第一部分单位概况</w:t>
      </w:r>
    </w:p>
    <w:p>
      <w:pPr>
        <w:pStyle w:val="11"/>
        <w:adjustRightInd w:val="0"/>
        <w:snapToGrid w:val="0"/>
        <w:spacing w:line="440" w:lineRule="exact"/>
        <w:jc w:val="left"/>
        <w:rPr>
          <w:sz w:val="24"/>
        </w:rPr>
      </w:pPr>
      <w:r>
        <w:rPr>
          <w:rFonts w:hint="eastAsia"/>
          <w:sz w:val="24"/>
        </w:rPr>
        <w:t>一、主要职责</w:t>
      </w:r>
    </w:p>
    <w:p>
      <w:pPr>
        <w:pStyle w:val="11"/>
        <w:adjustRightInd w:val="0"/>
        <w:snapToGrid w:val="0"/>
        <w:spacing w:line="440" w:lineRule="exact"/>
        <w:jc w:val="left"/>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2022年度单位决算情况说明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九、国有资本经营预算支出决算情况说明</w:t>
      </w:r>
    </w:p>
    <w:p>
      <w:pPr>
        <w:pStyle w:val="11"/>
        <w:adjustRightInd w:val="0"/>
        <w:snapToGrid w:val="0"/>
        <w:spacing w:line="440" w:lineRule="exact"/>
        <w:jc w:val="left"/>
        <w:rPr>
          <w:sz w:val="24"/>
        </w:rPr>
      </w:pPr>
      <w:r>
        <w:rPr>
          <w:rFonts w:hint="eastAsia"/>
          <w:sz w:val="24"/>
        </w:rPr>
        <w:t>十、其他重要事项的情况说明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第三部分名词解释</w:t>
      </w:r>
    </w:p>
    <w:p>
      <w:pPr>
        <w:pStyle w:val="10"/>
        <w:adjustRightInd w:val="0"/>
        <w:snapToGrid w:val="0"/>
        <w:spacing w:before="0" w:line="440" w:lineRule="exact"/>
        <w:jc w:val="left"/>
        <w:rPr>
          <w:rFonts w:cstheme="minorBidi"/>
          <w:sz w:val="24"/>
          <w:szCs w:val="24"/>
        </w:rPr>
      </w:pPr>
      <w:r>
        <w:rPr>
          <w:rFonts w:hint="eastAsia"/>
          <w:sz w:val="24"/>
        </w:rPr>
        <w:t>第四部分附件</w:t>
      </w:r>
    </w:p>
    <w:p>
      <w:pPr>
        <w:pStyle w:val="10"/>
        <w:adjustRightInd w:val="0"/>
        <w:snapToGrid w:val="0"/>
        <w:spacing w:before="0" w:line="440" w:lineRule="exact"/>
        <w:jc w:val="left"/>
        <w:rPr>
          <w:rFonts w:cstheme="minorBidi"/>
          <w:sz w:val="24"/>
          <w:szCs w:val="24"/>
        </w:rPr>
      </w:pPr>
      <w:r>
        <w:rPr>
          <w:rFonts w:hint="eastAsia"/>
          <w:sz w:val="24"/>
        </w:rPr>
        <w:t>第五部分附表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八、一般公共预算财政拨款基本支出决算明细表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十、政府性基金预算财政拨款收入支出决算表</w:t>
      </w:r>
    </w:p>
    <w:p>
      <w:pPr>
        <w:pStyle w:val="11"/>
        <w:adjustRightInd w:val="0"/>
        <w:snapToGrid w:val="0"/>
        <w:spacing w:line="440" w:lineRule="exact"/>
        <w:jc w:val="left"/>
        <w:rPr>
          <w:sz w:val="24"/>
        </w:rPr>
      </w:pPr>
      <w:r>
        <w:rPr>
          <w:rFonts w:hint="eastAsia"/>
          <w:sz w:val="24"/>
        </w:rPr>
        <w:t>十一、国有资本经营预算财政拨款收入支出决算表</w:t>
      </w:r>
    </w:p>
    <w:p>
      <w:pPr>
        <w:pStyle w:val="11"/>
        <w:adjustRightInd w:val="0"/>
        <w:snapToGrid w:val="0"/>
        <w:spacing w:line="440" w:lineRule="exact"/>
        <w:jc w:val="left"/>
        <w:rPr>
          <w:sz w:val="24"/>
        </w:rPr>
      </w:pPr>
      <w:r>
        <w:rPr>
          <w:rFonts w:hint="eastAsia"/>
          <w:sz w:val="24"/>
        </w:rPr>
        <w:t>十二、国有资本经营预算财政拨款支出决算表</w:t>
      </w:r>
    </w:p>
    <w:p>
      <w:pPr>
        <w:pStyle w:val="11"/>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numPr>
          <w:ilvl w:val="0"/>
          <w:numId w:val="1"/>
        </w:numPr>
        <w:rPr>
          <w:rFonts w:hint="eastAsia" w:ascii="仿宋" w:hAnsi="仿宋" w:eastAsia="仿宋" w:cs="仿宋"/>
          <w:b w:val="0"/>
          <w:bCs w:val="0"/>
        </w:rPr>
      </w:pPr>
      <w:bookmarkStart w:id="14" w:name="_Toc15377197"/>
      <w:bookmarkStart w:id="15" w:name="_Toc15396600"/>
      <w:r>
        <w:rPr>
          <w:rStyle w:val="25"/>
          <w:rFonts w:hint="eastAsia" w:ascii="黑体" w:hAnsi="黑体" w:eastAsia="黑体"/>
          <w:b w:val="0"/>
          <w:bCs w:val="0"/>
        </w:rPr>
        <w:t>主要职责：</w:t>
      </w:r>
    </w:p>
    <w:p>
      <w:pPr>
        <w:pStyle w:val="4"/>
        <w:numPr>
          <w:ilvl w:val="0"/>
          <w:numId w:val="0"/>
        </w:numPr>
        <w:ind w:firstLine="640" w:firstLineChars="200"/>
        <w:rPr>
          <w:rFonts w:hint="eastAsia" w:ascii="仿宋" w:hAnsi="仿宋" w:eastAsia="仿宋" w:cs="仿宋"/>
          <w:b w:val="0"/>
          <w:bCs w:val="0"/>
        </w:rPr>
      </w:pPr>
      <w:r>
        <w:rPr>
          <w:rStyle w:val="25"/>
          <w:rFonts w:hint="eastAsia" w:ascii="仿宋" w:hAnsi="仿宋" w:eastAsia="仿宋" w:cs="仿宋"/>
          <w:b w:val="0"/>
          <w:bCs w:val="0"/>
        </w:rPr>
        <w:t>为学龄前儿童提供保育和教育服务，促进学前教育发展。</w:t>
      </w:r>
    </w:p>
    <w:p>
      <w:pPr>
        <w:pStyle w:val="4"/>
        <w:numPr>
          <w:ilvl w:val="0"/>
          <w:numId w:val="1"/>
        </w:numPr>
        <w:rPr>
          <w:rFonts w:ascii="黑体" w:hAnsi="黑体" w:eastAsia="黑体"/>
          <w:b w:val="0"/>
        </w:rPr>
      </w:pPr>
      <w:r>
        <w:rPr>
          <w:rFonts w:hint="eastAsia" w:ascii="黑体" w:hAnsi="黑体" w:eastAsia="黑体"/>
          <w:b w:val="0"/>
        </w:rPr>
        <w:t>机构设置</w:t>
      </w:r>
    </w:p>
    <w:p>
      <w:pPr>
        <w:ind w:firstLine="640" w:firstLineChars="200"/>
        <w:rPr>
          <w:rStyle w:val="25"/>
          <w:rFonts w:ascii="黑体" w:hAnsi="黑体" w:eastAsia="黑体"/>
          <w:b w:val="0"/>
          <w:bCs w:val="0"/>
        </w:rPr>
      </w:pPr>
      <w:r>
        <w:rPr>
          <w:rStyle w:val="25"/>
          <w:rFonts w:hint="eastAsia" w:ascii="仿宋" w:hAnsi="仿宋" w:eastAsia="仿宋" w:cs="仿宋"/>
          <w:b w:val="0"/>
          <w:bCs w:val="0"/>
        </w:rPr>
        <w:t>广元市树人幼儿园是广元市利州区教育局直属学校，属财政补助、公益二类事业单位。本单位无附属或下级单位。</w:t>
      </w:r>
      <w:bookmarkEnd w:id="14"/>
      <w:bookmarkEnd w:id="15"/>
      <w:r>
        <w:rPr>
          <w:rStyle w:val="25"/>
          <w:rFonts w:hint="eastAsia" w:ascii="黑体" w:hAnsi="黑体" w:eastAsia="黑体"/>
          <w:b w:val="0"/>
          <w:bCs w:val="0"/>
        </w:rPr>
        <w:br w:type="page"/>
      </w: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2022年度收、支总计672.04万元。与2021年相比，收、支总计各减少100.36万元，下降13</w:t>
      </w:r>
      <w:r>
        <w:rPr>
          <w:rFonts w:ascii="仿宋" w:hAnsi="仿宋" w:eastAsia="仿宋"/>
          <w:sz w:val="32"/>
          <w:szCs w:val="32"/>
        </w:rPr>
        <w:t>%</w:t>
      </w:r>
      <w:r>
        <w:rPr>
          <w:rFonts w:hint="eastAsia" w:ascii="仿宋" w:hAnsi="仿宋" w:eastAsia="仿宋"/>
          <w:sz w:val="32"/>
          <w:szCs w:val="32"/>
        </w:rPr>
        <w:t>。主要变动原因是2022年6月正式移交利州区，1-5月在市财政核算，6-12月利州区财政核算。</w:t>
      </w:r>
    </w:p>
    <w:p>
      <w:pPr>
        <w:spacing w:line="600" w:lineRule="exact"/>
        <w:ind w:firstLine="640" w:firstLineChars="200"/>
        <w:rPr>
          <w:rFonts w:ascii="仿宋_GB2312" w:eastAsia="仿宋_GB2312"/>
          <w:sz w:val="32"/>
          <w:szCs w:val="32"/>
        </w:rPr>
      </w:pPr>
      <w:r>
        <w:rPr>
          <w:rFonts w:ascii="仿宋" w:hAnsi="仿宋" w:eastAsia="仿宋"/>
          <w:color w:val="000000"/>
          <w:sz w:val="32"/>
          <w:szCs w:val="32"/>
        </w:rPr>
        <w:pict>
          <v:shape id="_x0000_s1026" o:spid="_x0000_s1026" o:spt="75" type="#_x0000_t75" style="position:absolute;left:0pt;margin-left:10.95pt;margin-top:14.65pt;height:221.1pt;width:412.1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v:shape>
          <o:OLEObject Type="Embed" ProgID="Excel.Sheet.8" ShapeID="_x0000_s1026" DrawAspect="Content" ObjectID="_1468075725" r:id="rId6">
            <o:LockedField>false</o:LockedField>
          </o:OLEObject>
        </w:pic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3"/>
        <w:numPr>
          <w:ilvl w:val="0"/>
          <w:numId w:val="2"/>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22年本年收入合计672.04万元，其中：一般公共预算财政拨款收入672.04万元，占100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p>
    <w:p>
      <w:pPr>
        <w:pStyle w:val="2"/>
        <w:spacing w:before="93"/>
      </w:pPr>
      <w:r>
        <w:drawing>
          <wp:inline distT="0" distB="0" distL="114300" distR="114300">
            <wp:extent cx="4581525" cy="2743200"/>
            <wp:effectExtent l="4445" t="4445" r="5080" b="14605"/>
            <wp:docPr id="104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67</w:t>
      </w:r>
      <w:r>
        <w:rPr>
          <w:rFonts w:hint="eastAsia" w:ascii="仿宋" w:hAnsi="仿宋" w:eastAsia="仿宋"/>
          <w:sz w:val="32"/>
          <w:szCs w:val="32"/>
        </w:rPr>
        <w:t>2.04万元，其中：基本支出619.19万元，占81.25</w:t>
      </w:r>
      <w:r>
        <w:rPr>
          <w:rFonts w:ascii="仿宋" w:hAnsi="仿宋" w:eastAsia="仿宋"/>
          <w:sz w:val="32"/>
          <w:szCs w:val="32"/>
        </w:rPr>
        <w:t>%</w:t>
      </w:r>
      <w:r>
        <w:rPr>
          <w:rFonts w:hint="eastAsia" w:ascii="仿宋" w:hAnsi="仿宋" w:eastAsia="仿宋"/>
          <w:sz w:val="32"/>
          <w:szCs w:val="32"/>
        </w:rPr>
        <w:t>；项目支出52.85万元，占18.75</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114300" distR="114300">
            <wp:extent cx="4722495" cy="2674620"/>
            <wp:effectExtent l="4445" t="4445" r="16510" b="6985"/>
            <wp:docPr id="103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22年财政拨款收、支总计672.04万元。与</w:t>
      </w:r>
      <w:r>
        <w:rPr>
          <w:rFonts w:ascii="仿宋" w:hAnsi="仿宋" w:eastAsia="仿宋"/>
          <w:sz w:val="32"/>
          <w:szCs w:val="32"/>
        </w:rPr>
        <w:t>20</w:t>
      </w:r>
      <w:r>
        <w:rPr>
          <w:rFonts w:hint="eastAsia" w:ascii="仿宋" w:hAnsi="仿宋" w:eastAsia="仿宋"/>
          <w:sz w:val="32"/>
          <w:szCs w:val="32"/>
        </w:rPr>
        <w:t>21年相比，财政拨款收、支总计各减少100.36万元，下降13</w:t>
      </w:r>
      <w:r>
        <w:rPr>
          <w:rFonts w:ascii="仿宋" w:hAnsi="仿宋" w:eastAsia="仿宋"/>
          <w:sz w:val="32"/>
          <w:szCs w:val="32"/>
        </w:rPr>
        <w:t>%</w:t>
      </w:r>
      <w:r>
        <w:rPr>
          <w:rFonts w:hint="eastAsia" w:ascii="仿宋" w:hAnsi="仿宋" w:eastAsia="仿宋"/>
          <w:sz w:val="32"/>
          <w:szCs w:val="32"/>
        </w:rPr>
        <w:t>。主要变动原因是2022年6月正式移交利州区，1-5月在市财政核算，6-12月利州区财政核算。</w:t>
      </w:r>
    </w:p>
    <w:p>
      <w:pPr>
        <w:pStyle w:val="2"/>
        <w:spacing w:before="93"/>
        <w:jc w:val="center"/>
        <w:rPr>
          <w:rFonts w:ascii="仿宋" w:hAnsi="仿宋" w:eastAsia="仿宋"/>
          <w:sz w:val="32"/>
          <w:szCs w:val="32"/>
        </w:rPr>
      </w:pPr>
      <w:r>
        <w:drawing>
          <wp:inline distT="0" distB="0" distL="114300" distR="114300">
            <wp:extent cx="3267075" cy="2743200"/>
            <wp:effectExtent l="4445" t="4445" r="508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22年一般公共预算财政拨款支出619.19万元，占本年支出合计的81.25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21年相比，一般公共预算财政拨款支出减少128.7万元，下降17.21</w:t>
      </w:r>
      <w:r>
        <w:rPr>
          <w:rFonts w:ascii="仿宋" w:hAnsi="仿宋" w:eastAsia="仿宋"/>
          <w:sz w:val="32"/>
          <w:szCs w:val="32"/>
        </w:rPr>
        <w:t>%</w:t>
      </w:r>
      <w:r>
        <w:rPr>
          <w:rFonts w:hint="eastAsia" w:ascii="仿宋" w:hAnsi="仿宋" w:eastAsia="仿宋"/>
          <w:sz w:val="32"/>
          <w:szCs w:val="32"/>
        </w:rPr>
        <w:t>。主要变动原因是2022年6月正式移交利州区，1-5月在市财政核算，6-12月利州区财政核算。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drawing>
          <wp:inline distT="0" distB="0" distL="114300" distR="114300">
            <wp:extent cx="4581525" cy="2743200"/>
            <wp:effectExtent l="4445" t="4445" r="5080" b="14605"/>
            <wp:docPr id="103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22年一般公共预算财政拨款支出672.04万元，主要用于以下方面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441.88万元，占65.75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153.02万元，占22.77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21.29万元，占3.17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55.85万元，占8.31</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114300" distR="114300">
            <wp:extent cx="4572000" cy="2743200"/>
            <wp:effectExtent l="4445" t="4445" r="14605" b="14605"/>
            <wp:docPr id="10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Style w:val="14"/>
          <w:rFonts w:ascii="仿宋" w:hAnsi="仿宋" w:eastAsia="仿宋"/>
          <w:bCs/>
          <w:sz w:val="32"/>
          <w:szCs w:val="32"/>
        </w:rPr>
      </w:pPr>
      <w:bookmarkStart w:id="31" w:name="_Toc15378460"/>
      <w:bookmarkStart w:id="32" w:name="_Toc15377213"/>
      <w:bookmarkStart w:id="33" w:name="_Toc15377444"/>
      <w:r>
        <w:rPr>
          <w:rFonts w:hint="eastAsia" w:ascii="仿宋" w:hAnsi="仿宋" w:eastAsia="仿宋"/>
          <w:b/>
          <w:sz w:val="32"/>
          <w:szCs w:val="32"/>
        </w:rPr>
        <w:t>2022年一般公共预算支出决算数为672.04</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numPr>
          <w:ilvl w:val="0"/>
          <w:numId w:val="3"/>
        </w:numPr>
        <w:spacing w:line="600" w:lineRule="exact"/>
        <w:ind w:firstLine="643"/>
        <w:rPr>
          <w:rStyle w:val="14"/>
          <w:rFonts w:ascii="仿宋" w:hAnsi="仿宋" w:eastAsia="仿宋"/>
          <w:b w:val="0"/>
          <w:bCs/>
          <w:sz w:val="32"/>
          <w:szCs w:val="32"/>
        </w:rPr>
      </w:pPr>
      <w:r>
        <w:rPr>
          <w:rFonts w:hint="eastAsia" w:ascii="仿宋" w:hAnsi="仿宋" w:eastAsia="仿宋"/>
          <w:b/>
          <w:bCs/>
          <w:sz w:val="32"/>
          <w:szCs w:val="32"/>
        </w:rPr>
        <w:t>教育（类）普通教育（款）学前教育（项）:</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支出决算为439.88万元，完成预算100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b/>
          <w:bCs/>
          <w:sz w:val="32"/>
          <w:szCs w:val="32"/>
        </w:rPr>
        <w:t>教育（类）普通教育（款）其他普通教育支出（项）:</w:t>
      </w:r>
      <w:r>
        <w:rPr>
          <w:rStyle w:val="14"/>
          <w:rFonts w:hint="eastAsia" w:ascii="仿宋" w:hAnsi="仿宋" w:eastAsia="仿宋"/>
          <w:b w:val="0"/>
          <w:bCs/>
          <w:sz w:val="32"/>
          <w:szCs w:val="32"/>
        </w:rPr>
        <w:t xml:space="preserve"> 支出决算为2.00万元，完成预算100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3"/>
        </w:numPr>
        <w:spacing w:line="600" w:lineRule="exact"/>
        <w:ind w:firstLine="643" w:firstLineChars="200"/>
        <w:rPr>
          <w:rFonts w:ascii="仿宋" w:hAnsi="仿宋" w:eastAsia="仿宋"/>
          <w:b/>
          <w:sz w:val="32"/>
          <w:szCs w:val="32"/>
        </w:rPr>
      </w:pPr>
      <w:r>
        <w:rPr>
          <w:rFonts w:hint="eastAsia" w:ascii="仿宋" w:hAnsi="仿宋" w:eastAsia="仿宋"/>
          <w:b/>
          <w:bCs/>
          <w:sz w:val="32"/>
          <w:szCs w:val="32"/>
        </w:rPr>
        <w:t xml:space="preserve">社会保障和就业（类）行政事业单位养老支出（款）机关事业单位基本养老保险缴费支出（项）: </w:t>
      </w:r>
      <w:r>
        <w:rPr>
          <w:rStyle w:val="14"/>
          <w:rFonts w:hint="eastAsia" w:ascii="仿宋" w:hAnsi="仿宋" w:eastAsia="仿宋"/>
          <w:b w:val="0"/>
          <w:bCs/>
          <w:sz w:val="32"/>
          <w:szCs w:val="32"/>
        </w:rPr>
        <w:t>支出决算为42.93万元，完成预算100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b/>
          <w:bCs/>
          <w:sz w:val="32"/>
          <w:szCs w:val="32"/>
        </w:rPr>
        <w:t xml:space="preserve">社会保障和就业（类）行政事业单位养老支出（款）机关事业单位职业年金缴费支出（项）: </w:t>
      </w:r>
      <w:r>
        <w:rPr>
          <w:rStyle w:val="14"/>
          <w:rFonts w:hint="eastAsia" w:ascii="仿宋" w:hAnsi="仿宋" w:eastAsia="仿宋"/>
          <w:b w:val="0"/>
          <w:bCs/>
          <w:sz w:val="32"/>
          <w:szCs w:val="32"/>
        </w:rPr>
        <w:t>支出决算108.2万元，完成预算100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b/>
          <w:bCs/>
          <w:sz w:val="32"/>
          <w:szCs w:val="32"/>
        </w:rPr>
        <w:t>社会保障和就业（类）其他社会保障和就业支出（款）其他社会保障和就业支出（项）:</w:t>
      </w:r>
      <w:r>
        <w:rPr>
          <w:rStyle w:val="14"/>
          <w:rFonts w:hint="eastAsia" w:ascii="仿宋" w:hAnsi="仿宋" w:eastAsia="仿宋"/>
          <w:b w:val="0"/>
          <w:bCs/>
          <w:sz w:val="32"/>
          <w:szCs w:val="32"/>
        </w:rPr>
        <w:t>支出决算1.89万元，完成预算100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3"/>
        </w:num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卫生健康支出</w:t>
      </w:r>
      <w:r>
        <w:rPr>
          <w:rStyle w:val="14"/>
          <w:rFonts w:hint="eastAsia" w:ascii="仿宋" w:hAnsi="仿宋" w:eastAsia="仿宋"/>
          <w:bCs/>
          <w:color w:val="000000"/>
          <w:sz w:val="28"/>
          <w:szCs w:val="28"/>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支出决算为21.29万元，完成预算100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3"/>
        </w:numPr>
        <w:spacing w:line="600" w:lineRule="exact"/>
        <w:ind w:firstLine="643" w:firstLineChars="200"/>
        <w:rPr>
          <w:rFonts w:ascii="仿宋" w:hAnsi="仿宋" w:eastAsia="仿宋"/>
          <w:b/>
          <w:sz w:val="32"/>
          <w:szCs w:val="32"/>
        </w:rPr>
      </w:pPr>
      <w:r>
        <w:rPr>
          <w:rStyle w:val="14"/>
          <w:rFonts w:hint="eastAsia" w:ascii="仿宋" w:hAnsi="仿宋" w:eastAsia="仿宋" w:cstheme="minorBidi"/>
          <w:bCs/>
          <w:sz w:val="32"/>
          <w:szCs w:val="32"/>
        </w:rPr>
        <w:t>住房保障支出（类）住房改革支出（款）住房公积金（项）:</w:t>
      </w:r>
      <w:r>
        <w:rPr>
          <w:rStyle w:val="14"/>
          <w:rFonts w:hint="eastAsia" w:ascii="仿宋" w:hAnsi="仿宋" w:eastAsia="仿宋"/>
          <w:b w:val="0"/>
          <w:bCs/>
          <w:sz w:val="32"/>
          <w:szCs w:val="32"/>
        </w:rPr>
        <w:t>支出决算为55.85万元，完成预算100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619.19</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人员经费602.61万元，主要包括：基本工资、津贴补贴、绩效工资、机关事业单位基本养老保险缴费、职业年金缴费、职工基本医疗保险缴费、其他社会保障缴费、其他工资福利支出、生活补助支出等。</w:t>
      </w:r>
      <w:r>
        <w:rPr>
          <w:rFonts w:ascii="仿宋" w:hAnsi="仿宋" w:eastAsia="仿宋"/>
          <w:sz w:val="32"/>
          <w:szCs w:val="32"/>
        </w:rPr>
        <w:br w:type="textWrapping"/>
      </w:r>
      <w:r>
        <w:rPr>
          <w:rFonts w:hint="eastAsia" w:ascii="仿宋" w:hAnsi="仿宋" w:eastAsia="仿宋"/>
          <w:sz w:val="32"/>
          <w:szCs w:val="32"/>
        </w:rPr>
        <w:t>　　公用经费16.58万元，主要包括：办公费、印刷费、邮电费、物业管理费、培训费、专用材料费、劳务费、工会经费、福利费、其他商品和服务支出等。</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left="638" w:leftChars="304" w:firstLine="329" w:firstLineChars="103"/>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w:t>
      </w:r>
      <w:r>
        <w:rPr>
          <w:rFonts w:hint="eastAsia" w:ascii="仿宋" w:hAnsi="仿宋" w:eastAsia="仿宋"/>
          <w:sz w:val="32"/>
          <w:szCs w:val="32"/>
          <w:lang w:val="en-US" w:eastAsia="zh-CN"/>
        </w:rPr>
        <w:t>年初未安排</w:t>
      </w:r>
      <w:r>
        <w:rPr>
          <w:rFonts w:hint="eastAsia" w:ascii="仿宋" w:hAnsi="仿宋" w:eastAsia="仿宋"/>
          <w:sz w:val="32"/>
          <w:szCs w:val="32"/>
        </w:rPr>
        <w:t>预算，较上年无变化。</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具体情况如下：</w:t>
      </w:r>
    </w:p>
    <w:p>
      <w:pPr>
        <w:pStyle w:val="2"/>
        <w:spacing w:before="93"/>
      </w:pPr>
      <w:r>
        <w:drawing>
          <wp:inline distT="0" distB="0" distL="114300" distR="114300">
            <wp:extent cx="4572000" cy="2743200"/>
            <wp:effectExtent l="4445" t="4445" r="14605" b="14605"/>
            <wp:docPr id="10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年初未安排预算。</w:t>
      </w:r>
      <w:r>
        <w:rPr>
          <w:rFonts w:hint="eastAsia" w:ascii="仿宋_GB2312" w:eastAsia="仿宋_GB2312"/>
          <w:sz w:val="32"/>
          <w:szCs w:val="32"/>
        </w:rPr>
        <w:t>因公出国（境）支出决算较2021年无变化。</w:t>
      </w:r>
    </w:p>
    <w:p>
      <w:pPr>
        <w:spacing w:line="600" w:lineRule="exact"/>
        <w:ind w:firstLine="640"/>
        <w:rPr>
          <w:rFonts w:ascii="仿宋" w:hAnsi="仿宋" w:eastAsia="仿宋"/>
          <w:color w:val="00000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Fonts w:hint="eastAsia" w:ascii="仿宋" w:hAnsi="仿宋" w:eastAsia="仿宋"/>
          <w:color w:val="000000"/>
          <w:sz w:val="32"/>
          <w:szCs w:val="32"/>
        </w:rPr>
        <w:t xml:space="preserve"> 年初未安排预算。公务用车购置及运行维护费支出决算与2021年持平。主要原因是截止2022年12月31日，本单位无公务用车。</w:t>
      </w:r>
    </w:p>
    <w:p>
      <w:pPr>
        <w:pStyle w:val="2"/>
        <w:spacing w:before="93"/>
        <w:ind w:firstLine="630" w:firstLineChars="196"/>
      </w:pPr>
      <w:r>
        <w:rPr>
          <w:rFonts w:hint="eastAsia"/>
          <w:b/>
          <w:sz w:val="32"/>
          <w:szCs w:val="32"/>
        </w:rPr>
        <w:t>公务用车运行维护费支出</w:t>
      </w:r>
      <w:r>
        <w:rPr>
          <w:rFonts w:hint="eastAsia"/>
          <w:sz w:val="32"/>
          <w:szCs w:val="32"/>
        </w:rPr>
        <w:t>0万元。</w:t>
      </w:r>
    </w:p>
    <w:p>
      <w:pPr>
        <w:spacing w:line="600" w:lineRule="exact"/>
        <w:ind w:firstLine="640"/>
        <w:rPr>
          <w:rFonts w:ascii="仿宋_GB2312" w:eastAsia="仿宋_GB2312"/>
          <w:sz w:val="32"/>
          <w:szCs w:val="32"/>
        </w:rPr>
      </w:pPr>
      <w:r>
        <w:rPr>
          <w:rFonts w:hint="eastAsia" w:ascii="仿宋_GB2312" w:eastAsia="仿宋_GB2312"/>
          <w:b/>
          <w:sz w:val="32"/>
          <w:szCs w:val="32"/>
        </w:rPr>
        <w:t>3</w:t>
      </w:r>
      <w:r>
        <w:rPr>
          <w:rFonts w:ascii="仿宋_GB2312" w:eastAsia="仿宋_GB2312"/>
          <w:b/>
          <w:sz w:val="32"/>
          <w:szCs w:val="32"/>
        </w:rPr>
        <w:t>.</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lang w:val="en-US" w:eastAsia="zh-CN"/>
        </w:rPr>
        <w:t>年初未安排预算</w:t>
      </w:r>
      <w:r>
        <w:rPr>
          <w:rStyle w:val="14"/>
          <w:rFonts w:hint="eastAsia" w:ascii="仿宋" w:hAnsi="仿宋" w:eastAsia="仿宋"/>
          <w:b w:val="0"/>
          <w:bCs/>
          <w:sz w:val="32"/>
          <w:szCs w:val="32"/>
        </w:rPr>
        <w:t>。</w:t>
      </w:r>
      <w:r>
        <w:rPr>
          <w:rFonts w:hint="eastAsia" w:ascii="仿宋_GB2312" w:eastAsia="仿宋_GB2312"/>
          <w:sz w:val="32"/>
          <w:szCs w:val="32"/>
        </w:rPr>
        <w:t>公务接待费支出决算较上年无变化。</w:t>
      </w:r>
    </w:p>
    <w:p>
      <w:pPr>
        <w:spacing w:line="600" w:lineRule="exact"/>
        <w:ind w:firstLine="643" w:firstLineChars="200"/>
        <w:rPr>
          <w:rFonts w:ascii="仿宋_GB2312" w:eastAsia="仿宋_GB2312"/>
          <w:sz w:val="32"/>
          <w:szCs w:val="32"/>
        </w:rPr>
      </w:pPr>
      <w:bookmarkStart w:id="40" w:name="_Toc15396610"/>
      <w:bookmarkStart w:id="41" w:name="_Toc15377218"/>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4"/>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4"/>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22年未发生机关运行经费支出，与</w:t>
      </w:r>
      <w:r>
        <w:rPr>
          <w:rFonts w:ascii="仿宋_GB2312" w:eastAsia="仿宋_GB2312"/>
          <w:sz w:val="32"/>
          <w:szCs w:val="32"/>
        </w:rPr>
        <w:t>20</w:t>
      </w:r>
      <w:r>
        <w:rPr>
          <w:rFonts w:hint="eastAsia" w:ascii="仿宋_GB2312" w:eastAsia="仿宋_GB2312"/>
          <w:sz w:val="32"/>
          <w:szCs w:val="32"/>
        </w:rPr>
        <w:t>21年决算数持平。主要原因是本单位属于事业单位。</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22年，政府采购支出总额0万元。授予中小企业合同金额0万元，占政府采购支出总额的0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日，广元市树人幼儿园共有车辆0辆。</w:t>
      </w:r>
      <w:bookmarkStart w:id="67" w:name="_GoBack"/>
      <w:bookmarkEnd w:id="67"/>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其他政策性支出、职业年金等22项目开展了预算事前绩效评估，对22个项目编制了绩效目标，预算执行过程中，选取22个项目开展绩效监控，组织对22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 教育支出（类）普通教育（款）学前教育（项）：指用于学前教育的支出。</w:t>
      </w:r>
      <w:r>
        <w:rPr>
          <w:rFonts w:hint="eastAsia" w:ascii="仿宋_GB2312" w:eastAsia="仿宋_GB2312"/>
          <w:color w:val="auto"/>
          <w:sz w:val="32"/>
          <w:szCs w:val="32"/>
        </w:rPr>
        <w:br w:type="textWrapping"/>
      </w:r>
      <w:r>
        <w:rPr>
          <w:rFonts w:hint="eastAsia" w:ascii="仿宋_GB2312" w:eastAsia="仿宋_GB2312"/>
          <w:color w:val="auto"/>
          <w:sz w:val="32"/>
          <w:szCs w:val="32"/>
        </w:rPr>
        <w:t xml:space="preserve">    3.社会保障和就业支出（类）行政事业单位养老支出（款）事业单位离退休（项）：指用于单位离退休人员的支出。</w:t>
      </w:r>
      <w:r>
        <w:rPr>
          <w:rFonts w:hint="eastAsia" w:ascii="仿宋_GB2312" w:eastAsia="仿宋_GB2312"/>
          <w:color w:val="auto"/>
          <w:sz w:val="32"/>
          <w:szCs w:val="32"/>
        </w:rPr>
        <w:br w:type="textWrapping"/>
      </w:r>
      <w:r>
        <w:rPr>
          <w:rFonts w:hint="eastAsia" w:ascii="仿宋_GB2312" w:eastAsia="仿宋_GB2312"/>
          <w:color w:val="auto"/>
          <w:sz w:val="32"/>
          <w:szCs w:val="32"/>
        </w:rPr>
        <w:t xml:space="preserve">   4.社会保障和就业支出（类）行政事业单位养老支出（款）机关事业单位基本养老保险缴费支出（项）：指用于实施养老保险制度由单位缴纳的基本养老保险费支出。</w:t>
      </w:r>
      <w:r>
        <w:rPr>
          <w:rFonts w:hint="eastAsia" w:ascii="仿宋_GB2312" w:eastAsia="仿宋_GB2312"/>
          <w:color w:val="auto"/>
          <w:sz w:val="32"/>
          <w:szCs w:val="32"/>
        </w:rPr>
        <w:br w:type="textWrapping"/>
      </w:r>
      <w:r>
        <w:rPr>
          <w:rFonts w:hint="eastAsia" w:ascii="仿宋_GB2312" w:eastAsia="仿宋_GB2312"/>
          <w:color w:val="auto"/>
          <w:sz w:val="32"/>
          <w:szCs w:val="32"/>
        </w:rPr>
        <w:t xml:space="preserve">   5..社会保障和就业支出（类）行政事业单位养老支出（款）机关事业单位职业年金缴费支出（项）：指用于单位职业年金缴费。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6.社会保障和就业支出（类）其他社会保障和就业支出（款）其他社会保障和就业支出（项）：指用于其他社会保障缴费支出</w:t>
      </w:r>
      <w:r>
        <w:rPr>
          <w:rFonts w:hint="eastAsia" w:ascii="仿宋_GB2312" w:eastAsia="仿宋_GB2312"/>
          <w:sz w:val="32"/>
          <w:szCs w:val="32"/>
        </w:rPr>
        <w:t>及离退休人员其他方面的支出。</w:t>
      </w:r>
      <w:r>
        <w:rPr>
          <w:rFonts w:hint="eastAsia" w:ascii="仿宋_GB2312" w:eastAsia="仿宋_GB2312"/>
          <w:color w:val="auto"/>
          <w:sz w:val="32"/>
          <w:szCs w:val="32"/>
        </w:rPr>
        <w:br w:type="textWrapping"/>
      </w:r>
      <w:r>
        <w:rPr>
          <w:rFonts w:hint="eastAsia" w:ascii="仿宋_GB2312" w:eastAsia="仿宋_GB2312"/>
          <w:color w:val="auto"/>
          <w:sz w:val="32"/>
          <w:szCs w:val="32"/>
        </w:rPr>
        <w:t xml:space="preserve">   7.卫生健康支出（类）行政事业单位医疗（款）事业单位医疗（项）：指用于单位基本医疗保险缴费。</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8.住房保障（类）住房改革支出（款）住房公积金（项）：指行政事业单位按人力资源和社会保障部、财政部规定的基本工资和津贴补贴以及规定比例为职工缴纳的住房公积金。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rPr>
          <w:rFonts w:ascii="仿宋" w:hAnsi="仿宋" w:eastAsia="仿宋"/>
          <w:b/>
          <w:sz w:val="32"/>
          <w:szCs w:val="32"/>
        </w:rPr>
      </w:pPr>
    </w:p>
    <w:p>
      <w:pPr>
        <w:spacing w:line="600" w:lineRule="exact"/>
        <w:jc w:val="center"/>
        <w:outlineLvl w:val="0"/>
        <w:rPr>
          <w:rStyle w:val="24"/>
          <w:rFonts w:ascii="黑体" w:hAnsi="黑体" w:eastAsia="黑体"/>
          <w:b w:val="0"/>
        </w:rPr>
      </w:pPr>
      <w:bookmarkStart w:id="51" w:name="_Toc15396614"/>
      <w:bookmarkStart w:id="52" w:name="_Toc15377226"/>
      <w:r>
        <w:rPr>
          <w:rFonts w:hint="eastAsia" w:ascii="黑体" w:hAnsi="黑体" w:eastAsia="黑体"/>
          <w:sz w:val="44"/>
          <w:szCs w:val="44"/>
        </w:rPr>
        <w:t>第</w:t>
      </w:r>
      <w:r>
        <w:rPr>
          <w:rStyle w:val="24"/>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p>
    <w:p>
      <w:pPr>
        <w:spacing w:line="600" w:lineRule="exact"/>
        <w:ind w:firstLine="640" w:firstLineChars="200"/>
        <w:jc w:val="left"/>
        <w:outlineLvl w:val="0"/>
        <w:rPr>
          <w:rFonts w:ascii="宋体" w:hAnsi="宋体" w:cs="宋体"/>
          <w:kern w:val="0"/>
          <w:sz w:val="32"/>
          <w:szCs w:val="32"/>
        </w:rPr>
      </w:pPr>
      <w:bookmarkStart w:id="53" w:name="_Toc15396618"/>
      <w:r>
        <w:rPr>
          <w:rFonts w:hint="eastAsia" w:ascii="宋体" w:hAnsi="宋体" w:cs="宋体"/>
          <w:kern w:val="0"/>
          <w:sz w:val="32"/>
          <w:szCs w:val="32"/>
        </w:rPr>
        <w:t>附件：广元市树人幼儿园2022年度部门预算项目支出绩效自评表</w:t>
      </w: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51A0FD5"/>
    <w:multiLevelType w:val="singleLevel"/>
    <w:tmpl w:val="251A0FD5"/>
    <w:lvl w:ilvl="0" w:tentative="0">
      <w:start w:val="1"/>
      <w:numFmt w:val="decimal"/>
      <w:lvlText w:val="%1."/>
      <w:lvlJc w:val="left"/>
      <w:pPr>
        <w:tabs>
          <w:tab w:val="left" w:pos="312"/>
        </w:tabs>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F1361C"/>
    <w:rsid w:val="0001399B"/>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733E"/>
    <w:rsid w:val="000D1267"/>
    <w:rsid w:val="000D1D50"/>
    <w:rsid w:val="000D5782"/>
    <w:rsid w:val="000E6613"/>
    <w:rsid w:val="000E7119"/>
    <w:rsid w:val="000F2C9E"/>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3EB8"/>
    <w:rsid w:val="00235629"/>
    <w:rsid w:val="00260C38"/>
    <w:rsid w:val="002616C0"/>
    <w:rsid w:val="00265372"/>
    <w:rsid w:val="002662AA"/>
    <w:rsid w:val="00280496"/>
    <w:rsid w:val="00294DC9"/>
    <w:rsid w:val="00295495"/>
    <w:rsid w:val="002A31DE"/>
    <w:rsid w:val="002A521B"/>
    <w:rsid w:val="002B2613"/>
    <w:rsid w:val="002D6D05"/>
    <w:rsid w:val="002F1818"/>
    <w:rsid w:val="002F567B"/>
    <w:rsid w:val="003216A9"/>
    <w:rsid w:val="00335A74"/>
    <w:rsid w:val="0036561B"/>
    <w:rsid w:val="0037013F"/>
    <w:rsid w:val="00380C92"/>
    <w:rsid w:val="003A484F"/>
    <w:rsid w:val="003A4883"/>
    <w:rsid w:val="003A4B1E"/>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235D"/>
    <w:rsid w:val="005664BB"/>
    <w:rsid w:val="00566FFA"/>
    <w:rsid w:val="0057481D"/>
    <w:rsid w:val="0058486E"/>
    <w:rsid w:val="00585B33"/>
    <w:rsid w:val="0059014D"/>
    <w:rsid w:val="0059409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32B4"/>
    <w:rsid w:val="006748A4"/>
    <w:rsid w:val="00681A31"/>
    <w:rsid w:val="00683E73"/>
    <w:rsid w:val="006A3141"/>
    <w:rsid w:val="006A5E34"/>
    <w:rsid w:val="006B2422"/>
    <w:rsid w:val="006B2B9A"/>
    <w:rsid w:val="006C1937"/>
    <w:rsid w:val="006D709B"/>
    <w:rsid w:val="006F020C"/>
    <w:rsid w:val="007127B7"/>
    <w:rsid w:val="007155F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3FD"/>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5AE2"/>
    <w:rsid w:val="00946945"/>
    <w:rsid w:val="00951248"/>
    <w:rsid w:val="0095152F"/>
    <w:rsid w:val="00954C49"/>
    <w:rsid w:val="00955E37"/>
    <w:rsid w:val="0097099F"/>
    <w:rsid w:val="00971997"/>
    <w:rsid w:val="00971FFC"/>
    <w:rsid w:val="00985A21"/>
    <w:rsid w:val="0098660A"/>
    <w:rsid w:val="009931C3"/>
    <w:rsid w:val="009B2C43"/>
    <w:rsid w:val="009B4EAE"/>
    <w:rsid w:val="009B7573"/>
    <w:rsid w:val="009C1A4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C89"/>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3F30"/>
    <w:rsid w:val="00B03C9D"/>
    <w:rsid w:val="00B060AE"/>
    <w:rsid w:val="00B10517"/>
    <w:rsid w:val="00B14E76"/>
    <w:rsid w:val="00B161B8"/>
    <w:rsid w:val="00B2048C"/>
    <w:rsid w:val="00B310B9"/>
    <w:rsid w:val="00B35F3F"/>
    <w:rsid w:val="00B36CBB"/>
    <w:rsid w:val="00B425E0"/>
    <w:rsid w:val="00B440AA"/>
    <w:rsid w:val="00B44B70"/>
    <w:rsid w:val="00B53C56"/>
    <w:rsid w:val="00B5722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0BFC"/>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1522"/>
    <w:rsid w:val="00F754A1"/>
    <w:rsid w:val="00F81FD9"/>
    <w:rsid w:val="00F841AA"/>
    <w:rsid w:val="00F84A94"/>
    <w:rsid w:val="00F87E96"/>
    <w:rsid w:val="00FA23E8"/>
    <w:rsid w:val="00FD3CC1"/>
    <w:rsid w:val="00FF1E02"/>
    <w:rsid w:val="00FF30B4"/>
    <w:rsid w:val="053A62B5"/>
    <w:rsid w:val="0A2032A3"/>
    <w:rsid w:val="0B8A37D8"/>
    <w:rsid w:val="0CAE0480"/>
    <w:rsid w:val="10C055FF"/>
    <w:rsid w:val="118107EC"/>
    <w:rsid w:val="11B80169"/>
    <w:rsid w:val="11DD6519"/>
    <w:rsid w:val="12604A70"/>
    <w:rsid w:val="160B0931"/>
    <w:rsid w:val="169A38AA"/>
    <w:rsid w:val="16BB723D"/>
    <w:rsid w:val="18015F3F"/>
    <w:rsid w:val="1BE8440E"/>
    <w:rsid w:val="1D155CEE"/>
    <w:rsid w:val="20F57F95"/>
    <w:rsid w:val="240371BF"/>
    <w:rsid w:val="25711CC6"/>
    <w:rsid w:val="25C741E6"/>
    <w:rsid w:val="274D2B63"/>
    <w:rsid w:val="27842671"/>
    <w:rsid w:val="29FD04D3"/>
    <w:rsid w:val="2ABE7A3E"/>
    <w:rsid w:val="2CA234A8"/>
    <w:rsid w:val="2EFA178C"/>
    <w:rsid w:val="30483CD4"/>
    <w:rsid w:val="30B46D73"/>
    <w:rsid w:val="30FB61E4"/>
    <w:rsid w:val="319F7F4E"/>
    <w:rsid w:val="36D431F7"/>
    <w:rsid w:val="383D272C"/>
    <w:rsid w:val="388B3C27"/>
    <w:rsid w:val="39AE70AB"/>
    <w:rsid w:val="3B3B7829"/>
    <w:rsid w:val="3C0C0783"/>
    <w:rsid w:val="3D377338"/>
    <w:rsid w:val="3F9F3A96"/>
    <w:rsid w:val="41D659E7"/>
    <w:rsid w:val="43B41D58"/>
    <w:rsid w:val="48BF60AB"/>
    <w:rsid w:val="493C27E9"/>
    <w:rsid w:val="496F39ED"/>
    <w:rsid w:val="49FF41D3"/>
    <w:rsid w:val="4BE068DB"/>
    <w:rsid w:val="4BF6002B"/>
    <w:rsid w:val="4C6562E6"/>
    <w:rsid w:val="4E1E2C51"/>
    <w:rsid w:val="4ECE2238"/>
    <w:rsid w:val="51DB4B86"/>
    <w:rsid w:val="53521534"/>
    <w:rsid w:val="540B7D0D"/>
    <w:rsid w:val="55333C3E"/>
    <w:rsid w:val="568E0B62"/>
    <w:rsid w:val="5CA0039D"/>
    <w:rsid w:val="5DF62D09"/>
    <w:rsid w:val="5F5D539D"/>
    <w:rsid w:val="64CA39A1"/>
    <w:rsid w:val="65BD3CB7"/>
    <w:rsid w:val="673E5311"/>
    <w:rsid w:val="69630ADE"/>
    <w:rsid w:val="6C4A05C8"/>
    <w:rsid w:val="6D3B1A89"/>
    <w:rsid w:val="70BA7F6C"/>
    <w:rsid w:val="71BF4EC2"/>
    <w:rsid w:val="72734D90"/>
    <w:rsid w:val="7412278C"/>
    <w:rsid w:val="751C001D"/>
    <w:rsid w:val="781D2A97"/>
    <w:rsid w:val="78CE52E6"/>
    <w:rsid w:val="79E7B28D"/>
    <w:rsid w:val="7BA34397"/>
    <w:rsid w:val="7C1F46EF"/>
    <w:rsid w:val="7C67039E"/>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4191;&#20803;&#24066;&#26641;&#20154;&#24188;&#20799;&#22253;2021&#24180;&#21333;&#20301;&#20915;&#31639;&#20844;&#24320;.doc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2270;&#34920;%20&#22312;%20&#24191;&#20803;&#24066;&#26641;&#20154;&#24188;&#20799;&#22253;2021&#24180;&#21333;&#20301;&#20915;&#31639;&#20844;&#24320;.doc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2270;&#34920;%20&#22312;%20&#24191;&#20803;&#24066;&#26641;&#20154;&#24188;&#20799;&#22253;2021&#24180;&#21333;&#20301;&#20915;&#31639;&#20844;&#24320;.doc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2270;&#34920;%20&#22312;%20&#24191;&#20803;&#24066;&#26641;&#20154;&#24188;&#20799;&#22253;2021&#24180;&#21333;&#20301;&#20915;&#31639;&#20844;&#24320;.doc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2270;&#34920;%20&#22312;%20&#24191;&#20803;&#24066;&#26641;&#20154;&#24188;&#20799;&#22253;2021&#24180;&#21333;&#20301;&#20915;&#31639;&#20844;&#24320;.doc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2270;&#34920;%20&#22312;%20&#24191;&#20803;&#24066;&#26641;&#20154;&#24188;&#20799;&#22253;2021&#24180;&#21333;&#20301;&#20915;&#31639;&#20844;&#24320;.doc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'[图表 在 广元市树人幼儿园2021年单位决算公开.docx]Sheet1'!$B$3</c:f>
              <c:strCache>
                <c:ptCount val="1"/>
                <c:pt idx="0">
                  <c:v>收入</c:v>
                </c:pt>
              </c:strCache>
            </c:strRef>
          </c:tx>
          <c:spPr>
            <a:solidFill>
              <a:schemeClr val="accent1">
                <a:lumMod val="40000"/>
                <a:lumOff val="60000"/>
                <a:alpha val="100000"/>
              </a:schemeClr>
            </a:solidFill>
            <a:ln w="3175">
              <a:noFill/>
            </a:ln>
          </c:spPr>
          <c:explosion val="0"/>
          <c:dPt>
            <c:idx val="0"/>
            <c:bubble3D val="0"/>
            <c:spPr>
              <a:solidFill>
                <a:schemeClr val="accent1">
                  <a:lumMod val="60000"/>
                  <a:lumOff val="40000"/>
                  <a:alpha val="100000"/>
                </a:schemeClr>
              </a:solidFill>
              <a:ln w="3175">
                <a:noFill/>
              </a:ln>
            </c:spPr>
          </c:dPt>
          <c:dPt>
            <c:idx val="1"/>
            <c:bubble3D val="0"/>
            <c:spPr>
              <a:solidFill>
                <a:schemeClr val="accent2">
                  <a:lumMod val="60000"/>
                  <a:lumOff val="40000"/>
                  <a:alpha val="100000"/>
                </a:schemeClr>
              </a:solidFill>
              <a:ln w="3175">
                <a:noFill/>
              </a:ln>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672</a:t>
                    </a:r>
                    <a:r>
                      <a:t>.04</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[002d85841]Sheet1!$C$2:$D$2</c:f>
              <c:strCache>
                <c:ptCount val="2"/>
                <c:pt idx="0">
                  <c:v>一般公共预算财政拨款收入</c:v>
                </c:pt>
              </c:strCache>
            </c:strRef>
          </c:cat>
          <c:val>
            <c:numRef>
              <c:f>'[图表 在 广元市树人幼儿园2021年单位决算公开.docx]Sheet1'!$C$3:$D$3</c:f>
              <c:numCache>
                <c:formatCode>General</c:formatCode>
                <c:ptCount val="2"/>
                <c:pt idx="0">
                  <c:v>762.04</c:v>
                </c:pt>
              </c:numCache>
            </c:numRef>
          </c:val>
        </c:ser>
        <c:ser>
          <c:idx val="1"/>
          <c:order val="1"/>
          <c:tx>
            <c:strRef>
              <c:f>'[图表 在 广元市树人幼儿园2021年单位决算公开.docx]Sheet1'!#REF!</c:f>
              <c:strCache>
                <c:ptCount val="1"/>
                <c:pt idx="0">
                  <c:v/>
                </c:pt>
              </c:strCache>
            </c:strRef>
          </c:tx>
          <c:spPr>
            <a:solidFill>
              <a:srgbClr val="ED7D31">
                <a:alpha val="100000"/>
              </a:srgbClr>
            </a:solidFill>
            <a:ln w="3175">
              <a:noFill/>
            </a:ln>
          </c:spPr>
          <c:explosion val="0"/>
          <c:dPt>
            <c:idx val="0"/>
            <c:bubble3D val="0"/>
            <c:spPr>
              <a:solidFill>
                <a:srgbClr val="ED7D31">
                  <a:alpha val="100000"/>
                </a:srgbClr>
              </a:solidFill>
              <a:ln w="3175">
                <a:noFill/>
              </a:ln>
            </c:spPr>
          </c:dPt>
          <c:dLbls>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[002d85841]Sheet1!$C$2:$D$2</c:f>
              <c:strCache>
                <c:ptCount val="2"/>
                <c:pt idx="0">
                  <c:v>一般公共预算财政拨款收入</c:v>
                </c:pt>
              </c:strCache>
            </c:strRef>
          </c:cat>
          <c:val>
            <c:numRef>
              <c:f>[002d85841]Sheet1!#REF!</c:f>
              <c:numCache>
                <c:formatCode>General</c:formatCode>
                <c:ptCount val="1"/>
              </c:numCache>
            </c:numRef>
          </c:val>
        </c:ser>
        <c:ser>
          <c:idx val="2"/>
          <c:order val="2"/>
          <c:tx>
            <c:strRef>
              <c:f>'[图表 在 广元市树人幼儿园2021年单位决算公开.docx]Sheet1'!#REF!</c:f>
              <c:strCache>
                <c:ptCount val="1"/>
                <c:pt idx="0">
                  <c:v/>
                </c:pt>
              </c:strCache>
            </c:strRef>
          </c:tx>
          <c:spPr>
            <a:solidFill>
              <a:srgbClr val="A5A5A5">
                <a:alpha val="100000"/>
              </a:srgbClr>
            </a:solidFill>
            <a:ln w="3175">
              <a:noFill/>
            </a:ln>
          </c:spPr>
          <c:explosion val="0"/>
          <c:dPt>
            <c:idx val="0"/>
            <c:bubble3D val="0"/>
            <c:spPr>
              <a:solidFill>
                <a:srgbClr val="A5A5A5">
                  <a:alpha val="100000"/>
                </a:srgbClr>
              </a:solidFill>
              <a:ln w="3175">
                <a:noFill/>
              </a:ln>
            </c:spPr>
          </c:dPt>
          <c:dLbls>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[002d85841]Sheet1!$C$2:$D$2</c:f>
              <c:strCache>
                <c:ptCount val="2"/>
                <c:pt idx="0">
                  <c:v>一般公共预算财政拨款收入</c:v>
                </c:pt>
              </c:strCache>
            </c:strRef>
          </c:cat>
          <c:val>
            <c:numRef>
              <c:f>[002d85841]Sheet1!#REF!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'[图表 在 广元市树人幼儿园2021年单位决算公开.docx]Sheet1'!$B$3</c:f>
              <c:strCache>
                <c:ptCount val="1"/>
                <c:pt idx="0">
                  <c:v/>
                </c:pt>
              </c:strCache>
            </c:strRef>
          </c:tx>
          <c:spPr>
            <a:solidFill>
              <a:schemeClr val="accent2">
                <a:lumMod val="60000"/>
                <a:lumOff val="40000"/>
                <a:alpha val="100000"/>
              </a:schemeClr>
            </a:solidFill>
            <a:ln w="3175">
              <a:noFill/>
            </a:ln>
          </c:spPr>
          <c:explosion val="0"/>
          <c:dPt>
            <c:idx val="0"/>
            <c:bubble3D val="0"/>
            <c:spPr>
              <a:solidFill>
                <a:schemeClr val="accent1">
                  <a:lumMod val="60000"/>
                  <a:lumOff val="40000"/>
                  <a:alpha val="100000"/>
                </a:schemeClr>
              </a:solidFill>
              <a:ln w="3175">
                <a:noFill/>
              </a:ln>
            </c:spPr>
          </c:dPt>
          <c:dPt>
            <c:idx val="1"/>
            <c:bubble3D val="0"/>
            <c:spPr>
              <a:solidFill>
                <a:schemeClr val="accent2">
                  <a:lumMod val="60000"/>
                  <a:lumOff val="40000"/>
                  <a:alpha val="100000"/>
                </a:scheme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广元市树人幼儿园2021年单位决算公开.docx]Sheet1'!$C$2:$D$2</c:f>
              <c:strCache>
                <c:ptCount val="2"/>
                <c:pt idx="0">
                  <c:v>基本支出</c:v>
                </c:pt>
                <c:pt idx="1">
                  <c:v>项目支出</c:v>
                </c:pt>
              </c:strCache>
            </c:strRef>
          </c:cat>
          <c:val>
            <c:numRef>
              <c:f>'[图表 在 广元市树人幼儿园2021年单位决算公开.docx]Sheet1'!$C$3:$D$3</c:f>
              <c:numCache>
                <c:formatCode>General</c:formatCode>
                <c:ptCount val="2"/>
                <c:pt idx="0">
                  <c:v>619.19</c:v>
                </c:pt>
                <c:pt idx="1">
                  <c:v>52.85</c:v>
                </c:pt>
              </c:numCache>
            </c:numRef>
          </c:val>
        </c:ser>
        <c:ser>
          <c:idx val="1"/>
          <c:order val="1"/>
          <c:tx>
            <c:strRef>
              <c:f>'[图表 在 广元市树人幼儿园2021年单位决算公开.docx]Sheet1'!#REF!</c:f>
              <c:strCache>
                <c:ptCount val="1"/>
                <c:pt idx="0">
                  <c:v/>
                </c:pt>
              </c:strCache>
            </c:strRef>
          </c:tx>
          <c:spPr>
            <a:solidFill>
              <a:srgbClr val="ED7D31">
                <a:alpha val="100000"/>
              </a:srgbClr>
            </a:solidFill>
            <a:ln w="3175">
              <a:noFill/>
            </a:ln>
          </c:spPr>
          <c:explosion val="0"/>
          <c:dPt>
            <c:idx val="0"/>
            <c:bubble3D val="0"/>
            <c:spPr>
              <a:solidFill>
                <a:srgbClr val="ED7D31">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广元市树人幼儿园2021年单位决算公开.docx]Sheet1'!$C$2:$D$2</c:f>
              <c:strCache>
                <c:ptCount val="2"/>
                <c:pt idx="0">
                  <c:v>基本支出</c:v>
                </c:pt>
                <c:pt idx="1">
                  <c:v>项目支出</c:v>
                </c:pt>
              </c:strCache>
            </c:strRef>
          </c:cat>
          <c:val>
            <c:numRef>
              <c:f>[002faa341]Sheet1!#REF!</c:f>
              <c:numCache>
                <c:formatCode>General</c:formatCode>
                <c:ptCount val="1"/>
              </c:numCache>
            </c:numRef>
          </c:val>
        </c:ser>
        <c:ser>
          <c:idx val="2"/>
          <c:order val="2"/>
          <c:tx>
            <c:strRef>
              <c:f>'[图表 在 广元市树人幼儿园2021年单位决算公开.docx]Sheet1'!#REF!</c:f>
              <c:strCache>
                <c:ptCount val="1"/>
                <c:pt idx="0">
                  <c:v/>
                </c:pt>
              </c:strCache>
            </c:strRef>
          </c:tx>
          <c:spPr>
            <a:solidFill>
              <a:srgbClr val="A5A5A5">
                <a:alpha val="100000"/>
              </a:srgbClr>
            </a:solidFill>
            <a:ln w="3175">
              <a:noFill/>
            </a:ln>
          </c:spPr>
          <c:explosion val="0"/>
          <c:dPt>
            <c:idx val="0"/>
            <c:bubble3D val="0"/>
            <c:spPr>
              <a:solidFill>
                <a:srgbClr val="A5A5A5">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广元市树人幼儿园2021年单位决算公开.docx]Sheet1'!$C$2:$D$2</c:f>
              <c:strCache>
                <c:ptCount val="2"/>
                <c:pt idx="0">
                  <c:v>基本支出</c:v>
                </c:pt>
                <c:pt idx="1">
                  <c:v>项目支出</c:v>
                </c:pt>
              </c:strCache>
            </c:strRef>
          </c:cat>
          <c:val>
            <c:numRef>
              <c:f>[002faa341]Sheet1!#REF!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97084548104956"/>
          <c:y val="0.440625"/>
        </c:manualLayout>
      </c:layout>
      <c:overlay val="0"/>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收、支总计</a:t>
            </a:r>
          </a:p>
        </c:rich>
      </c:tx>
      <c:layout/>
      <c:overlay val="0"/>
      <c:spPr>
        <a:noFill/>
        <a:ln>
          <a:noFill/>
        </a:ln>
        <a:effectLst/>
      </c:spPr>
    </c:title>
    <c:autoTitleDeleted val="0"/>
    <c:plotArea>
      <c:layout/>
      <c:barChart>
        <c:barDir val="col"/>
        <c:grouping val="clustered"/>
        <c:varyColors val="0"/>
        <c:ser>
          <c:idx val="0"/>
          <c:order val="0"/>
          <c:tx>
            <c:strRef>
              <c:f>'[图表 在 广元市树人幼儿园2021年单位决算公开.docx]Sheet1'!$B$3</c:f>
              <c:strCache>
                <c:ptCount val="1"/>
                <c:pt idx="0">
                  <c:v>收、支总计</c:v>
                </c:pt>
              </c:strCache>
            </c:strRef>
          </c:tx>
          <c:spPr>
            <a:solidFill>
              <a:schemeClr val="accent1"/>
            </a:solidFill>
            <a:ln>
              <a:noFill/>
            </a:ln>
            <a:effectLst/>
          </c:spPr>
          <c:invertIfNegative val="0"/>
          <c:dPt>
            <c:idx val="1"/>
            <c:invertIfNegative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'[图表 在 广元市树人幼儿园2021年单位决算公开.docx]Sheet1'!$C$2:$D$2</c:f>
              <c:numCache>
                <c:formatCode>General</c:formatCode>
                <c:ptCount val="2"/>
                <c:pt idx="0">
                  <c:v>2021</c:v>
                </c:pt>
                <c:pt idx="1">
                  <c:v>2022</c:v>
                </c:pt>
              </c:numCache>
            </c:numRef>
          </c:cat>
          <c:val>
            <c:numRef>
              <c:f>'[图表 在 广元市树人幼儿园2021年单位决算公开.docx]Sheet1'!$C$3:$D$3</c:f>
              <c:numCache>
                <c:formatCode>General</c:formatCode>
                <c:ptCount val="2"/>
                <c:pt idx="0">
                  <c:v>772.4</c:v>
                </c:pt>
                <c:pt idx="1">
                  <c:v>672.04</c:v>
                </c:pt>
              </c:numCache>
            </c:numRef>
          </c:val>
        </c:ser>
        <c:ser>
          <c:idx val="1"/>
          <c:order val="1"/>
          <c:tx>
            <c:strRef>
              <c:f>'[图表 在 广元市树人幼儿园2021年单位决算公开.docx]Sheet1'!#REF!</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'[图表 在 广元市树人幼儿园2021年单位决算公开.docx]Sheet1'!$C$2:$D$2</c:f>
              <c:numCache>
                <c:formatCode>General</c:formatCode>
                <c:ptCount val="2"/>
                <c:pt idx="0">
                  <c:v>2021</c:v>
                </c:pt>
                <c:pt idx="1">
                  <c:v>2022</c:v>
                </c:pt>
              </c:numCache>
            </c:numRef>
          </c:cat>
          <c:val>
            <c:numRef>
              <c:f>[003213ee1]Sheet1!#REF!</c:f>
              <c:numCache>
                <c:formatCode>General</c:formatCode>
                <c:ptCount val="1"/>
              </c:numCache>
            </c:numRef>
          </c:val>
        </c:ser>
        <c:ser>
          <c:idx val="2"/>
          <c:order val="2"/>
          <c:tx>
            <c:strRef>
              <c:f>'[图表 在 广元市树人幼儿园2021年单位决算公开.docx]Sheet1'!#REF!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'[图表 在 广元市树人幼儿园2021年单位决算公开.docx]Sheet1'!$C$2:$D$2</c:f>
              <c:numCache>
                <c:formatCode>General</c:formatCode>
                <c:ptCount val="2"/>
                <c:pt idx="0">
                  <c:v>2021</c:v>
                </c:pt>
                <c:pt idx="1">
                  <c:v>2022</c:v>
                </c:pt>
              </c:numCache>
            </c:numRef>
          </c:cat>
          <c:val>
            <c:numRef>
              <c:f>[003213ee1]Sheet1!#REF!</c:f>
              <c:numCache>
                <c:formatCode>General</c:formatCode>
                <c:ptCount val="1"/>
              </c:numCache>
            </c:numRef>
          </c:val>
        </c:ser>
        <c:dLbls>
          <c:showLegendKey val="0"/>
          <c:showVal val="0"/>
          <c:showCatName val="0"/>
          <c:showSerName val="0"/>
          <c:showPercent val="0"/>
          <c:showBubbleSize val="0"/>
        </c:dLbls>
        <c:gapWidth val="246"/>
        <c:overlap val="-28"/>
        <c:axId val="96014720"/>
        <c:axId val="96016256"/>
      </c:barChart>
      <c:catAx>
        <c:axId val="9601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16256"/>
        <c:crosses val="autoZero"/>
        <c:auto val="1"/>
        <c:lblAlgn val="ctr"/>
        <c:lblOffset val="100"/>
        <c:noMultiLvlLbl val="0"/>
      </c:catAx>
      <c:valAx>
        <c:axId val="9601625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147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一般公共预算财政拨款支出</a:t>
            </a:r>
            <a:endParaRPr lang="zh-CN" sz="1400" b="0" i="0" u="none" strike="noStrike" kern="1200" spc="0" baseline="0">
              <a:solidFill>
                <a:schemeClr val="tx1">
                  <a:lumMod val="65000"/>
                  <a:lumOff val="35000"/>
                </a:schemeClr>
              </a:solidFill>
              <a:latin typeface="+mn-lt"/>
              <a:ea typeface="+mn-ea"/>
              <a:cs typeface="+mn-cs"/>
            </a:endParaRPr>
          </a:p>
        </c:rich>
      </c:tx>
      <c:layout>
        <c:manualLayout>
          <c:xMode val="edge"/>
          <c:yMode val="edge"/>
          <c:x val="0.2004851004851"/>
          <c:y val="0.0486111111111111"/>
        </c:manualLayout>
      </c:layout>
      <c:overlay val="0"/>
    </c:title>
    <c:autoTitleDeleted val="0"/>
    <c:plotArea>
      <c:layout/>
      <c:barChart>
        <c:barDir val="col"/>
        <c:grouping val="clustered"/>
        <c:varyColors val="0"/>
        <c:ser>
          <c:idx val="0"/>
          <c:order val="0"/>
          <c:tx>
            <c:strRef>
              <c:f>'[图表 在 广元市树人幼儿园2021年单位决算公开.docx]Sheet1'!$B$3</c:f>
              <c:strCache>
                <c:ptCount val="1"/>
                <c:pt idx="0">
                  <c:v>一般公共预算财政拨款支出</c:v>
                </c:pt>
              </c:strCache>
            </c:strRef>
          </c:tx>
          <c:spPr>
            <a:solidFill>
              <a:srgbClr val="5B9BD5">
                <a:alpha val="100000"/>
              </a:srgbClr>
            </a:solidFill>
            <a:ln w="3175">
              <a:noFill/>
            </a:ln>
          </c:spPr>
          <c:invertIfNegative val="0"/>
          <c:dPt>
            <c:idx val="0"/>
            <c:invertIfNegative val="0"/>
            <c:bubble3D val="0"/>
            <c:spPr>
              <a:solidFill>
                <a:schemeClr val="accent2">
                  <a:lumMod val="60000"/>
                  <a:lumOff val="40000"/>
                  <a:alpha val="100000"/>
                </a:schemeClr>
              </a:solidFill>
              <a:ln w="3175">
                <a:noFill/>
              </a:ln>
            </c:spPr>
          </c:dPt>
          <c:dPt>
            <c:idx val="1"/>
            <c:invertIfNegative val="0"/>
            <c:bubble3D val="0"/>
            <c:spPr>
              <a:solidFill>
                <a:schemeClr val="accent1">
                  <a:lumMod val="60000"/>
                  <a:lumOff val="40000"/>
                  <a:alpha val="100000"/>
                </a:scheme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'[图表 在 广元市树人幼儿园2021年单位决算公开.docx]Sheet1'!$C$2:$D$2</c:f>
              <c:numCache>
                <c:formatCode>General</c:formatCode>
                <c:ptCount val="2"/>
                <c:pt idx="0">
                  <c:v>2021</c:v>
                </c:pt>
                <c:pt idx="1">
                  <c:v>2022</c:v>
                </c:pt>
              </c:numCache>
            </c:numRef>
          </c:cat>
          <c:val>
            <c:numRef>
              <c:f>'[图表 在 广元市树人幼儿园2021年单位决算公开.docx]Sheet1'!$C$3:$D$3</c:f>
              <c:numCache>
                <c:formatCode>General</c:formatCode>
                <c:ptCount val="2"/>
                <c:pt idx="0">
                  <c:v>747.89</c:v>
                </c:pt>
                <c:pt idx="1">
                  <c:v>619.19</c:v>
                </c:pt>
              </c:numCache>
            </c:numRef>
          </c:val>
        </c:ser>
        <c:ser>
          <c:idx val="1"/>
          <c:order val="1"/>
          <c:tx>
            <c:strRef>
              <c:f>'[图表 在 广元市树人幼儿园2021年单位决算公开.docx]Sheet1'!#REF!</c:f>
              <c:strCache>
                <c:ptCount val="1"/>
                <c:pt idx="0">
                  <c:v/>
                </c:pt>
              </c:strCache>
            </c:strRef>
          </c:tx>
          <c:spPr>
            <a:solidFill>
              <a:srgbClr val="ED7D31">
                <a:alpha val="100000"/>
              </a:srgbClr>
            </a:solidFill>
            <a:ln w="3175">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'[图表 在 广元市树人幼儿园2021年单位决算公开.docx]Sheet1'!$C$2:$D$2</c:f>
              <c:numCache>
                <c:formatCode>General</c:formatCode>
                <c:ptCount val="2"/>
                <c:pt idx="0">
                  <c:v>2021</c:v>
                </c:pt>
                <c:pt idx="1">
                  <c:v>2022</c:v>
                </c:pt>
              </c:numCache>
            </c:numRef>
          </c:cat>
          <c:val>
            <c:numRef>
              <c:f>[003313901]Sheet1!#REF!</c:f>
              <c:numCache>
                <c:formatCode>General</c:formatCode>
                <c:ptCount val="1"/>
              </c:numCache>
            </c:numRef>
          </c:val>
        </c:ser>
        <c:ser>
          <c:idx val="2"/>
          <c:order val="2"/>
          <c:tx>
            <c:strRef>
              <c:f>'[图表 在 广元市树人幼儿园2021年单位决算公开.docx]Sheet1'!#REF!</c:f>
              <c:strCache>
                <c:ptCount val="1"/>
                <c:pt idx="0">
                  <c:v/>
                </c:pt>
              </c:strCache>
            </c:strRef>
          </c:tx>
          <c:spPr>
            <a:solidFill>
              <a:srgbClr val="A5A5A5">
                <a:alpha val="100000"/>
              </a:srgbClr>
            </a:solidFill>
            <a:ln w="3175">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'[图表 在 广元市树人幼儿园2021年单位决算公开.docx]Sheet1'!$C$2:$D$2</c:f>
              <c:numCache>
                <c:formatCode>General</c:formatCode>
                <c:ptCount val="2"/>
                <c:pt idx="0">
                  <c:v>2021</c:v>
                </c:pt>
                <c:pt idx="1">
                  <c:v>2022</c:v>
                </c:pt>
              </c:numCache>
            </c:numRef>
          </c:cat>
          <c:val>
            <c:numRef>
              <c:f>[003313901]Sheet1!#REF!</c:f>
              <c:numCache>
                <c:formatCode>General</c:formatCode>
                <c:ptCount val="1"/>
              </c:numCache>
            </c:numRef>
          </c:val>
        </c:ser>
        <c:dLbls>
          <c:showLegendKey val="0"/>
          <c:showVal val="0"/>
          <c:showCatName val="0"/>
          <c:showSerName val="0"/>
          <c:showPercent val="0"/>
          <c:showBubbleSize val="0"/>
        </c:dLbls>
        <c:gapWidth val="219"/>
        <c:overlap val="-27"/>
        <c:axId val="96269440"/>
        <c:axId val="96270976"/>
      </c:barChart>
      <c:catAx>
        <c:axId val="962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70976"/>
        <c:crosses val="autoZero"/>
        <c:auto val="1"/>
        <c:lblAlgn val="ctr"/>
        <c:lblOffset val="100"/>
        <c:noMultiLvlLbl val="0"/>
      </c:catAx>
      <c:valAx>
        <c:axId val="962709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69440"/>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'[图表 在 广元市树人幼儿园2021年单位决算公开.docx]Sheet1'!$B$3</c:f>
              <c:strCache>
                <c:ptCount val="1"/>
                <c:pt idx="0">
                  <c:v>一般公共预算财政拨款支出</c:v>
                </c:pt>
              </c:strCache>
            </c:strRef>
          </c:tx>
          <c:spPr>
            <a:solidFill>
              <a:srgbClr val="5B9BD5">
                <a:alpha val="100000"/>
              </a:srgbClr>
            </a:solidFill>
            <a:ln w="3175">
              <a:noFill/>
            </a:ln>
          </c:spPr>
          <c:explosion val="0"/>
          <c:dPt>
            <c:idx val="0"/>
            <c:bubble3D val="0"/>
            <c:spPr>
              <a:solidFill>
                <a:schemeClr val="accent4">
                  <a:lumMod val="60000"/>
                  <a:lumOff val="40000"/>
                  <a:alpha val="100000"/>
                </a:schemeClr>
              </a:solidFill>
              <a:ln w="3175">
                <a:noFill/>
              </a:ln>
            </c:spPr>
          </c:dPt>
          <c:dPt>
            <c:idx val="1"/>
            <c:bubble3D val="0"/>
            <c:spPr>
              <a:solidFill>
                <a:schemeClr val="accent1">
                  <a:lumMod val="60000"/>
                  <a:lumOff val="40000"/>
                  <a:alpha val="100000"/>
                </a:schemeClr>
              </a:solidFill>
              <a:ln w="3175">
                <a:noFill/>
              </a:ln>
            </c:spPr>
          </c:dPt>
          <c:dPt>
            <c:idx val="2"/>
            <c:bubble3D val="0"/>
            <c:spPr>
              <a:solidFill>
                <a:schemeClr val="accent2">
                  <a:lumMod val="60000"/>
                  <a:lumOff val="40000"/>
                  <a:alpha val="100000"/>
                </a:schemeClr>
              </a:solidFill>
              <a:ln w="3175">
                <a:noFill/>
              </a:ln>
            </c:spPr>
          </c:dPt>
          <c:dPt>
            <c:idx val="3"/>
            <c:bubble3D val="0"/>
            <c:explosion val="1"/>
            <c:spPr>
              <a:solidFill>
                <a:schemeClr val="accent6">
                  <a:lumMod val="60000"/>
                  <a:lumOff val="40000"/>
                  <a:alpha val="100000"/>
                </a:schemeClr>
              </a:solidFill>
              <a:ln w="3175">
                <a:noFill/>
              </a:ln>
            </c:spPr>
          </c:dPt>
          <c:dLbls>
            <c:dLbl>
              <c:idx val="0"/>
              <c:layout>
                <c:manualLayout>
                  <c:x val="-0.08301696544437"/>
                  <c:y val="-0.1877953749058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0625148015825528"/>
                  <c:y val="0.1500004483210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广元市树人幼儿园2021年单位决算公开.docx]Sheet1'!$C$2:$F$2</c:f>
              <c:strCache>
                <c:ptCount val="4"/>
                <c:pt idx="0">
                  <c:v>教育支出</c:v>
                </c:pt>
                <c:pt idx="1">
                  <c:v>社会保障和就业</c:v>
                </c:pt>
                <c:pt idx="2">
                  <c:v>卫生健康支出</c:v>
                </c:pt>
                <c:pt idx="3">
                  <c:v>住房保障支出</c:v>
                </c:pt>
              </c:strCache>
            </c:strRef>
          </c:cat>
          <c:val>
            <c:numRef>
              <c:f>'[图表 在 广元市树人幼儿园2021年单位决算公开.docx]Sheet1'!$C$3:$F$3</c:f>
              <c:numCache>
                <c:formatCode>General</c:formatCode>
                <c:ptCount val="4"/>
                <c:pt idx="0">
                  <c:v>441.88</c:v>
                </c:pt>
                <c:pt idx="1">
                  <c:v>153.03</c:v>
                </c:pt>
                <c:pt idx="2">
                  <c:v>21.29</c:v>
                </c:pt>
                <c:pt idx="3">
                  <c:v>55.85</c:v>
                </c:pt>
              </c:numCache>
            </c:numRef>
          </c:val>
        </c:ser>
        <c:ser>
          <c:idx val="1"/>
          <c:order val="1"/>
          <c:tx>
            <c:strRef>
              <c:f>'[图表 在 广元市树人幼儿园2021年单位决算公开.docx]Sheet1'!#REF!</c:f>
              <c:strCache>
                <c:ptCount val="1"/>
                <c:pt idx="0">
                  <c:v/>
                </c:pt>
              </c:strCache>
            </c:strRef>
          </c:tx>
          <c:spPr>
            <a:solidFill>
              <a:srgbClr val="ED7D31">
                <a:alpha val="100000"/>
              </a:srgbClr>
            </a:solidFill>
            <a:ln w="3175">
              <a:noFill/>
            </a:ln>
          </c:spPr>
          <c:explosion val="0"/>
          <c:dPt>
            <c:idx val="0"/>
            <c:bubble3D val="0"/>
            <c:spPr>
              <a:solidFill>
                <a:srgbClr val="ED7D31">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广元市树人幼儿园2021年单位决算公开.docx]Sheet1'!$C$2:$F$2</c:f>
              <c:strCache>
                <c:ptCount val="4"/>
                <c:pt idx="0">
                  <c:v>教育支出</c:v>
                </c:pt>
                <c:pt idx="1">
                  <c:v>社会保障和就业</c:v>
                </c:pt>
                <c:pt idx="2">
                  <c:v>卫生健康支出</c:v>
                </c:pt>
                <c:pt idx="3">
                  <c:v>住房保障支出</c:v>
                </c:pt>
              </c:strCache>
            </c:strRef>
          </c:cat>
          <c:val>
            <c:numRef>
              <c:f>[0033d97d1]Sheet1!#REF!</c:f>
              <c:numCache>
                <c:formatCode>General</c:formatCode>
                <c:ptCount val="1"/>
              </c:numCache>
            </c:numRef>
          </c:val>
        </c:ser>
        <c:ser>
          <c:idx val="2"/>
          <c:order val="2"/>
          <c:tx>
            <c:strRef>
              <c:f>'[图表 在 广元市树人幼儿园2021年单位决算公开.docx]Sheet1'!#REF!</c:f>
              <c:strCache>
                <c:ptCount val="1"/>
                <c:pt idx="0">
                  <c:v/>
                </c:pt>
              </c:strCache>
            </c:strRef>
          </c:tx>
          <c:spPr>
            <a:solidFill>
              <a:srgbClr val="A5A5A5">
                <a:alpha val="100000"/>
              </a:srgbClr>
            </a:solidFill>
            <a:ln w="3175">
              <a:noFill/>
            </a:ln>
          </c:spPr>
          <c:explosion val="0"/>
          <c:dPt>
            <c:idx val="0"/>
            <c:bubble3D val="0"/>
            <c:spPr>
              <a:solidFill>
                <a:srgbClr val="A5A5A5">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广元市树人幼儿园2021年单位决算公开.docx]Sheet1'!$C$2:$F$2</c:f>
              <c:strCache>
                <c:ptCount val="4"/>
                <c:pt idx="0">
                  <c:v>教育支出</c:v>
                </c:pt>
                <c:pt idx="1">
                  <c:v>社会保障和就业</c:v>
                </c:pt>
                <c:pt idx="2">
                  <c:v>卫生健康支出</c:v>
                </c:pt>
                <c:pt idx="3">
                  <c:v>住房保障支出</c:v>
                </c:pt>
              </c:strCache>
            </c:strRef>
          </c:cat>
          <c:val>
            <c:numRef>
              <c:f>[0033d97d1]Sheet1!#REF!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'[图表 在 广元市树人幼儿园2021年单位决算公开.docx]Sheet1'!$B$3</c:f>
              <c:strCache>
                <c:ptCount val="1"/>
                <c:pt idx="0">
                  <c:v>三公经费</c:v>
                </c:pt>
              </c:strCache>
            </c:strRef>
          </c:tx>
          <c:spPr>
            <a:solidFill>
              <a:srgbClr val="5B9BD5">
                <a:alpha val="100000"/>
              </a:srgbClr>
            </a:solidFill>
            <a:ln w="3175">
              <a:noFill/>
            </a:ln>
          </c:spPr>
          <c:explosion val="0"/>
          <c:dPt>
            <c:idx val="0"/>
            <c:bubble3D val="0"/>
            <c:spPr>
              <a:solidFill>
                <a:schemeClr val="accent4">
                  <a:lumMod val="60000"/>
                  <a:lumOff val="40000"/>
                  <a:alpha val="100000"/>
                </a:schemeClr>
              </a:solidFill>
              <a:ln w="3175">
                <a:noFill/>
              </a:ln>
            </c:spPr>
          </c:dPt>
          <c:dPt>
            <c:idx val="1"/>
            <c:bubble3D val="0"/>
            <c:spPr>
              <a:solidFill>
                <a:schemeClr val="accent1">
                  <a:lumMod val="60000"/>
                  <a:lumOff val="40000"/>
                  <a:alpha val="100000"/>
                </a:schemeClr>
              </a:solidFill>
              <a:ln w="3175">
                <a:noFill/>
              </a:ln>
            </c:spPr>
          </c:dPt>
          <c:dPt>
            <c:idx val="2"/>
            <c:bubble3D val="0"/>
            <c:spPr>
              <a:solidFill>
                <a:schemeClr val="accent2">
                  <a:lumMod val="60000"/>
                  <a:lumOff val="40000"/>
                  <a:alpha val="100000"/>
                </a:schemeClr>
              </a:solidFill>
              <a:ln w="3175">
                <a:noFill/>
              </a:ln>
            </c:spPr>
          </c:dPt>
          <c:dPt>
            <c:idx val="3"/>
            <c:bubble3D val="0"/>
            <c:explosion val="1"/>
            <c:spPr>
              <a:solidFill>
                <a:schemeClr val="accent6">
                  <a:lumMod val="60000"/>
                  <a:lumOff val="40000"/>
                  <a:alpha val="100000"/>
                </a:scheme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[00354bdf1]Sheet1!$C$2:$F$2</c:f>
              <c:strCache>
                <c:ptCount val="4"/>
                <c:pt idx="0">
                  <c:v>因公出国（境）经费</c:v>
                </c:pt>
                <c:pt idx="1">
                  <c:v>公务用车购置及运行维护费</c:v>
                </c:pt>
                <c:pt idx="2">
                  <c:v>公务接待费</c:v>
                </c:pt>
              </c:strCache>
            </c:strRef>
          </c:cat>
          <c:val>
            <c:numRef>
              <c:f>[00354bdf1]Sheet1!$C$3:$F$3</c:f>
              <c:numCache>
                <c:formatCode>General</c:formatCode>
                <c:ptCount val="4"/>
                <c:pt idx="0">
                  <c:v>0</c:v>
                </c:pt>
                <c:pt idx="1">
                  <c:v>0</c:v>
                </c:pt>
                <c:pt idx="2">
                  <c:v>0</c:v>
                </c:pt>
              </c:numCache>
            </c:numRef>
          </c:val>
        </c:ser>
        <c:ser>
          <c:idx val="1"/>
          <c:order val="1"/>
          <c:tx>
            <c:strRef>
              <c:f>'[图表 在 广元市树人幼儿园2021年单位决算公开.docx]Sheet1'!#REF!</c:f>
              <c:strCache>
                <c:ptCount val="1"/>
                <c:pt idx="0">
                  <c:v/>
                </c:pt>
              </c:strCache>
            </c:strRef>
          </c:tx>
          <c:spPr>
            <a:solidFill>
              <a:srgbClr val="ED7D31">
                <a:alpha val="100000"/>
              </a:srgbClr>
            </a:solidFill>
            <a:ln w="3175">
              <a:noFill/>
            </a:ln>
          </c:spPr>
          <c:explosion val="0"/>
          <c:dPt>
            <c:idx val="0"/>
            <c:bubble3D val="0"/>
            <c:spPr>
              <a:solidFill>
                <a:srgbClr val="ED7D31">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[00354bdf1]Sheet1!$C$2:$F$2</c:f>
              <c:strCache>
                <c:ptCount val="4"/>
                <c:pt idx="0">
                  <c:v>因公出国（境）经费</c:v>
                </c:pt>
                <c:pt idx="1">
                  <c:v>公务用车购置及运行维护费</c:v>
                </c:pt>
                <c:pt idx="2">
                  <c:v>公务接待费</c:v>
                </c:pt>
              </c:strCache>
            </c:strRef>
          </c:cat>
          <c:val>
            <c:numRef>
              <c:f>[00354bdf1]Sheet1!#REF!</c:f>
              <c:numCache>
                <c:formatCode>General</c:formatCode>
                <c:ptCount val="1"/>
              </c:numCache>
            </c:numRef>
          </c:val>
        </c:ser>
        <c:ser>
          <c:idx val="2"/>
          <c:order val="2"/>
          <c:tx>
            <c:strRef>
              <c:f>'[图表 在 广元市树人幼儿园2021年单位决算公开.docx]Sheet1'!#REF!</c:f>
              <c:strCache>
                <c:ptCount val="1"/>
                <c:pt idx="0">
                  <c:v/>
                </c:pt>
              </c:strCache>
            </c:strRef>
          </c:tx>
          <c:spPr>
            <a:solidFill>
              <a:srgbClr val="A5A5A5">
                <a:alpha val="100000"/>
              </a:srgbClr>
            </a:solidFill>
            <a:ln w="3175">
              <a:noFill/>
            </a:ln>
          </c:spPr>
          <c:explosion val="0"/>
          <c:dPt>
            <c:idx val="0"/>
            <c:bubble3D val="0"/>
            <c:spPr>
              <a:solidFill>
                <a:srgbClr val="A5A5A5">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[00354bdf1]Sheet1!$C$2:$F$2</c:f>
              <c:strCache>
                <c:ptCount val="4"/>
                <c:pt idx="0">
                  <c:v>因公出国（境）经费</c:v>
                </c:pt>
                <c:pt idx="1">
                  <c:v>公务用车购置及运行维护费</c:v>
                </c:pt>
                <c:pt idx="2">
                  <c:v>公务接待费</c:v>
                </c:pt>
              </c:strCache>
            </c:strRef>
          </c:cat>
          <c:val>
            <c:numRef>
              <c:f>[00354bdf1]Sheet1!#REF!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15</Pages>
  <Words>3629</Words>
  <Characters>3967</Characters>
  <Lines>35</Lines>
  <Paragraphs>10</Paragraphs>
  <TotalTime>14</TotalTime>
  <ScaleCrop>false</ScaleCrop>
  <LinksUpToDate>false</LinksUpToDate>
  <CharactersWithSpaces>3995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lzjyj</cp:lastModifiedBy>
  <cp:lastPrinted>2023-07-31T02:35:00Z</cp:lastPrinted>
  <dcterms:modified xsi:type="dcterms:W3CDTF">2023-10-15T05:46:06Z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427508CC760E42848E9808B142AE9AE9_13</vt:lpwstr>
  </property>
</Properties>
</file>