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425"/>
      <w:bookmarkStart w:id="3" w:name="_Toc15396475"/>
      <w:bookmarkStart w:id="4" w:name="_Toc15378441"/>
      <w:bookmarkStart w:id="5" w:name="_Toc15377193"/>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77194"/>
      <w:bookmarkStart w:id="8" w:name="_Toc15396476"/>
      <w:bookmarkStart w:id="9" w:name="_Toc15378442"/>
      <w:bookmarkStart w:id="10" w:name="_Toc15377426"/>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广元市利州区莲花初级中学部门决算</w:t>
      </w:r>
      <w:bookmarkEnd w:id="6"/>
      <w:bookmarkEnd w:id="7"/>
      <w:bookmarkEnd w:id="8"/>
      <w:bookmarkEnd w:id="9"/>
      <w:bookmarkEnd w:id="10"/>
      <w:bookmarkEnd w:id="11"/>
    </w:p>
    <w:p>
      <w:pPr>
        <w:widowControl/>
        <w:ind w:firstLine="180" w:firstLineChars="50"/>
        <w:rPr>
          <w:rFonts w:ascii="方正小标宋简体" w:hAnsi="宋体" w:eastAsia="方正小标宋简体"/>
          <w:sz w:val="36"/>
          <w:szCs w:val="36"/>
        </w:rPr>
      </w:pPr>
    </w:p>
    <w:p>
      <w:pPr>
        <w:widowControl/>
        <w:ind w:firstLine="180" w:firstLineChars="50"/>
        <w:rPr>
          <w:rFonts w:ascii="方正小标宋简体" w:hAnsi="宋体" w:eastAsia="方正小标宋简体"/>
          <w:sz w:val="36"/>
          <w:szCs w:val="36"/>
        </w:rPr>
      </w:pPr>
    </w:p>
    <w:p>
      <w:pPr>
        <w:widowControl/>
        <w:ind w:firstLine="1205" w:firstLineChars="250"/>
        <w:rPr>
          <w:rFonts w:hint="eastAsia" w:ascii="方正小标宋简体" w:hAnsi="宋体" w:eastAsia="方正小标宋简体"/>
          <w:b/>
          <w:sz w:val="48"/>
          <w:szCs w:val="48"/>
        </w:rPr>
      </w:pPr>
    </w:p>
    <w:p>
      <w:pPr>
        <w:widowControl/>
        <w:ind w:firstLine="1205" w:firstLineChars="250"/>
        <w:rPr>
          <w:rFonts w:hint="eastAsia" w:ascii="方正小标宋简体" w:hAnsi="宋体" w:eastAsia="方正小标宋简体"/>
          <w:b/>
          <w:sz w:val="48"/>
          <w:szCs w:val="48"/>
        </w:rPr>
      </w:pPr>
    </w:p>
    <w:p>
      <w:pPr>
        <w:widowControl/>
        <w:ind w:firstLine="1205" w:firstLineChars="250"/>
        <w:rPr>
          <w:rFonts w:hint="eastAsia" w:ascii="方正小标宋简体" w:hAnsi="宋体" w:eastAsia="方正小标宋简体"/>
          <w:b/>
          <w:sz w:val="48"/>
          <w:szCs w:val="48"/>
        </w:rPr>
      </w:pPr>
    </w:p>
    <w:p>
      <w:pPr>
        <w:widowControl/>
        <w:ind w:firstLine="1205" w:firstLineChars="250"/>
        <w:rPr>
          <w:rFonts w:hint="eastAsia" w:ascii="方正小标宋简体" w:hAnsi="宋体" w:eastAsia="方正小标宋简体"/>
          <w:b/>
          <w:sz w:val="48"/>
          <w:szCs w:val="48"/>
        </w:rPr>
      </w:pPr>
    </w:p>
    <w:p>
      <w:pPr>
        <w:widowControl/>
        <w:ind w:firstLine="1205" w:firstLineChars="250"/>
        <w:rPr>
          <w:rFonts w:hint="eastAsia" w:ascii="方正小标宋简体" w:hAnsi="宋体" w:eastAsia="方正小标宋简体"/>
          <w:b/>
          <w:sz w:val="48"/>
          <w:szCs w:val="48"/>
        </w:rPr>
      </w:pPr>
    </w:p>
    <w:p>
      <w:pPr>
        <w:pStyle w:val="2"/>
        <w:rPr>
          <w:rFonts w:hint="eastAsia"/>
        </w:rPr>
      </w:pPr>
    </w:p>
    <w:p>
      <w:pPr>
        <w:widowControl/>
        <w:ind w:firstLine="1205" w:firstLineChars="250"/>
        <w:rPr>
          <w:rFonts w:hint="eastAsia" w:ascii="方正小标宋简体" w:hAnsi="宋体" w:eastAsia="方正小标宋简体"/>
          <w:b/>
          <w:sz w:val="48"/>
          <w:szCs w:val="48"/>
        </w:rPr>
      </w:pPr>
    </w:p>
    <w:p>
      <w:pPr>
        <w:widowControl/>
        <w:ind w:firstLine="3120" w:firstLineChars="650"/>
        <w:rPr>
          <w:rFonts w:ascii="黑体" w:hAnsi="黑体" w:eastAsia="黑体"/>
          <w:sz w:val="48"/>
          <w:szCs w:val="48"/>
        </w:rPr>
      </w:pPr>
      <w:r>
        <w:rPr>
          <w:rFonts w:hint="eastAsia" w:ascii="黑体" w:hAnsi="黑体" w:eastAsia="黑体"/>
          <w:sz w:val="48"/>
          <w:szCs w:val="48"/>
        </w:rPr>
        <w:t>目</w:t>
      </w:r>
      <w:r>
        <w:rPr>
          <w:rFonts w:hint="eastAsia" w:ascii="黑体" w:hAnsi="黑体" w:eastAsia="黑体"/>
          <w:sz w:val="48"/>
          <w:szCs w:val="48"/>
          <w:lang w:val="en-US" w:eastAsia="zh-CN"/>
        </w:rPr>
        <w:t xml:space="preserve">    </w:t>
      </w:r>
      <w:r>
        <w:rPr>
          <w:rFonts w:hint="eastAsia" w:ascii="黑体" w:hAnsi="黑体" w:eastAsia="黑体"/>
          <w:sz w:val="48"/>
          <w:szCs w:val="48"/>
        </w:rPr>
        <w:t>录</w:t>
      </w:r>
    </w:p>
    <w:p>
      <w:pPr>
        <w:widowControl/>
        <w:jc w:val="center"/>
        <w:rPr>
          <w:rFonts w:ascii="黑体" w:hAnsi="黑体" w:eastAsia="黑体" w:cstheme="minorBidi"/>
          <w:sz w:val="28"/>
          <w:szCs w:val="28"/>
        </w:rPr>
      </w:pPr>
    </w:p>
    <w:p>
      <w:pPr>
        <w:pStyle w:val="10"/>
      </w:pPr>
      <w:r>
        <w:rPr>
          <w:rFonts w:hint="eastAsia"/>
        </w:rPr>
        <w:t>公开时间：2023年 10月15日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pPr>
        <w:pStyle w:val="11"/>
        <w:adjustRightInd w:val="0"/>
        <w:snapToGrid w:val="0"/>
        <w:spacing w:line="440" w:lineRule="exact"/>
        <w:jc w:val="left"/>
        <w:rPr>
          <w:sz w:val="24"/>
        </w:rPr>
      </w:pPr>
      <w:r>
        <w:rPr>
          <w:rFonts w:hint="eastAsia"/>
          <w:sz w:val="24"/>
        </w:rPr>
        <w:t>一、主要职责</w:t>
      </w:r>
    </w:p>
    <w:p>
      <w:pPr>
        <w:pStyle w:val="11"/>
        <w:adjustRightInd w:val="0"/>
        <w:snapToGrid w:val="0"/>
        <w:spacing w:line="440" w:lineRule="exact"/>
        <w:jc w:val="left"/>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 2022年度单位决算情况说明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jc w:val="left"/>
        <w:rPr>
          <w:sz w:val="24"/>
        </w:rPr>
      </w:pPr>
      <w:r>
        <w:rPr>
          <w:rFonts w:hint="eastAsia"/>
          <w:sz w:val="24"/>
        </w:rPr>
        <w:t>九、国有资本经营预算支出决算情况说明</w:t>
      </w:r>
    </w:p>
    <w:p>
      <w:pPr>
        <w:pStyle w:val="11"/>
        <w:adjustRightInd w:val="0"/>
        <w:snapToGrid w:val="0"/>
        <w:spacing w:line="440" w:lineRule="exact"/>
        <w:jc w:val="left"/>
        <w:rPr>
          <w:sz w:val="24"/>
        </w:rPr>
      </w:pPr>
      <w:r>
        <w:rPr>
          <w:rFonts w:hint="eastAsia"/>
          <w:sz w:val="24"/>
        </w:rPr>
        <w:t>十、其他重要事项的情况说明</w:t>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sz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ind w:left="0" w:leftChars="0" w:firstLine="315" w:firstLineChars="150"/>
        <w:jc w:val="left"/>
        <w:rPr>
          <w:sz w:val="24"/>
        </w:rPr>
      </w:pPr>
      <w:r>
        <w:rPr>
          <w:rFonts w:hint="eastAsia"/>
        </w:rPr>
        <w:t xml:space="preserve"> </w:t>
      </w:r>
      <w:r>
        <w:rPr>
          <w:rFonts w:hint="eastAsia"/>
          <w:sz w:val="24"/>
        </w:rPr>
        <w:t>一、广元市利州区莲花初级中学2022年部门整体支出绩效评价报告</w:t>
      </w:r>
    </w:p>
    <w:p>
      <w:pPr>
        <w:pStyle w:val="11"/>
        <w:adjustRightInd w:val="0"/>
        <w:snapToGrid w:val="0"/>
        <w:spacing w:line="440" w:lineRule="exact"/>
        <w:rPr>
          <w:sz w:val="24"/>
        </w:rPr>
      </w:pPr>
      <w:r>
        <w:rPr>
          <w:rFonts w:hint="eastAsia"/>
          <w:sz w:val="24"/>
        </w:rPr>
        <w:t>二、广元市利州区莲花初级中学2022年学前教育免保教费项目支出绩效评</w:t>
      </w:r>
    </w:p>
    <w:p>
      <w:pPr>
        <w:pStyle w:val="11"/>
        <w:adjustRightInd w:val="0"/>
        <w:snapToGrid w:val="0"/>
        <w:spacing w:line="440" w:lineRule="exact"/>
        <w:ind w:left="0" w:leftChars="0"/>
        <w:rPr>
          <w:sz w:val="24"/>
        </w:rPr>
      </w:pPr>
      <w:r>
        <w:rPr>
          <w:rFonts w:hint="eastAsia"/>
          <w:sz w:val="24"/>
        </w:rPr>
        <w:t>价报告</w:t>
      </w:r>
    </w:p>
    <w:p>
      <w:pPr>
        <w:pStyle w:val="11"/>
        <w:numPr>
          <w:ilvl w:val="0"/>
          <w:numId w:val="1"/>
        </w:numPr>
        <w:adjustRightInd w:val="0"/>
        <w:snapToGrid w:val="0"/>
        <w:spacing w:line="440" w:lineRule="exact"/>
        <w:rPr>
          <w:sz w:val="24"/>
        </w:rPr>
      </w:pPr>
      <w:r>
        <w:rPr>
          <w:rFonts w:hint="eastAsia"/>
          <w:sz w:val="24"/>
        </w:rPr>
        <w:t>广元市利州区莲花初级中学2022年学生免作业本费项目支出绩效评价</w:t>
      </w:r>
    </w:p>
    <w:p>
      <w:pPr>
        <w:pStyle w:val="11"/>
        <w:adjustRightInd w:val="0"/>
        <w:snapToGrid w:val="0"/>
        <w:spacing w:line="440" w:lineRule="exact"/>
        <w:ind w:left="0" w:leftChars="0"/>
        <w:rPr>
          <w:sz w:val="24"/>
        </w:rPr>
      </w:pPr>
      <w:r>
        <w:rPr>
          <w:rFonts w:hint="eastAsia"/>
          <w:sz w:val="24"/>
        </w:rPr>
        <w:t>报告</w:t>
      </w:r>
    </w:p>
    <w:p>
      <w:pPr>
        <w:pStyle w:val="11"/>
        <w:numPr>
          <w:ilvl w:val="0"/>
          <w:numId w:val="1"/>
        </w:numPr>
        <w:adjustRightInd w:val="0"/>
        <w:snapToGrid w:val="0"/>
        <w:spacing w:line="440" w:lineRule="exact"/>
        <w:jc w:val="left"/>
        <w:rPr>
          <w:sz w:val="24"/>
        </w:rPr>
      </w:pPr>
      <w:r>
        <w:rPr>
          <w:rFonts w:hint="eastAsia"/>
          <w:sz w:val="24"/>
        </w:rPr>
        <w:t>广元市利州区莲花初级中学2022年寄宿生生活补助项目支出绩效评价</w:t>
      </w:r>
    </w:p>
    <w:p>
      <w:pPr>
        <w:pStyle w:val="11"/>
        <w:adjustRightInd w:val="0"/>
        <w:snapToGrid w:val="0"/>
        <w:spacing w:line="440" w:lineRule="exact"/>
        <w:ind w:left="0" w:leftChars="0"/>
        <w:jc w:val="left"/>
        <w:rPr>
          <w:sz w:val="24"/>
        </w:rPr>
      </w:pPr>
      <w:r>
        <w:rPr>
          <w:rFonts w:hint="eastAsia"/>
          <w:sz w:val="24"/>
        </w:rPr>
        <w:t>报告</w:t>
      </w:r>
    </w:p>
    <w:p/>
    <w:p>
      <w:pPr>
        <w:pStyle w:val="2"/>
        <w:spacing w:before="93"/>
      </w:pPr>
    </w:p>
    <w:p>
      <w:pPr>
        <w:pStyle w:val="2"/>
        <w:spacing w:before="93"/>
      </w:pP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sz w:val="24"/>
        </w:rPr>
      </w:pPr>
      <w:r>
        <w:rPr>
          <w:rFonts w:hint="eastAsia"/>
          <w:sz w:val="24"/>
        </w:rPr>
        <w:t>一、收入支出决算总表</w:t>
      </w:r>
    </w:p>
    <w:p>
      <w:pPr>
        <w:pStyle w:val="11"/>
        <w:adjustRightInd w:val="0"/>
        <w:snapToGrid w:val="0"/>
        <w:spacing w:line="440" w:lineRule="exact"/>
        <w:jc w:val="left"/>
        <w:rPr>
          <w:sz w:val="24"/>
        </w:rPr>
      </w:pPr>
      <w:r>
        <w:rPr>
          <w:rFonts w:hint="eastAsia"/>
          <w:sz w:val="24"/>
        </w:rPr>
        <w:t>二、收入决算表</w:t>
      </w:r>
    </w:p>
    <w:p>
      <w:pPr>
        <w:pStyle w:val="11"/>
        <w:adjustRightInd w:val="0"/>
        <w:snapToGrid w:val="0"/>
        <w:spacing w:line="440" w:lineRule="exact"/>
        <w:jc w:val="left"/>
        <w:rPr>
          <w:sz w:val="24"/>
        </w:rPr>
      </w:pPr>
      <w:r>
        <w:rPr>
          <w:rFonts w:hint="eastAsia"/>
          <w:sz w:val="24"/>
        </w:rPr>
        <w:t>三、支出决算表</w:t>
      </w:r>
    </w:p>
    <w:p>
      <w:pPr>
        <w:pStyle w:val="11"/>
        <w:adjustRightInd w:val="0"/>
        <w:snapToGrid w:val="0"/>
        <w:spacing w:line="440" w:lineRule="exact"/>
        <w:jc w:val="left"/>
        <w:rPr>
          <w:sz w:val="24"/>
        </w:rPr>
      </w:pPr>
      <w:r>
        <w:rPr>
          <w:rFonts w:hint="eastAsia"/>
          <w:sz w:val="24"/>
        </w:rPr>
        <w:t>四、财政拨款收入支出决算总表</w:t>
      </w:r>
    </w:p>
    <w:p>
      <w:pPr>
        <w:pStyle w:val="11"/>
        <w:adjustRightInd w:val="0"/>
        <w:snapToGrid w:val="0"/>
        <w:spacing w:line="440" w:lineRule="exact"/>
        <w:jc w:val="left"/>
        <w:rPr>
          <w:sz w:val="24"/>
        </w:rPr>
      </w:pPr>
      <w:r>
        <w:rPr>
          <w:rFonts w:hint="eastAsia"/>
          <w:sz w:val="24"/>
        </w:rPr>
        <w:t>五、财政拨款支出决算明细表</w:t>
      </w:r>
    </w:p>
    <w:p>
      <w:pPr>
        <w:pStyle w:val="11"/>
        <w:adjustRightInd w:val="0"/>
        <w:snapToGrid w:val="0"/>
        <w:spacing w:line="440" w:lineRule="exact"/>
        <w:jc w:val="left"/>
        <w:rPr>
          <w:sz w:val="24"/>
        </w:rPr>
      </w:pPr>
      <w:r>
        <w:rPr>
          <w:rFonts w:hint="eastAsia"/>
          <w:sz w:val="24"/>
        </w:rPr>
        <w:t>六、一般公共预算财政拨款支出决算表</w:t>
      </w:r>
    </w:p>
    <w:p>
      <w:pPr>
        <w:pStyle w:val="11"/>
        <w:adjustRightInd w:val="0"/>
        <w:snapToGrid w:val="0"/>
        <w:spacing w:line="440" w:lineRule="exact"/>
        <w:jc w:val="left"/>
        <w:rPr>
          <w:sz w:val="24"/>
        </w:rPr>
      </w:pPr>
      <w:r>
        <w:rPr>
          <w:rFonts w:hint="eastAsia"/>
          <w:sz w:val="24"/>
        </w:rPr>
        <w:t>七、一般公共预算财政拨款支出决算明细表</w:t>
      </w:r>
    </w:p>
    <w:p>
      <w:pPr>
        <w:pStyle w:val="11"/>
        <w:adjustRightInd w:val="0"/>
        <w:snapToGrid w:val="0"/>
        <w:spacing w:line="440" w:lineRule="exact"/>
        <w:jc w:val="left"/>
        <w:rPr>
          <w:sz w:val="24"/>
        </w:rPr>
      </w:pPr>
      <w:r>
        <w:rPr>
          <w:rFonts w:hint="eastAsia"/>
          <w:sz w:val="24"/>
        </w:rPr>
        <w:t>八、一般公共预算财政拨款基本支出决算明细表</w:t>
      </w:r>
    </w:p>
    <w:p>
      <w:pPr>
        <w:pStyle w:val="11"/>
        <w:adjustRightInd w:val="0"/>
        <w:snapToGrid w:val="0"/>
        <w:spacing w:line="440" w:lineRule="exact"/>
        <w:jc w:val="left"/>
        <w:rPr>
          <w:sz w:val="24"/>
        </w:rPr>
      </w:pPr>
      <w:r>
        <w:rPr>
          <w:rFonts w:hint="eastAsia"/>
          <w:sz w:val="24"/>
        </w:rPr>
        <w:t>九、一般公共预算财政拨款项目支出决算表</w:t>
      </w:r>
    </w:p>
    <w:p>
      <w:pPr>
        <w:pStyle w:val="11"/>
        <w:adjustRightInd w:val="0"/>
        <w:snapToGrid w:val="0"/>
        <w:spacing w:line="440" w:lineRule="exact"/>
        <w:jc w:val="left"/>
        <w:rPr>
          <w:sz w:val="24"/>
        </w:rPr>
      </w:pPr>
      <w:r>
        <w:rPr>
          <w:rFonts w:hint="eastAsia"/>
          <w:sz w:val="24"/>
        </w:rPr>
        <w:t>十、政府性基金预算财政拨款收入支出决算表</w:t>
      </w:r>
    </w:p>
    <w:p>
      <w:pPr>
        <w:pStyle w:val="11"/>
        <w:adjustRightInd w:val="0"/>
        <w:snapToGrid w:val="0"/>
        <w:spacing w:line="440" w:lineRule="exact"/>
        <w:jc w:val="left"/>
        <w:rPr>
          <w:sz w:val="24"/>
        </w:rPr>
      </w:pPr>
      <w:r>
        <w:rPr>
          <w:rFonts w:hint="eastAsia"/>
          <w:sz w:val="24"/>
        </w:rPr>
        <w:t>十一、国有资本经营预算财政拨款收入支出决算表</w:t>
      </w:r>
    </w:p>
    <w:p>
      <w:pPr>
        <w:pStyle w:val="11"/>
        <w:adjustRightInd w:val="0"/>
        <w:snapToGrid w:val="0"/>
        <w:spacing w:line="440" w:lineRule="exact"/>
        <w:jc w:val="left"/>
        <w:rPr>
          <w:sz w:val="24"/>
        </w:rPr>
      </w:pPr>
      <w:r>
        <w:rPr>
          <w:rFonts w:hint="eastAsia"/>
          <w:sz w:val="24"/>
        </w:rPr>
        <w:t>十二、国有资本经营预算财政拨款支出决算表</w:t>
      </w:r>
    </w:p>
    <w:p>
      <w:pPr>
        <w:pStyle w:val="11"/>
        <w:adjustRightInd w:val="0"/>
        <w:snapToGrid w:val="0"/>
        <w:spacing w:line="440" w:lineRule="exact"/>
        <w:jc w:val="left"/>
        <w:rPr>
          <w:rFonts w:hint="eastAsia"/>
          <w:sz w:val="24"/>
        </w:rPr>
      </w:pPr>
      <w:r>
        <w:rPr>
          <w:rFonts w:hint="eastAsia"/>
          <w:sz w:val="24"/>
        </w:rPr>
        <w:t>十三、财政拨款“三公”经费支出决算表</w:t>
      </w:r>
    </w:p>
    <w:p>
      <w:pPr>
        <w:rPr>
          <w:rFonts w:hint="eastAsia"/>
          <w:sz w:val="24"/>
        </w:rPr>
      </w:pPr>
    </w:p>
    <w:p>
      <w:pPr>
        <w:pStyle w:val="2"/>
      </w:pPr>
    </w:p>
    <w:p>
      <w:pPr>
        <w:pStyle w:val="3"/>
        <w:spacing w:before="0" w:after="0" w:line="240" w:lineRule="auto"/>
        <w:ind w:firstLine="0" w:firstLineChars="0"/>
        <w:rPr>
          <w:rFonts w:hint="eastAsia" w:ascii="黑体" w:hAnsi="黑体" w:eastAsia="黑体"/>
          <w:b w:val="0"/>
        </w:rPr>
      </w:pPr>
      <w:bookmarkStart w:id="12" w:name="_Toc15377196"/>
      <w:bookmarkStart w:id="13" w:name="_Toc15396599"/>
    </w:p>
    <w:p>
      <w:pPr>
        <w:rPr>
          <w:rFonts w:hint="eastAsia" w:ascii="黑体" w:hAnsi="黑体" w:eastAsia="黑体"/>
          <w:b w:val="0"/>
        </w:rPr>
      </w:pPr>
    </w:p>
    <w:p>
      <w:pPr>
        <w:pStyle w:val="2"/>
        <w:rPr>
          <w:rFonts w:hint="eastAsia" w:ascii="黑体" w:hAnsi="黑体" w:eastAsia="黑体"/>
          <w:b w:val="0"/>
        </w:rPr>
      </w:pPr>
    </w:p>
    <w:p>
      <w:pPr>
        <w:pStyle w:val="2"/>
        <w:rPr>
          <w:rFonts w:hint="eastAsia" w:ascii="黑体" w:hAnsi="黑体" w:eastAsia="黑体"/>
          <w:b w:val="0"/>
        </w:rPr>
      </w:pPr>
    </w:p>
    <w:p>
      <w:pPr>
        <w:pStyle w:val="3"/>
        <w:spacing w:before="0" w:after="0" w:line="240" w:lineRule="auto"/>
        <w:ind w:firstLine="0" w:firstLineChars="0"/>
        <w:rPr>
          <w:rFonts w:hint="eastAsia" w:ascii="黑体" w:hAnsi="黑体" w:eastAsia="黑体"/>
          <w:b w:val="0"/>
        </w:rPr>
      </w:pPr>
    </w:p>
    <w:p>
      <w:pPr>
        <w:rPr>
          <w:rFonts w:hint="eastAsia" w:ascii="黑体" w:hAnsi="黑体" w:eastAsia="黑体"/>
          <w:b w:val="0"/>
        </w:rPr>
      </w:pPr>
    </w:p>
    <w:p>
      <w:pPr>
        <w:pStyle w:val="2"/>
        <w:rPr>
          <w:rFonts w:hint="eastAsia" w:ascii="黑体" w:hAnsi="黑体" w:eastAsia="黑体"/>
          <w:b w:val="0"/>
        </w:rPr>
      </w:pPr>
    </w:p>
    <w:p>
      <w:pPr>
        <w:pStyle w:val="2"/>
        <w:rPr>
          <w:rFonts w:hint="eastAsia" w:ascii="黑体" w:hAnsi="黑体" w:eastAsia="黑体"/>
          <w:b w:val="0"/>
        </w:rPr>
      </w:pPr>
    </w:p>
    <w:p>
      <w:pPr>
        <w:pStyle w:val="3"/>
        <w:ind w:firstLine="440" w:firstLineChars="100"/>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pPr>
        <w:pStyle w:val="4"/>
        <w:numPr>
          <w:ilvl w:val="0"/>
          <w:numId w:val="2"/>
        </w:numPr>
        <w:rPr>
          <w:rStyle w:val="25"/>
          <w:rFonts w:ascii="黑体" w:hAnsi="黑体" w:eastAsia="黑体"/>
          <w:b w:val="0"/>
          <w:bCs w:val="0"/>
        </w:rPr>
      </w:pPr>
      <w:bookmarkStart w:id="14" w:name="_Toc15396600"/>
      <w:bookmarkStart w:id="15" w:name="_Toc15377197"/>
      <w:r>
        <w:rPr>
          <w:rStyle w:val="25"/>
          <w:rFonts w:hint="eastAsia" w:ascii="黑体" w:hAnsi="黑体" w:eastAsia="黑体"/>
          <w:b w:val="0"/>
          <w:bCs w:val="0"/>
        </w:rPr>
        <w:t>主要职责</w:t>
      </w:r>
    </w:p>
    <w:p>
      <w:pPr>
        <w:pStyle w:val="23"/>
        <w:snapToGrid w:val="0"/>
        <w:spacing w:line="576" w:lineRule="exact"/>
        <w:ind w:left="420" w:firstLine="640"/>
        <w:outlineLvl w:val="0"/>
        <w:rPr>
          <w:rFonts w:ascii="黑体" w:hAnsi="黑体" w:eastAsia="黑体" w:cs="黑体"/>
          <w:sz w:val="32"/>
          <w:szCs w:val="32"/>
        </w:rPr>
      </w:pPr>
      <w:r>
        <w:rPr>
          <w:rFonts w:hint="eastAsia" w:ascii="仿宋" w:hAnsi="仿宋" w:eastAsia="仿宋"/>
          <w:sz w:val="32"/>
          <w:szCs w:val="32"/>
        </w:rPr>
        <w:t>广元市利州区莲花初级中学是一所九年一贯制学校，学校实施幼儿园、小学及初中学历教育，促进基础教育发展,幼儿园、小学及初中学学历教育。</w:t>
      </w:r>
    </w:p>
    <w:p>
      <w:pPr>
        <w:snapToGrid w:val="0"/>
        <w:spacing w:line="576" w:lineRule="exact"/>
        <w:ind w:firstLine="640" w:firstLineChars="200"/>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贯彻执行党和国家教育</w:t>
      </w:r>
      <w:r>
        <w:rPr>
          <w:rFonts w:hint="eastAsia" w:ascii="仿宋_GB2312" w:eastAsia="仿宋_GB2312"/>
          <w:sz w:val="32"/>
          <w:szCs w:val="32"/>
        </w:rPr>
        <w:t>教学的职能，全面培养学生成为德智体美劳全方面发展的共产党接班人</w:t>
      </w:r>
      <w:r>
        <w:rPr>
          <w:rFonts w:ascii="仿宋_GB2312" w:eastAsia="仿宋_GB2312"/>
          <w:sz w:val="32"/>
          <w:szCs w:val="32"/>
        </w:rPr>
        <w:t>。</w:t>
      </w:r>
    </w:p>
    <w:p>
      <w:pPr>
        <w:snapToGrid w:val="0"/>
        <w:spacing w:line="576" w:lineRule="exact"/>
        <w:ind w:firstLine="640" w:firstLineChars="200"/>
        <w:jc w:val="left"/>
        <w:rPr>
          <w:rFonts w:ascii="仿宋_GB2312" w:eastAsia="仿宋_GB2312"/>
          <w:sz w:val="32"/>
          <w:szCs w:val="32"/>
        </w:rPr>
      </w:pPr>
      <w:r>
        <w:rPr>
          <w:rFonts w:hint="eastAsia" w:ascii="仿宋_GB2312" w:eastAsia="仿宋_GB2312"/>
          <w:sz w:val="32"/>
          <w:szCs w:val="32"/>
        </w:rPr>
        <w:t>2.为</w:t>
      </w:r>
      <w:r>
        <w:rPr>
          <w:rFonts w:ascii="仿宋_GB2312" w:eastAsia="仿宋_GB2312"/>
          <w:sz w:val="32"/>
          <w:szCs w:val="32"/>
        </w:rPr>
        <w:t>教育</w:t>
      </w:r>
      <w:r>
        <w:rPr>
          <w:rFonts w:hint="eastAsia" w:ascii="仿宋_GB2312" w:eastAsia="仿宋_GB2312"/>
          <w:sz w:val="32"/>
          <w:szCs w:val="32"/>
        </w:rPr>
        <w:t>工作做出贡献、合理使用</w:t>
      </w:r>
      <w:r>
        <w:rPr>
          <w:rFonts w:ascii="仿宋_GB2312" w:eastAsia="仿宋_GB2312"/>
          <w:sz w:val="32"/>
          <w:szCs w:val="32"/>
        </w:rPr>
        <w:t>教育经费</w:t>
      </w:r>
      <w:r>
        <w:rPr>
          <w:rFonts w:hint="eastAsia" w:ascii="仿宋_GB2312" w:eastAsia="仿宋_GB2312"/>
          <w:sz w:val="32"/>
          <w:szCs w:val="32"/>
        </w:rPr>
        <w:t>、管理好教育经费</w:t>
      </w:r>
      <w:r>
        <w:rPr>
          <w:rFonts w:ascii="仿宋_GB2312" w:eastAsia="仿宋_GB2312"/>
          <w:sz w:val="32"/>
          <w:szCs w:val="32"/>
        </w:rPr>
        <w:t>，</w:t>
      </w:r>
      <w:r>
        <w:rPr>
          <w:rFonts w:hint="eastAsia" w:ascii="仿宋_GB2312" w:eastAsia="仿宋_GB2312"/>
          <w:sz w:val="32"/>
          <w:szCs w:val="32"/>
        </w:rPr>
        <w:t>让</w:t>
      </w:r>
      <w:r>
        <w:rPr>
          <w:rFonts w:ascii="仿宋_GB2312" w:eastAsia="仿宋_GB2312"/>
          <w:sz w:val="32"/>
          <w:szCs w:val="32"/>
        </w:rPr>
        <w:t>教育经费</w:t>
      </w:r>
      <w:r>
        <w:rPr>
          <w:rFonts w:hint="eastAsia" w:ascii="仿宋_GB2312" w:eastAsia="仿宋_GB2312"/>
          <w:sz w:val="32"/>
          <w:szCs w:val="32"/>
        </w:rPr>
        <w:t>全部用于学生</w:t>
      </w:r>
      <w:r>
        <w:rPr>
          <w:rFonts w:ascii="仿宋_GB2312" w:eastAsia="仿宋_GB2312"/>
          <w:sz w:val="32"/>
          <w:szCs w:val="32"/>
        </w:rPr>
        <w:t>、</w:t>
      </w:r>
      <w:r>
        <w:rPr>
          <w:rFonts w:hint="eastAsia" w:ascii="仿宋_GB2312" w:eastAsia="仿宋_GB2312"/>
          <w:sz w:val="32"/>
          <w:szCs w:val="32"/>
        </w:rPr>
        <w:t>改善</w:t>
      </w:r>
      <w:r>
        <w:rPr>
          <w:rFonts w:ascii="仿宋_GB2312" w:eastAsia="仿宋_GB2312"/>
          <w:sz w:val="32"/>
          <w:szCs w:val="32"/>
        </w:rPr>
        <w:t>教育</w:t>
      </w:r>
      <w:r>
        <w:rPr>
          <w:rFonts w:hint="eastAsia" w:ascii="仿宋_GB2312" w:eastAsia="仿宋_GB2312"/>
          <w:sz w:val="32"/>
          <w:szCs w:val="32"/>
        </w:rPr>
        <w:t>教育条件，改善学校基础建设</w:t>
      </w:r>
      <w:r>
        <w:rPr>
          <w:rFonts w:ascii="仿宋_GB2312" w:eastAsia="仿宋_GB2312"/>
          <w:sz w:val="32"/>
          <w:szCs w:val="32"/>
        </w:rPr>
        <w:t>；贯彻执行国家和省市有关学生</w:t>
      </w:r>
      <w:r>
        <w:rPr>
          <w:rFonts w:hint="eastAsia" w:ascii="仿宋_GB2312" w:eastAsia="仿宋_GB2312"/>
          <w:sz w:val="32"/>
          <w:szCs w:val="32"/>
        </w:rPr>
        <w:t>的</w:t>
      </w:r>
      <w:r>
        <w:rPr>
          <w:rFonts w:ascii="仿宋_GB2312" w:eastAsia="仿宋_GB2312"/>
          <w:sz w:val="32"/>
          <w:szCs w:val="32"/>
        </w:rPr>
        <w:t>资助工作，</w:t>
      </w:r>
      <w:r>
        <w:rPr>
          <w:rFonts w:hint="eastAsia" w:ascii="仿宋_GB2312" w:eastAsia="仿宋_GB2312"/>
          <w:sz w:val="32"/>
          <w:szCs w:val="32"/>
        </w:rPr>
        <w:t>实施学校</w:t>
      </w:r>
      <w:r>
        <w:rPr>
          <w:rFonts w:ascii="仿宋_GB2312" w:eastAsia="仿宋_GB2312"/>
          <w:sz w:val="32"/>
          <w:szCs w:val="32"/>
        </w:rPr>
        <w:t>贫困家庭学生资助工作。</w:t>
      </w:r>
    </w:p>
    <w:p>
      <w:pPr>
        <w:snapToGrid w:val="0"/>
        <w:spacing w:line="576" w:lineRule="exact"/>
        <w:ind w:firstLine="640" w:firstLineChars="200"/>
        <w:jc w:val="left"/>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推进义务教育均衡发展和促进教育公平，义务教育全面实施素质教育。</w:t>
      </w:r>
    </w:p>
    <w:p>
      <w:pPr>
        <w:snapToGrid w:val="0"/>
        <w:spacing w:line="576" w:lineRule="exact"/>
        <w:ind w:firstLine="640" w:firstLineChars="200"/>
        <w:jc w:val="left"/>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学校</w:t>
      </w:r>
      <w:r>
        <w:rPr>
          <w:rFonts w:hint="eastAsia" w:ascii="仿宋_GB2312" w:eastAsia="仿宋_GB2312"/>
          <w:sz w:val="32"/>
          <w:szCs w:val="32"/>
        </w:rPr>
        <w:t>职能还包括</w:t>
      </w:r>
      <w:r>
        <w:rPr>
          <w:rFonts w:ascii="仿宋_GB2312" w:eastAsia="仿宋_GB2312"/>
          <w:sz w:val="32"/>
          <w:szCs w:val="32"/>
        </w:rPr>
        <w:t xml:space="preserve">的依法治校、安全、综合治理、档案、保密工作。 </w:t>
      </w:r>
    </w:p>
    <w:p>
      <w:pPr>
        <w:snapToGrid w:val="0"/>
        <w:spacing w:line="576" w:lineRule="exact"/>
        <w:ind w:firstLine="640" w:firstLineChars="200"/>
        <w:jc w:val="left"/>
        <w:rPr>
          <w:rFonts w:ascii="仿宋_GB2312" w:eastAsia="仿宋_GB2312"/>
          <w:sz w:val="32"/>
          <w:szCs w:val="32"/>
        </w:rPr>
      </w:pPr>
      <w:r>
        <w:rPr>
          <w:rFonts w:hint="eastAsia" w:ascii="仿宋_GB2312" w:eastAsia="仿宋_GB2312"/>
          <w:sz w:val="32"/>
          <w:szCs w:val="32"/>
        </w:rPr>
        <w:t>5.学校</w:t>
      </w:r>
      <w:r>
        <w:rPr>
          <w:rFonts w:ascii="仿宋_GB2312" w:eastAsia="仿宋_GB2312"/>
          <w:sz w:val="32"/>
          <w:szCs w:val="32"/>
        </w:rPr>
        <w:t xml:space="preserve">管理和学校体育、卫生与艺术教育工作。 </w:t>
      </w:r>
    </w:p>
    <w:p>
      <w:pPr>
        <w:snapToGrid w:val="0"/>
        <w:spacing w:line="576" w:lineRule="exact"/>
        <w:ind w:firstLine="640" w:firstLineChars="200"/>
        <w:jc w:val="left"/>
      </w:pPr>
      <w:r>
        <w:rPr>
          <w:rFonts w:hint="eastAsia" w:ascii="仿宋_GB2312" w:eastAsia="仿宋_GB2312"/>
          <w:sz w:val="32"/>
          <w:szCs w:val="32"/>
        </w:rPr>
        <w:t>6.</w:t>
      </w:r>
      <w:r>
        <w:rPr>
          <w:rFonts w:ascii="仿宋_GB2312" w:eastAsia="仿宋_GB2312"/>
          <w:sz w:val="32"/>
          <w:szCs w:val="32"/>
        </w:rPr>
        <w:t>承办上级交办的其他事项</w:t>
      </w:r>
      <w:r>
        <w:rPr>
          <w:rFonts w:hint="eastAsia" w:ascii="仿宋_GB2312" w:eastAsia="仿宋_GB2312"/>
          <w:sz w:val="32"/>
          <w:szCs w:val="32"/>
        </w:rPr>
        <w:t>。</w:t>
      </w:r>
    </w:p>
    <w:p>
      <w:pPr>
        <w:pStyle w:val="4"/>
        <w:rPr>
          <w:rFonts w:ascii="黑体" w:hAnsi="黑体" w:eastAsia="黑体"/>
          <w:b w:val="0"/>
        </w:rPr>
      </w:pPr>
      <w:r>
        <w:rPr>
          <w:rFonts w:hint="eastAsia" w:ascii="黑体" w:hAnsi="黑体" w:eastAsia="黑体"/>
          <w:b w:val="0"/>
        </w:rPr>
        <w:t>二、机构设置</w:t>
      </w:r>
    </w:p>
    <w:bookmarkEnd w:id="14"/>
    <w:bookmarkEnd w:id="15"/>
    <w:p>
      <w:pPr>
        <w:widowControl/>
        <w:ind w:firstLine="640" w:firstLineChars="200"/>
        <w:jc w:val="left"/>
        <w:rPr>
          <w:rFonts w:ascii="仿宋_GB2312" w:hAnsi="Calibri" w:eastAsia="仿宋_GB2312" w:cs="仿宋"/>
          <w:kern w:val="0"/>
          <w:sz w:val="32"/>
          <w:szCs w:val="32"/>
        </w:rPr>
      </w:pPr>
      <w:r>
        <w:rPr>
          <w:rFonts w:hint="eastAsia" w:ascii="仿宋_GB2312" w:hAnsi="Calibri" w:eastAsia="仿宋_GB2312" w:cs="仿宋"/>
          <w:kern w:val="0"/>
          <w:sz w:val="32"/>
          <w:szCs w:val="32"/>
        </w:rPr>
        <w:t>1、广元市莲花初级中学是经过区编制委员会批准成立的，隶属教育局领导下的九年一贯制学校，下设各处室 10个，分别是行政办公室、教务处、德育处、总务处、安全办、教科室、技装室、团支部、少先队大队部、财务室。</w:t>
      </w:r>
    </w:p>
    <w:p>
      <w:pPr>
        <w:snapToGrid w:val="0"/>
        <w:spacing w:line="52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2、广元市莲花初级中学是区编制委员会命名的独立法人机构，为经费独立核算单位。</w:t>
      </w:r>
    </w:p>
    <w:p>
      <w:pPr>
        <w:widowControl/>
        <w:jc w:val="left"/>
        <w:rPr>
          <w:rStyle w:val="24"/>
          <w:rFonts w:ascii="黑体" w:hAnsi="黑体"/>
        </w:rPr>
      </w:pPr>
      <w:bookmarkStart w:id="16" w:name="_Toc15377204"/>
      <w:bookmarkStart w:id="17" w:name="_Toc15396602"/>
    </w:p>
    <w:p>
      <w:pPr>
        <w:widowControl/>
        <w:jc w:val="left"/>
        <w:rPr>
          <w:rStyle w:val="24"/>
          <w:rFonts w:ascii="黑体" w:hAnsi="黑体"/>
        </w:rPr>
      </w:pPr>
    </w:p>
    <w:p>
      <w:pPr>
        <w:pStyle w:val="2"/>
        <w:rPr>
          <w:rStyle w:val="24"/>
          <w:rFonts w:ascii="黑体" w:hAnsi="黑体"/>
        </w:rPr>
      </w:pPr>
    </w:p>
    <w:p>
      <w:pPr>
        <w:pStyle w:val="2"/>
        <w:rPr>
          <w:rStyle w:val="24"/>
          <w:rFonts w:ascii="黑体" w:hAnsi="黑体"/>
        </w:rPr>
      </w:pPr>
    </w:p>
    <w:p>
      <w:pPr>
        <w:pStyle w:val="2"/>
        <w:rPr>
          <w:rStyle w:val="24"/>
          <w:rFonts w:ascii="黑体" w:hAnsi="黑体"/>
        </w:rPr>
      </w:pPr>
    </w:p>
    <w:p>
      <w:pPr>
        <w:pStyle w:val="2"/>
        <w:rPr>
          <w:rStyle w:val="24"/>
          <w:rFonts w:ascii="黑体" w:hAnsi="黑体"/>
        </w:rPr>
      </w:pPr>
    </w:p>
    <w:p>
      <w:pPr>
        <w:pStyle w:val="2"/>
        <w:rPr>
          <w:rStyle w:val="24"/>
          <w:rFonts w:ascii="黑体" w:hAnsi="黑体"/>
        </w:rPr>
      </w:pPr>
    </w:p>
    <w:p>
      <w:pPr>
        <w:pStyle w:val="2"/>
        <w:rPr>
          <w:rStyle w:val="24"/>
          <w:rFonts w:ascii="黑体" w:hAnsi="黑体"/>
        </w:rPr>
      </w:pPr>
    </w:p>
    <w:p>
      <w:pPr>
        <w:pStyle w:val="2"/>
        <w:rPr>
          <w:rStyle w:val="24"/>
          <w:rFonts w:ascii="黑体" w:hAnsi="黑体"/>
        </w:rPr>
      </w:pPr>
    </w:p>
    <w:p>
      <w:pPr>
        <w:pStyle w:val="2"/>
        <w:rPr>
          <w:rStyle w:val="24"/>
          <w:rFonts w:ascii="黑体" w:hAnsi="黑体"/>
        </w:rPr>
      </w:pPr>
    </w:p>
    <w:p>
      <w:pPr>
        <w:pStyle w:val="2"/>
        <w:rPr>
          <w:rStyle w:val="24"/>
          <w:rFonts w:ascii="黑体" w:hAnsi="黑体"/>
        </w:rPr>
      </w:pPr>
    </w:p>
    <w:p>
      <w:pPr>
        <w:pStyle w:val="2"/>
        <w:rPr>
          <w:rStyle w:val="24"/>
          <w:rFonts w:ascii="黑体" w:hAnsi="黑体"/>
        </w:rPr>
      </w:pPr>
    </w:p>
    <w:p>
      <w:pPr>
        <w:pStyle w:val="2"/>
        <w:rPr>
          <w:rStyle w:val="24"/>
          <w:rFonts w:ascii="黑体" w:hAnsi="黑体"/>
        </w:rPr>
      </w:pPr>
    </w:p>
    <w:p>
      <w:pPr>
        <w:pStyle w:val="2"/>
        <w:rPr>
          <w:rStyle w:val="24"/>
          <w:rFonts w:ascii="黑体" w:hAnsi="黑体"/>
        </w:rPr>
      </w:pPr>
    </w:p>
    <w:p>
      <w:pPr>
        <w:pStyle w:val="2"/>
        <w:rPr>
          <w:rStyle w:val="24"/>
          <w:rFonts w:ascii="黑体" w:hAnsi="黑体"/>
        </w:rPr>
      </w:pPr>
    </w:p>
    <w:p>
      <w:pPr>
        <w:pStyle w:val="2"/>
        <w:rPr>
          <w:rStyle w:val="24"/>
          <w:rFonts w:ascii="黑体" w:hAnsi="黑体"/>
        </w:rPr>
      </w:pPr>
    </w:p>
    <w:p>
      <w:pPr>
        <w:widowControl/>
        <w:jc w:val="center"/>
        <w:rPr>
          <w:rStyle w:val="24"/>
          <w:rFonts w:ascii="仿宋" w:hAnsi="仿宋" w:eastAsia="仿宋"/>
          <w:b w:val="0"/>
          <w:bCs w:val="0"/>
          <w:kern w:val="0"/>
          <w:sz w:val="32"/>
          <w:szCs w:val="32"/>
        </w:rPr>
      </w:pPr>
      <w:r>
        <w:rPr>
          <w:rStyle w:val="24"/>
          <w:rFonts w:hint="eastAsia" w:ascii="黑体" w:hAnsi="黑体"/>
        </w:rPr>
        <w:t>第二部分 2022年度</w:t>
      </w:r>
      <w:r>
        <w:rPr>
          <w:rStyle w:val="24"/>
          <w:rFonts w:hint="eastAsia" w:ascii="黑体" w:hAnsi="黑体" w:eastAsia="黑体"/>
        </w:rPr>
        <w:t>单位决算情况说明</w:t>
      </w:r>
      <w:bookmarkEnd w:id="16"/>
      <w:bookmarkEnd w:id="17"/>
    </w:p>
    <w:p/>
    <w:p>
      <w:pPr>
        <w:pStyle w:val="23"/>
        <w:numPr>
          <w:ilvl w:val="0"/>
          <w:numId w:val="3"/>
        </w:numPr>
        <w:spacing w:line="600" w:lineRule="exact"/>
        <w:ind w:firstLineChars="0"/>
        <w:outlineLvl w:val="1"/>
        <w:rPr>
          <w:rStyle w:val="25"/>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w:t>
      </w:r>
      <w:r>
        <w:rPr>
          <w:rFonts w:hint="eastAsia" w:ascii="仿宋" w:hAnsi="仿宋" w:eastAsia="仿宋"/>
          <w:sz w:val="32"/>
          <w:szCs w:val="32"/>
        </w:rPr>
        <w:t>1717.13</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总计减少</w:t>
      </w:r>
      <w:r>
        <w:rPr>
          <w:rFonts w:hint="eastAsia" w:ascii="仿宋" w:hAnsi="仿宋" w:eastAsia="仿宋"/>
          <w:color w:val="auto"/>
          <w:sz w:val="32"/>
          <w:szCs w:val="32"/>
          <w:highlight w:val="none"/>
          <w:lang w:val="en-US" w:eastAsia="zh-CN"/>
        </w:rPr>
        <w:t>161.15</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8.58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减少了</w:t>
      </w:r>
      <w:r>
        <w:rPr>
          <w:rFonts w:hint="eastAsia" w:ascii="仿宋" w:hAnsi="仿宋" w:eastAsia="仿宋"/>
          <w:sz w:val="32"/>
          <w:szCs w:val="32"/>
        </w:rPr>
        <w:t>工程项目实施</w:t>
      </w:r>
      <w:r>
        <w:rPr>
          <w:rFonts w:hint="eastAsia" w:ascii="仿宋" w:hAnsi="仿宋" w:eastAsia="仿宋"/>
          <w:color w:val="auto"/>
          <w:sz w:val="32"/>
          <w:szCs w:val="32"/>
          <w:highlight w:val="none"/>
          <w:lang w:eastAsia="zh-CN"/>
        </w:rPr>
        <w:t>。</w:t>
      </w:r>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w:t>
      </w:r>
      <w:r>
        <w:rPr>
          <w:rFonts w:hint="eastAsia" w:ascii="仿宋" w:hAnsi="仿宋" w:eastAsia="仿宋"/>
          <w:sz w:val="32"/>
          <w:szCs w:val="32"/>
        </w:rPr>
        <w:t>1717.13</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总计增加</w:t>
      </w:r>
      <w:r>
        <w:rPr>
          <w:rFonts w:hint="eastAsia" w:ascii="仿宋" w:hAnsi="仿宋" w:eastAsia="仿宋"/>
          <w:color w:val="auto"/>
          <w:sz w:val="32"/>
          <w:szCs w:val="32"/>
          <w:highlight w:val="none"/>
          <w:lang w:val="en-US" w:eastAsia="zh-CN"/>
        </w:rPr>
        <w:t>150.90</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9.63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rPr>
        <w:t>人员变动</w:t>
      </w:r>
      <w:r>
        <w:rPr>
          <w:rFonts w:hint="eastAsia" w:ascii="仿宋" w:hAnsi="仿宋" w:eastAsia="仿宋"/>
          <w:color w:val="auto"/>
          <w:sz w:val="32"/>
          <w:szCs w:val="32"/>
          <w:highlight w:val="none"/>
          <w:lang w:eastAsia="zh-CN"/>
        </w:rPr>
        <w:t>。</w:t>
      </w:r>
    </w:p>
    <w:p>
      <w:pPr>
        <w:spacing w:line="600" w:lineRule="exact"/>
        <w:ind w:firstLine="1600" w:firstLineChars="500"/>
        <w:rPr>
          <w:rFonts w:ascii="仿宋" w:hAnsi="仿宋" w:eastAsia="仿宋"/>
          <w:sz w:val="32"/>
          <w:szCs w:val="32"/>
        </w:rPr>
      </w:pPr>
      <w:r>
        <w:rPr>
          <w:rStyle w:val="31"/>
          <w:rFonts w:hint="eastAsia" w:ascii="黑体" w:hAnsi="黑体" w:eastAsia="黑体"/>
          <w:b w:val="0"/>
        </w:rPr>
        <w:drawing>
          <wp:anchor distT="0" distB="0" distL="114300" distR="114300" simplePos="0" relativeHeight="251662336" behindDoc="1" locked="0" layoutInCell="1" allowOverlap="1">
            <wp:simplePos x="0" y="0"/>
            <wp:positionH relativeFrom="column">
              <wp:posOffset>71755</wp:posOffset>
            </wp:positionH>
            <wp:positionV relativeFrom="paragraph">
              <wp:posOffset>62230</wp:posOffset>
            </wp:positionV>
            <wp:extent cx="5219700" cy="3233420"/>
            <wp:effectExtent l="4445" t="4445" r="18415" b="8255"/>
            <wp:wrapTight wrapText="bothSides">
              <wp:wrapPolygon>
                <wp:start x="-18" y="-30"/>
                <wp:lineTo x="-18" y="21553"/>
                <wp:lineTo x="21550" y="21553"/>
                <wp:lineTo x="21550" y="-30"/>
                <wp:lineTo x="-18" y="-3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3"/>
        <w:numPr>
          <w:ilvl w:val="0"/>
          <w:numId w:val="3"/>
        </w:numPr>
        <w:spacing w:line="600" w:lineRule="exact"/>
        <w:ind w:firstLineChars="0"/>
        <w:outlineLvl w:val="1"/>
        <w:rPr>
          <w:rStyle w:val="25"/>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pPr>
        <w:spacing w:line="600" w:lineRule="exact"/>
        <w:ind w:firstLine="640" w:firstLineChars="200"/>
        <w:outlineLvl w:val="1"/>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22年本年收入合计1486.08万元，其中：一般公共预算财政拨款收入1466.25万元，占</w:t>
      </w:r>
      <w:r>
        <w:rPr>
          <w:rFonts w:hint="eastAsia" w:ascii="仿宋" w:hAnsi="仿宋" w:eastAsia="仿宋"/>
          <w:sz w:val="32"/>
          <w:szCs w:val="32"/>
          <w:lang w:val="en-US" w:eastAsia="zh-CN"/>
        </w:rPr>
        <w:t>98.67</w:t>
      </w:r>
      <w:r>
        <w:rPr>
          <w:rFonts w:ascii="仿宋" w:hAnsi="仿宋" w:eastAsia="仿宋"/>
          <w:sz w:val="32"/>
          <w:szCs w:val="32"/>
        </w:rPr>
        <w:t>%</w:t>
      </w:r>
      <w:r>
        <w:rPr>
          <w:rFonts w:hint="eastAsia" w:ascii="仿宋" w:hAnsi="仿宋" w:eastAsia="仿宋"/>
          <w:sz w:val="32"/>
          <w:szCs w:val="32"/>
        </w:rPr>
        <w:t>；事业收入19万元，占1.</w:t>
      </w:r>
      <w:r>
        <w:rPr>
          <w:rFonts w:hint="eastAsia" w:ascii="仿宋" w:hAnsi="仿宋" w:eastAsia="仿宋"/>
          <w:sz w:val="32"/>
          <w:szCs w:val="32"/>
          <w:lang w:val="en-US" w:eastAsia="zh-CN"/>
        </w:rPr>
        <w:t>28</w:t>
      </w:r>
      <w:r>
        <w:rPr>
          <w:rFonts w:ascii="仿宋" w:hAnsi="仿宋" w:eastAsia="仿宋"/>
          <w:sz w:val="32"/>
          <w:szCs w:val="32"/>
        </w:rPr>
        <w:t>%</w:t>
      </w:r>
      <w:r>
        <w:rPr>
          <w:rFonts w:hint="eastAsia" w:ascii="仿宋" w:hAnsi="仿宋" w:eastAsia="仿宋"/>
          <w:sz w:val="32"/>
          <w:szCs w:val="32"/>
        </w:rPr>
        <w:t>；其他收入0.84万元，占0.05</w:t>
      </w:r>
      <w:r>
        <w:rPr>
          <w:rFonts w:ascii="仿宋" w:hAnsi="仿宋" w:eastAsia="仿宋"/>
          <w:sz w:val="32"/>
          <w:szCs w:val="32"/>
        </w:rPr>
        <w:t>%</w:t>
      </w:r>
      <w:r>
        <w:rPr>
          <w:rFonts w:hint="eastAsia" w:ascii="仿宋" w:hAnsi="仿宋" w:eastAsia="仿宋"/>
          <w:sz w:val="32"/>
          <w:szCs w:val="32"/>
        </w:rPr>
        <w:t>。</w:t>
      </w:r>
    </w:p>
    <w:p>
      <w:pPr>
        <w:pStyle w:val="2"/>
        <w:rPr>
          <w:rFonts w:hint="eastAsia" w:ascii="仿宋" w:hAnsi="仿宋" w:eastAsia="仿宋"/>
          <w:sz w:val="32"/>
          <w:szCs w:val="32"/>
        </w:rPr>
      </w:pPr>
    </w:p>
    <w:p>
      <w:pPr>
        <w:pStyle w:val="2"/>
        <w:rPr>
          <w:rFonts w:ascii="仿宋_GB2312" w:eastAsia="仿宋_GB2312"/>
          <w:sz w:val="32"/>
          <w:szCs w:val="32"/>
        </w:rPr>
      </w:pPr>
      <w:r>
        <w:rPr>
          <w:sz w:val="28"/>
          <w:szCs w:val="28"/>
        </w:rPr>
        <w:drawing>
          <wp:anchor distT="0" distB="0" distL="114300" distR="114300" simplePos="0" relativeHeight="251663360" behindDoc="0" locked="0" layoutInCell="1" allowOverlap="1">
            <wp:simplePos x="0" y="0"/>
            <wp:positionH relativeFrom="column">
              <wp:posOffset>-12065</wp:posOffset>
            </wp:positionH>
            <wp:positionV relativeFrom="paragraph">
              <wp:posOffset>266700</wp:posOffset>
            </wp:positionV>
            <wp:extent cx="5139055" cy="2239645"/>
            <wp:effectExtent l="4445" t="4445" r="7620" b="1143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sz w:val="28"/>
          <w:szCs w:val="28"/>
          <w:lang w:val="en-US" w:eastAsia="zh-CN"/>
        </w:rPr>
        <w:t xml:space="preserve">                 </w:t>
      </w:r>
      <w:r>
        <w:rPr>
          <w:rFonts w:hint="eastAsia" w:ascii="仿宋" w:hAnsi="仿宋" w:eastAsia="仿宋"/>
          <w:sz w:val="32"/>
          <w:szCs w:val="32"/>
        </w:rPr>
        <w:t>（图2：收入决算结构图）</w:t>
      </w:r>
    </w:p>
    <w:p>
      <w:pPr>
        <w:pStyle w:val="23"/>
        <w:numPr>
          <w:ilvl w:val="0"/>
          <w:numId w:val="3"/>
        </w:numPr>
        <w:spacing w:line="600" w:lineRule="exact"/>
        <w:ind w:firstLineChars="0"/>
        <w:outlineLvl w:val="1"/>
        <w:rPr>
          <w:rStyle w:val="25"/>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22年本年支出合计1717.13万元，其中：基本支出1356.65万元，占79.0</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；项目支出360.48万元，占21</w:t>
      </w:r>
      <w:r>
        <w:rPr>
          <w:rFonts w:ascii="仿宋" w:hAnsi="仿宋" w:eastAsia="仿宋"/>
          <w:sz w:val="32"/>
          <w:szCs w:val="32"/>
        </w:rPr>
        <w:t>%</w:t>
      </w:r>
      <w:r>
        <w:rPr>
          <w:rFonts w:hint="eastAsia" w:ascii="仿宋" w:hAnsi="仿宋" w:eastAsia="仿宋"/>
          <w:sz w:val="32"/>
          <w:szCs w:val="32"/>
        </w:rPr>
        <w:t>。</w:t>
      </w:r>
    </w:p>
    <w:p>
      <w:pPr>
        <w:spacing w:line="600" w:lineRule="exact"/>
        <w:ind w:firstLine="2569" w:firstLineChars="803"/>
        <w:rPr>
          <w:rFonts w:ascii="仿宋" w:hAnsi="仿宋" w:eastAsia="仿宋"/>
          <w:sz w:val="32"/>
          <w:szCs w:val="32"/>
          <w:shd w:val="pct10" w:color="auto" w:fill="FFFFFF"/>
        </w:rPr>
      </w:pPr>
      <w:r>
        <w:rPr>
          <w:rFonts w:hint="eastAsia" w:ascii="仿宋" w:hAnsi="仿宋" w:eastAsia="仿宋"/>
          <w:sz w:val="32"/>
          <w:szCs w:val="32"/>
          <w:shd w:val="pct10" w:color="auto" w:fill="FFFFFF"/>
        </w:rPr>
        <w:drawing>
          <wp:anchor distT="0" distB="0" distL="114300" distR="114300" simplePos="0" relativeHeight="251659264" behindDoc="1" locked="0" layoutInCell="1" allowOverlap="1">
            <wp:simplePos x="0" y="0"/>
            <wp:positionH relativeFrom="column">
              <wp:posOffset>8255</wp:posOffset>
            </wp:positionH>
            <wp:positionV relativeFrom="paragraph">
              <wp:posOffset>167640</wp:posOffset>
            </wp:positionV>
            <wp:extent cx="5261610" cy="2994660"/>
            <wp:effectExtent l="19050" t="0" r="15486" b="0"/>
            <wp:wrapTight wrapText="bothSides">
              <wp:wrapPolygon>
                <wp:start x="-78" y="0"/>
                <wp:lineTo x="-78" y="21573"/>
                <wp:lineTo x="21664" y="21573"/>
                <wp:lineTo x="21664" y="0"/>
                <wp:lineTo x="-78" y="0"/>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rPr>
        <w:t>（图3：支出决算结构图）</w:t>
      </w:r>
    </w:p>
    <w:p>
      <w:pPr>
        <w:spacing w:line="600" w:lineRule="exact"/>
        <w:ind w:firstLine="640" w:firstLineChars="200"/>
        <w:outlineLvl w:val="1"/>
        <w:rPr>
          <w:rStyle w:val="25"/>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rPr>
          <w:rFonts w:hint="default" w:ascii="仿宋" w:hAnsi="仿宋" w:eastAsia="仿宋"/>
          <w:sz w:val="32"/>
          <w:szCs w:val="32"/>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总计1697.3</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总计减少</w:t>
      </w:r>
      <w:r>
        <w:rPr>
          <w:rFonts w:hint="eastAsia" w:ascii="仿宋" w:hAnsi="仿宋" w:eastAsia="仿宋"/>
          <w:color w:val="auto"/>
          <w:sz w:val="32"/>
          <w:szCs w:val="32"/>
          <w:highlight w:val="none"/>
          <w:lang w:val="en-US" w:eastAsia="zh-CN"/>
        </w:rPr>
        <w:t>145.28</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7.88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rPr>
        <w:t>项目</w:t>
      </w:r>
      <w:r>
        <w:rPr>
          <w:rFonts w:hint="eastAsia" w:ascii="仿宋" w:hAnsi="仿宋" w:eastAsia="仿宋"/>
          <w:sz w:val="32"/>
          <w:szCs w:val="32"/>
          <w:lang w:val="en-US" w:eastAsia="zh-CN"/>
        </w:rPr>
        <w:t>资金安排减少。</w:t>
      </w:r>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总计1697.3</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增加166.77</w:t>
      </w:r>
      <w:r>
        <w:rPr>
          <w:rFonts w:hint="eastAsia" w:ascii="仿宋" w:hAnsi="仿宋" w:eastAsia="仿宋"/>
          <w:color w:val="auto"/>
          <w:sz w:val="32"/>
          <w:szCs w:val="32"/>
          <w:highlight w:val="none"/>
        </w:rPr>
        <w:t>万元，</w:t>
      </w:r>
      <w:r>
        <w:rPr>
          <w:rFonts w:hint="eastAsia" w:ascii="仿宋" w:hAnsi="仿宋" w:eastAsia="仿宋"/>
          <w:sz w:val="32"/>
          <w:szCs w:val="32"/>
        </w:rPr>
        <w:t>增长</w:t>
      </w:r>
      <w:r>
        <w:rPr>
          <w:rFonts w:hint="eastAsia" w:ascii="仿宋" w:hAnsi="仿宋" w:eastAsia="仿宋"/>
          <w:color w:val="auto"/>
          <w:sz w:val="32"/>
          <w:szCs w:val="32"/>
          <w:highlight w:val="none"/>
          <w:lang w:val="en-US" w:eastAsia="zh-CN"/>
        </w:rPr>
        <w:t>10.90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rPr>
        <w:t>人员变动</w:t>
      </w:r>
      <w:r>
        <w:rPr>
          <w:rFonts w:hint="eastAsia" w:ascii="仿宋" w:hAnsi="仿宋" w:eastAsia="仿宋"/>
          <w:color w:val="auto"/>
          <w:sz w:val="32"/>
          <w:szCs w:val="32"/>
          <w:highlight w:val="none"/>
          <w:lang w:eastAsia="zh-CN"/>
        </w:rPr>
        <w:t>。</w:t>
      </w:r>
    </w:p>
    <w:p>
      <w:pPr>
        <w:spacing w:line="600" w:lineRule="exact"/>
        <w:ind w:firstLine="960" w:firstLineChars="300"/>
        <w:rPr>
          <w:rFonts w:ascii="仿宋" w:hAnsi="仿宋" w:eastAsia="仿宋"/>
          <w:b/>
          <w:sz w:val="32"/>
          <w:szCs w:val="32"/>
        </w:rPr>
      </w:pPr>
      <w:r>
        <w:rPr>
          <w:rStyle w:val="31"/>
          <w:rFonts w:hint="eastAsia" w:ascii="黑体" w:hAnsi="黑体" w:eastAsia="黑体"/>
          <w:b w:val="0"/>
        </w:rPr>
        <w:drawing>
          <wp:anchor distT="0" distB="0" distL="114300" distR="114300" simplePos="0" relativeHeight="251664384" behindDoc="1" locked="0" layoutInCell="1" allowOverlap="1">
            <wp:simplePos x="0" y="0"/>
            <wp:positionH relativeFrom="column">
              <wp:posOffset>157480</wp:posOffset>
            </wp:positionH>
            <wp:positionV relativeFrom="paragraph">
              <wp:posOffset>46355</wp:posOffset>
            </wp:positionV>
            <wp:extent cx="4991735" cy="2852420"/>
            <wp:effectExtent l="4445" t="4445" r="17780" b="8255"/>
            <wp:wrapTight wrapText="bothSides">
              <wp:wrapPolygon>
                <wp:start x="-19" y="-34"/>
                <wp:lineTo x="-19" y="21547"/>
                <wp:lineTo x="21545" y="21547"/>
                <wp:lineTo x="21545" y="-34"/>
                <wp:lineTo x="-19" y="-34"/>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（图4：财政拨款收、支决算总计变动情况）</w:t>
      </w:r>
    </w:p>
    <w:p>
      <w:pPr>
        <w:spacing w:line="600" w:lineRule="exact"/>
        <w:ind w:firstLine="640" w:firstLineChars="200"/>
        <w:outlineLvl w:val="1"/>
        <w:rPr>
          <w:rStyle w:val="25"/>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22年一般公共预算财政拨款支出1697.30万元，占本年支出合计的98.85</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21年相比，一般公共预算财政拨款支出增加166.77万元，增长10.9</w:t>
      </w:r>
      <w:r>
        <w:rPr>
          <w:rFonts w:ascii="仿宋" w:hAnsi="仿宋" w:eastAsia="仿宋"/>
          <w:sz w:val="32"/>
          <w:szCs w:val="32"/>
        </w:rPr>
        <w:t>%</w:t>
      </w:r>
      <w:r>
        <w:rPr>
          <w:rFonts w:hint="eastAsia" w:ascii="仿宋" w:hAnsi="仿宋" w:eastAsia="仿宋"/>
          <w:sz w:val="32"/>
          <w:szCs w:val="32"/>
        </w:rPr>
        <w:t>。主要变动原因是人员变动和项目增加。</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hint="eastAsia" w:ascii="仿宋" w:hAnsi="仿宋" w:eastAsia="仿宋"/>
          <w:sz w:val="32"/>
          <w:szCs w:val="32"/>
        </w:rPr>
      </w:pPr>
    </w:p>
    <w:p>
      <w:pPr>
        <w:pStyle w:val="2"/>
        <w:rPr>
          <w:rFonts w:hint="eastAsia" w:ascii="仿宋" w:hAnsi="仿宋" w:eastAsia="仿宋"/>
          <w:sz w:val="32"/>
          <w:szCs w:val="32"/>
        </w:rPr>
      </w:pPr>
      <w:r>
        <w:rPr>
          <w:rFonts w:hint="eastAsia" w:ascii="仿宋" w:hAnsi="仿宋" w:eastAsia="仿宋"/>
          <w:sz w:val="32"/>
          <w:szCs w:val="32"/>
        </w:rPr>
        <w:drawing>
          <wp:anchor distT="0" distB="0" distL="114300" distR="114300" simplePos="0" relativeHeight="251660288" behindDoc="0" locked="0" layoutInCell="1" allowOverlap="1">
            <wp:simplePos x="0" y="0"/>
            <wp:positionH relativeFrom="column">
              <wp:posOffset>142875</wp:posOffset>
            </wp:positionH>
            <wp:positionV relativeFrom="paragraph">
              <wp:posOffset>55880</wp:posOffset>
            </wp:positionV>
            <wp:extent cx="4618355" cy="1908175"/>
            <wp:effectExtent l="4445" t="5080" r="10160" b="6985"/>
            <wp:wrapSquare wrapText="bothSides"/>
            <wp:docPr id="12"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rPr>
          <w:rFonts w:hint="eastAsia" w:ascii="仿宋" w:hAnsi="仿宋" w:eastAsia="仿宋"/>
          <w:sz w:val="32"/>
          <w:szCs w:val="32"/>
        </w:rPr>
      </w:pPr>
    </w:p>
    <w:p>
      <w:pPr>
        <w:pStyle w:val="2"/>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320" w:firstLineChars="1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22年一般公共预算财政拨款支出1697.30万元，主要用于以下方面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rPr>
        <w:t>1554.90万元，占91.61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92.42万元，占5.45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49.97万元，占2.94</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61312" behindDoc="0" locked="0" layoutInCell="1" allowOverlap="1">
            <wp:simplePos x="0" y="0"/>
            <wp:positionH relativeFrom="column">
              <wp:posOffset>-13970</wp:posOffset>
            </wp:positionH>
            <wp:positionV relativeFrom="paragraph">
              <wp:posOffset>371475</wp:posOffset>
            </wp:positionV>
            <wp:extent cx="5256530" cy="2997835"/>
            <wp:effectExtent l="19050" t="0" r="20320" b="0"/>
            <wp:wrapSquare wrapText="bothSides"/>
            <wp:docPr id="13"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（图6：一般公共预算财政拨款支出决算结构）</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444"/>
      <w:bookmarkStart w:id="32" w:name="_Toc15377213"/>
      <w:bookmarkStart w:id="33" w:name="_Toc15378460"/>
      <w:r>
        <w:rPr>
          <w:rFonts w:hint="eastAsia" w:ascii="仿宋" w:hAnsi="仿宋" w:eastAsia="仿宋"/>
          <w:b/>
          <w:sz w:val="32"/>
          <w:szCs w:val="32"/>
        </w:rPr>
        <w:t>2022年一般公共预算支出决算数为1697.3</w:t>
      </w:r>
      <w:r>
        <w:rPr>
          <w:rFonts w:hint="eastAsia" w:ascii="仿宋" w:hAnsi="仿宋" w:eastAsia="仿宋"/>
          <w:b/>
          <w:sz w:val="32"/>
          <w:szCs w:val="32"/>
          <w:lang w:val="en-US" w:eastAsia="zh-CN"/>
        </w:rPr>
        <w:t>0万元</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1.</w:t>
      </w:r>
      <w:r>
        <w:rPr>
          <w:rStyle w:val="14"/>
          <w:rFonts w:hint="eastAsia" w:ascii="仿宋" w:hAnsi="仿宋" w:eastAsia="仿宋"/>
          <w:bCs/>
          <w:kern w:val="2"/>
          <w:sz w:val="32"/>
          <w:szCs w:val="32"/>
        </w:rPr>
        <w:t>教育支出（类）普通教育（款）学前教育（项）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支出决算为12.31万元，完成预算100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2.</w:t>
      </w:r>
      <w:r>
        <w:rPr>
          <w:rStyle w:val="14"/>
          <w:rFonts w:hint="eastAsia" w:ascii="仿宋" w:hAnsi="仿宋" w:eastAsia="仿宋"/>
          <w:bCs/>
          <w:kern w:val="2"/>
          <w:sz w:val="32"/>
          <w:szCs w:val="32"/>
        </w:rPr>
        <w:t>教育支出（类）普通教育（款）小学教育（项）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支出决算为330.53万元，完成预算100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3.</w:t>
      </w:r>
      <w:r>
        <w:rPr>
          <w:rStyle w:val="14"/>
          <w:rFonts w:hint="eastAsia" w:ascii="仿宋" w:hAnsi="仿宋" w:eastAsia="仿宋"/>
          <w:bCs/>
          <w:sz w:val="32"/>
          <w:szCs w:val="32"/>
        </w:rPr>
        <w:t>教育支出（类）普通教育（款）初中教育（项）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支出决算为1205.06万元，完成预算100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left="1" w:firstLine="745" w:firstLineChars="232"/>
        <w:rPr>
          <w:rStyle w:val="14"/>
          <w:rFonts w:ascii="仿宋" w:hAnsi="仿宋" w:eastAsia="仿宋"/>
          <w:b w:val="0"/>
          <w:sz w:val="32"/>
          <w:szCs w:val="32"/>
        </w:rPr>
      </w:pPr>
      <w:r>
        <w:rPr>
          <w:rStyle w:val="14"/>
          <w:rFonts w:hint="eastAsia" w:ascii="仿宋" w:hAnsi="仿宋" w:eastAsia="仿宋"/>
          <w:bCs/>
          <w:sz w:val="32"/>
          <w:szCs w:val="32"/>
          <w:lang w:val="en-US" w:eastAsia="zh-CN"/>
        </w:rPr>
        <w:t>4</w:t>
      </w:r>
      <w:r>
        <w:rPr>
          <w:rStyle w:val="14"/>
          <w:rFonts w:hint="eastAsia" w:ascii="仿宋" w:hAnsi="仿宋" w:eastAsia="仿宋"/>
          <w:bCs/>
          <w:sz w:val="32"/>
          <w:szCs w:val="32"/>
        </w:rPr>
        <w:t>、教育支出（类）普通教育（款）其他普通教育支出（项）</w:t>
      </w:r>
      <w:r>
        <w:rPr>
          <w:rStyle w:val="14"/>
          <w:rFonts w:ascii="仿宋" w:hAnsi="仿宋" w:eastAsia="仿宋"/>
          <w:bCs/>
          <w:sz w:val="32"/>
          <w:szCs w:val="32"/>
        </w:rPr>
        <w:t>:</w:t>
      </w:r>
      <w:r>
        <w:rPr>
          <w:rStyle w:val="14"/>
          <w:rFonts w:hint="eastAsia" w:ascii="仿宋" w:hAnsi="仿宋" w:eastAsia="仿宋"/>
          <w:bCs/>
          <w:sz w:val="32"/>
          <w:szCs w:val="32"/>
        </w:rPr>
        <w:t>支出决算为7.00万元，完成预算100</w:t>
      </w:r>
      <w:r>
        <w:rPr>
          <w:rStyle w:val="14"/>
          <w:rFonts w:ascii="仿宋" w:hAnsi="仿宋" w:eastAsia="仿宋"/>
          <w:bCs/>
          <w:sz w:val="32"/>
          <w:szCs w:val="32"/>
        </w:rPr>
        <w:t>%</w:t>
      </w:r>
      <w:r>
        <w:rPr>
          <w:rStyle w:val="14"/>
          <w:rFonts w:hint="eastAsia" w:ascii="仿宋" w:hAnsi="仿宋" w:eastAsia="仿宋"/>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lang w:val="en-US" w:eastAsia="zh-CN"/>
        </w:rPr>
        <w:t>5</w:t>
      </w:r>
      <w:r>
        <w:rPr>
          <w:rStyle w:val="14"/>
          <w:rFonts w:ascii="仿宋" w:hAnsi="仿宋" w:eastAsia="仿宋"/>
          <w:bCs/>
          <w:sz w:val="32"/>
          <w:szCs w:val="32"/>
        </w:rPr>
        <w:t>.</w:t>
      </w:r>
      <w:r>
        <w:rPr>
          <w:rStyle w:val="14"/>
          <w:rFonts w:hint="eastAsia" w:ascii="仿宋" w:hAnsi="仿宋" w:eastAsia="仿宋"/>
          <w:bCs/>
          <w:sz w:val="32"/>
          <w:szCs w:val="32"/>
        </w:rPr>
        <w:t>社会保障和就业（类）普通教育（款）基础教育（项）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支出决算为92.42万元，完成预算100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lang w:val="en-US" w:eastAsia="zh-CN"/>
        </w:rPr>
        <w:t>6</w:t>
      </w:r>
      <w:r>
        <w:rPr>
          <w:rStyle w:val="14"/>
          <w:rFonts w:ascii="仿宋" w:hAnsi="仿宋" w:eastAsia="仿宋"/>
          <w:bCs/>
          <w:sz w:val="32"/>
          <w:szCs w:val="32"/>
        </w:rPr>
        <w:t>.</w:t>
      </w:r>
      <w:r>
        <w:rPr>
          <w:rFonts w:hint="eastAsia" w:ascii="仿宋" w:hAnsi="仿宋" w:eastAsia="仿宋"/>
          <w:b/>
          <w:bCs/>
          <w:sz w:val="32"/>
          <w:szCs w:val="32"/>
        </w:rPr>
        <w:t>卫生健康</w:t>
      </w:r>
      <w:r>
        <w:rPr>
          <w:rStyle w:val="14"/>
          <w:rFonts w:hint="eastAsia" w:ascii="仿宋" w:hAnsi="仿宋" w:eastAsia="仿宋"/>
          <w:bCs/>
          <w:sz w:val="32"/>
          <w:szCs w:val="32"/>
        </w:rPr>
        <w:t>（类）普通教育（款）基础教育（项）</w:t>
      </w:r>
      <w:r>
        <w:rPr>
          <w:rStyle w:val="14"/>
          <w:rFonts w:ascii="仿宋" w:hAnsi="仿宋" w:eastAsia="仿宋"/>
          <w:bCs/>
          <w:sz w:val="32"/>
          <w:szCs w:val="32"/>
        </w:rPr>
        <w:t>:</w:t>
      </w:r>
      <w:r>
        <w:rPr>
          <w:rStyle w:val="14"/>
          <w:rFonts w:hint="eastAsia" w:ascii="仿宋" w:hAnsi="仿宋" w:eastAsia="仿宋"/>
          <w:b w:val="0"/>
          <w:bCs/>
          <w:sz w:val="32"/>
          <w:szCs w:val="32"/>
        </w:rPr>
        <w:t>支出决算为49.97万元，完成预算0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tabs>
          <w:tab w:val="right" w:pos="8306"/>
        </w:tabs>
        <w:spacing w:line="600" w:lineRule="exact"/>
        <w:ind w:firstLine="480" w:firstLineChars="150"/>
        <w:outlineLvl w:val="1"/>
        <w:rPr>
          <w:rStyle w:val="25"/>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ascii="仿宋" w:hAnsi="仿宋" w:eastAsia="仿宋"/>
          <w:sz w:val="32"/>
          <w:szCs w:val="32"/>
        </w:rPr>
        <w:t xml:space="preserve">1,336.82 </w:t>
      </w:r>
      <w:r>
        <w:rPr>
          <w:rFonts w:hint="eastAsia" w:ascii="仿宋" w:hAnsi="仿宋" w:eastAsia="仿宋"/>
          <w:sz w:val="32"/>
          <w:szCs w:val="32"/>
        </w:rPr>
        <w:t>万元，其中：</w:t>
      </w:r>
    </w:p>
    <w:p>
      <w:pPr>
        <w:ind w:firstLine="640" w:firstLineChars="200"/>
        <w:rPr>
          <w:rFonts w:ascii="Arial" w:hAnsi="Arial" w:cs="Arial"/>
          <w:color w:val="000000"/>
          <w:kern w:val="0"/>
          <w:sz w:val="20"/>
          <w:szCs w:val="20"/>
        </w:rPr>
      </w:pPr>
      <w:r>
        <w:rPr>
          <w:rFonts w:hint="eastAsia" w:ascii="仿宋" w:hAnsi="仿宋" w:eastAsia="仿宋"/>
          <w:sz w:val="32"/>
          <w:szCs w:val="32"/>
        </w:rPr>
        <w:t>人员经费1,141.68万元，主要包括：基本工资、津贴补贴、奖金、绩效工资、机关事业单位基本养老保险缴费、职业年金缴费、其他社会保障缴费、其他工资福利支出、抚恤金、生活补助、医疗费补助、奖励金、住房公积金。</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sz w:val="32"/>
          <w:szCs w:val="32"/>
        </w:rPr>
        <w:t>195.14</w:t>
      </w:r>
      <w:r>
        <w:rPr>
          <w:rFonts w:hint="eastAsia" w:ascii="仿宋" w:hAnsi="仿宋" w:eastAsia="仿宋"/>
          <w:sz w:val="32"/>
          <w:szCs w:val="32"/>
        </w:rPr>
        <w:t>万元，主要包括：办公费、印刷费、水费、电费、差旅费、维修（护）费、租赁费、培训费、劳务费、工会经费、福利费。</w:t>
      </w:r>
    </w:p>
    <w:p>
      <w:pPr>
        <w:spacing w:line="600" w:lineRule="exact"/>
        <w:ind w:firstLine="640"/>
        <w:outlineLvl w:val="1"/>
        <w:rPr>
          <w:rStyle w:val="25"/>
          <w:rFonts w:ascii="黑体" w:hAnsi="黑体" w:eastAsia="黑体"/>
          <w:b w:val="0"/>
        </w:rPr>
      </w:pPr>
      <w:bookmarkStart w:id="36" w:name="_Toc15377215"/>
      <w:bookmarkStart w:id="37" w:name="_Toc15396609"/>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bookmarkStart w:id="39" w:name="_Toc15396610"/>
      <w:bookmarkStart w:id="40" w:name="_Toc15377218"/>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sz w:val="32"/>
          <w:szCs w:val="32"/>
        </w:rPr>
        <w:t>决算数与预算数持平</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41" w:name="_Toc15377217"/>
      <w:r>
        <w:rPr>
          <w:rFonts w:hint="eastAsia" w:ascii="仿宋" w:hAnsi="仿宋" w:eastAsia="仿宋"/>
          <w:b/>
          <w:color w:val="auto"/>
          <w:sz w:val="32"/>
          <w:szCs w:val="32"/>
          <w:highlight w:val="none"/>
        </w:rPr>
        <w:t>（二）“三公”经费财政拨款支出决算具体情况说明</w:t>
      </w:r>
      <w:bookmarkEnd w:id="41"/>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560" w:lineRule="exact"/>
        <w:ind w:firstLine="640"/>
        <w:outlineLvl w:val="2"/>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0.00万元，</w:t>
      </w:r>
      <w:r>
        <w:rPr>
          <w:rStyle w:val="14"/>
          <w:rFonts w:hint="eastAsia" w:ascii="仿宋" w:hAnsi="仿宋" w:eastAsia="仿宋"/>
          <w:b w:val="0"/>
          <w:bCs/>
          <w:sz w:val="32"/>
          <w:szCs w:val="32"/>
        </w:rPr>
        <w:t>完成预算</w:t>
      </w:r>
      <w:r>
        <w:rPr>
          <w:rFonts w:hint="eastAsia" w:ascii="仿宋_GB2312" w:eastAsia="仿宋_GB2312"/>
          <w:sz w:val="32"/>
          <w:szCs w:val="32"/>
        </w:rPr>
        <w:t>0.00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20年增加0.00万元，增长</w:t>
      </w:r>
      <w:r>
        <w:rPr>
          <w:rFonts w:ascii="仿宋_GB2312" w:eastAsia="仿宋_GB2312"/>
          <w:sz w:val="32"/>
          <w:szCs w:val="32"/>
        </w:rPr>
        <w:t>/</w:t>
      </w:r>
      <w:r>
        <w:rPr>
          <w:rFonts w:hint="eastAsia" w:ascii="仿宋_GB2312" w:eastAsia="仿宋_GB2312"/>
          <w:sz w:val="32"/>
          <w:szCs w:val="32"/>
        </w:rPr>
        <w:t>下降0.00</w:t>
      </w:r>
      <w:r>
        <w:rPr>
          <w:rFonts w:ascii="仿宋_GB2312" w:eastAsia="仿宋_GB2312"/>
          <w:sz w:val="32"/>
          <w:szCs w:val="32"/>
        </w:rPr>
        <w:t>%</w:t>
      </w:r>
      <w:r>
        <w:rPr>
          <w:rFonts w:hint="eastAsia" w:ascii="仿宋_GB2312" w:eastAsia="仿宋_GB2312"/>
          <w:sz w:val="32"/>
          <w:szCs w:val="32"/>
        </w:rPr>
        <w:t>。主要原因是当年未安排因公出国（境）支出预算，无因公出国（境）支出。</w:t>
      </w:r>
    </w:p>
    <w:p>
      <w:pPr>
        <w:spacing w:line="560" w:lineRule="exact"/>
        <w:ind w:firstLine="640"/>
        <w:outlineLvl w:val="2"/>
        <w:rPr>
          <w:rFonts w:ascii="仿宋_GB2312" w:eastAsia="仿宋_GB2312"/>
          <w:b/>
          <w:bCs/>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0.00万元,</w:t>
      </w:r>
      <w:r>
        <w:rPr>
          <w:rStyle w:val="14"/>
          <w:rFonts w:hint="eastAsia" w:ascii="仿宋" w:hAnsi="仿宋" w:eastAsia="仿宋"/>
          <w:b w:val="0"/>
          <w:bCs/>
          <w:sz w:val="32"/>
          <w:szCs w:val="32"/>
        </w:rPr>
        <w:t>完成预算0.00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20年增加0.00万元，增长0.00</w:t>
      </w:r>
      <w:r>
        <w:rPr>
          <w:rFonts w:ascii="仿宋_GB2312" w:eastAsia="仿宋_GB2312"/>
          <w:sz w:val="32"/>
          <w:szCs w:val="32"/>
        </w:rPr>
        <w:t>%</w:t>
      </w:r>
      <w:r>
        <w:rPr>
          <w:rFonts w:hint="eastAsia" w:ascii="仿宋_GB2312" w:eastAsia="仿宋_GB2312"/>
          <w:sz w:val="32"/>
          <w:szCs w:val="32"/>
        </w:rPr>
        <w:t>。</w:t>
      </w:r>
    </w:p>
    <w:p>
      <w:pPr>
        <w:spacing w:line="600" w:lineRule="exact"/>
        <w:ind w:firstLine="482" w:firstLineChars="150"/>
        <w:outlineLvl w:val="1"/>
        <w:rPr>
          <w:rStyle w:val="14"/>
          <w:rFonts w:hint="eastAsia" w:ascii="仿宋" w:hAnsi="仿宋" w:eastAsia="仿宋"/>
          <w:b w:val="0"/>
          <w:bCs/>
          <w:sz w:val="32"/>
          <w:szCs w:val="32"/>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Style w:val="14"/>
          <w:rFonts w:hint="eastAsia" w:ascii="仿宋" w:hAnsi="仿宋" w:eastAsia="仿宋"/>
          <w:b w:val="0"/>
          <w:bCs/>
          <w:sz w:val="32"/>
          <w:szCs w:val="32"/>
        </w:rPr>
        <w:t>完成预算0.00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480" w:firstLineChars="15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39"/>
      <w:bookmarkEnd w:id="40"/>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numPr>
          <w:ilvl w:val="0"/>
          <w:numId w:val="4"/>
        </w:numPr>
        <w:spacing w:line="600" w:lineRule="exact"/>
        <w:ind w:firstLine="640"/>
        <w:outlineLvl w:val="1"/>
        <w:rPr>
          <w:rStyle w:val="25"/>
          <w:rFonts w:ascii="黑体" w:hAnsi="黑体" w:eastAsia="黑体"/>
          <w:b w:val="0"/>
        </w:rPr>
      </w:pPr>
      <w:bookmarkStart w:id="42" w:name="_Toc15396611"/>
      <w:bookmarkStart w:id="43" w:name="_Toc15377219"/>
      <w:r>
        <w:rPr>
          <w:rStyle w:val="25"/>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numPr>
          <w:ilvl w:val="0"/>
          <w:numId w:val="4"/>
        </w:numPr>
        <w:spacing w:line="600" w:lineRule="exact"/>
        <w:ind w:firstLine="640"/>
        <w:outlineLvl w:val="1"/>
        <w:rPr>
          <w:rStyle w:val="25"/>
          <w:rFonts w:ascii="黑体" w:hAnsi="黑体" w:eastAsia="黑体"/>
          <w:b w:val="0"/>
        </w:rPr>
      </w:pPr>
      <w:bookmarkStart w:id="44" w:name="_Toc15396612"/>
      <w:bookmarkStart w:id="45" w:name="_Toc15377221"/>
      <w:r>
        <w:rPr>
          <w:rStyle w:val="25"/>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广元市利州区八一小学</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八一小学</w:t>
      </w:r>
      <w:r>
        <w:rPr>
          <w:rFonts w:hint="eastAsia" w:ascii="仿宋_GB2312" w:eastAsia="仿宋_GB2312"/>
          <w:color w:val="auto"/>
          <w:sz w:val="32"/>
          <w:szCs w:val="32"/>
          <w:highlight w:val="none"/>
        </w:rPr>
        <w:t>机关运行经费支出</w:t>
      </w:r>
      <w:r>
        <w:rPr>
          <w:rFonts w:hint="eastAsia" w:ascii="仿宋_GB2312" w:eastAsia="仿宋_GB2312"/>
          <w:sz w:val="32"/>
          <w:szCs w:val="32"/>
          <w:lang w:val="en-US" w:eastAsia="zh-CN"/>
        </w:rPr>
        <w:t>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广元市利州区八一小学</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广元市利州区八一小学</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2"/>
        <w:spacing w:before="93"/>
        <w:ind w:firstLine="640" w:firstLineChars="200"/>
        <w:rPr>
          <w:highlight w:val="yellow"/>
        </w:rPr>
      </w:pPr>
      <w:r>
        <w:rPr>
          <w:rFonts w:hint="eastAsia" w:hAnsi="仿宋_GB2312" w:cs="仿宋_GB2312"/>
          <w:sz w:val="32"/>
          <w:szCs w:val="32"/>
        </w:rPr>
        <w:t>根据预算绩效管理要求，本单位在2022年度预算编制阶段，组织对学前教育免保教费项目等</w:t>
      </w:r>
      <w:r>
        <w:rPr>
          <w:rFonts w:hint="eastAsia" w:hAnsi="仿宋_GB2312" w:cs="仿宋_GB2312"/>
          <w:sz w:val="32"/>
          <w:szCs w:val="32"/>
          <w:lang w:val="en-US" w:eastAsia="zh-CN"/>
        </w:rPr>
        <w:t>28</w:t>
      </w:r>
      <w:r>
        <w:rPr>
          <w:rFonts w:hint="eastAsia" w:hAnsi="仿宋_GB2312" w:cs="仿宋_GB2312"/>
          <w:sz w:val="32"/>
          <w:szCs w:val="32"/>
        </w:rPr>
        <w:t>个项目开展了预算事前绩效评估，对学前教育免保教费项目等</w:t>
      </w:r>
      <w:r>
        <w:rPr>
          <w:rFonts w:hint="eastAsia" w:hAnsi="仿宋_GB2312" w:cs="仿宋_GB2312"/>
          <w:sz w:val="32"/>
          <w:szCs w:val="32"/>
          <w:lang w:val="en-US" w:eastAsia="zh-CN"/>
        </w:rPr>
        <w:t>28</w:t>
      </w:r>
      <w:r>
        <w:rPr>
          <w:rFonts w:hint="eastAsia" w:hAnsi="仿宋_GB2312" w:cs="仿宋_GB2312"/>
          <w:sz w:val="32"/>
          <w:szCs w:val="32"/>
        </w:rPr>
        <w:t>个项目编制了绩效目标，预算执行过程中，选取学前教育免保教费项目等</w:t>
      </w:r>
      <w:r>
        <w:rPr>
          <w:rFonts w:hint="eastAsia" w:hAnsi="仿宋_GB2312" w:cs="仿宋_GB2312"/>
          <w:sz w:val="32"/>
          <w:szCs w:val="32"/>
          <w:lang w:val="en-US" w:eastAsia="zh-CN"/>
        </w:rPr>
        <w:t>28</w:t>
      </w:r>
      <w:r>
        <w:rPr>
          <w:rFonts w:hint="eastAsia" w:hAnsi="仿宋_GB2312" w:cs="仿宋_GB2312"/>
          <w:sz w:val="32"/>
          <w:szCs w:val="32"/>
        </w:rPr>
        <w:t>个项目开展绩效监控，组织对学前教育免保教费项目等</w:t>
      </w:r>
      <w:r>
        <w:rPr>
          <w:rFonts w:hint="eastAsia" w:hAnsi="仿宋_GB2312" w:cs="仿宋_GB2312"/>
          <w:sz w:val="32"/>
          <w:szCs w:val="32"/>
          <w:lang w:val="en-US" w:eastAsia="zh-CN"/>
        </w:rPr>
        <w:t>28</w:t>
      </w:r>
      <w:bookmarkStart w:id="67" w:name="_GoBack"/>
      <w:bookmarkEnd w:id="67"/>
      <w:r>
        <w:rPr>
          <w:rFonts w:hint="eastAsia" w:hAnsi="仿宋_GB2312" w:cs="仿宋_GB2312"/>
          <w:sz w:val="32"/>
          <w:szCs w:val="32"/>
        </w:rPr>
        <w:t>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5"/>
        </w:numPr>
        <w:spacing w:line="600" w:lineRule="exact"/>
        <w:ind w:firstLine="660" w:firstLineChars="150"/>
        <w:jc w:val="center"/>
        <w:outlineLvl w:val="0"/>
        <w:rPr>
          <w:rStyle w:val="24"/>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4"/>
          <w:rFonts w:hint="eastAsia" w:ascii="黑体" w:hAnsi="黑体" w:eastAsia="黑体"/>
          <w:b w:val="0"/>
        </w:rPr>
        <w:t>词解释</w:t>
      </w:r>
      <w:bookmarkEnd w:id="49"/>
      <w:bookmarkEnd w:id="50"/>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 教育支出（类）普通教育（款）学前教育（项）:反映各部门举办的学前教育支出。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 教育支出（类）普通教育（款）小学教育（项）:反映各部门举办的小学教育支出。政府各部门对社会中介组织等举办的小学的资助，如各类捐赠、补贴等，也在本科目中反映。</w:t>
      </w:r>
    </w:p>
    <w:p>
      <w:pPr>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 教育支出（类）普通教育（款）初中教育（项）: 反映各部门举办的初中教育支出。政府各部门对社会中介组织等举办的初中教育的资助，如捐赠、补贴等，也在本科目中反映。</w:t>
      </w:r>
    </w:p>
    <w:p>
      <w:pPr>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 教育支出（类）普通教育（款）其它普通教育（项）: 反映除上述项目以外其他用于普通教育方面的支出。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 社会保障和就业支出（类）行政事业单位离退休（款）机关事业单位基本养老保险缴费支出（项）: 指机关事业单位实施养老保险制度由单位缴纳的基本养老保险费支出。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 社会保障和就业支出（类）行政事业单位离退休（款）机关事业单位职业年金缴费支出（项）: 指机关事业单位实施养老保险制度由单位实际缴纳的职业年金支出。</w:t>
      </w: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 社会保障和就业支出（类）抚恤（款）死亡抚恤（项）: 指按规定用于烈士和牺牲、病故人员家属的一次性和定期抚恤金以及丧葬补助费。</w:t>
      </w:r>
    </w:p>
    <w:p>
      <w:pPr>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 住房保障支出（类）住房改革支出（款）住房公积金（项）: 指行政事业单位按人力资源和社会保障部、财政部规定的基本工资和津贴补贴以及规定比例为职工缴纳的住房公积金。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 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 xml:space="preserve">. 项目支出：指在基本支出之外为完成特定行政任务和事业发展目标所发生的支出。 </w:t>
      </w:r>
    </w:p>
    <w:p>
      <w:pPr>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hint="eastAsia" w:ascii="仿宋_GB2312" w:eastAsia="仿宋_GB2312"/>
          <w:sz w:val="32"/>
          <w:szCs w:val="32"/>
        </w:rPr>
        <w:t>. “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Fonts w:ascii="黑体" w:hAnsi="黑体" w:eastAsia="黑体"/>
          <w:sz w:val="44"/>
          <w:szCs w:val="44"/>
        </w:rPr>
      </w:pPr>
      <w:bookmarkStart w:id="51" w:name="_Toc15377226"/>
      <w:bookmarkStart w:id="52" w:name="_Toc15396618"/>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Style w:val="24"/>
          <w:rFonts w:ascii="黑体" w:hAnsi="黑体" w:eastAsia="黑体"/>
          <w:b w:val="0"/>
          <w:color w:val="auto"/>
          <w:highlight w:val="none"/>
        </w:rPr>
      </w:pPr>
      <w:bookmarkStart w:id="53"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3"/>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pPr>
        <w:spacing w:line="600" w:lineRule="exact"/>
        <w:jc w:val="center"/>
        <w:outlineLvl w:val="0"/>
        <w:rPr>
          <w:rFonts w:hint="eastAsia" w:ascii="仿宋_GB2312" w:hAnsi="Calibri" w:eastAsia="仿宋_GB2312" w:cs="仿宋"/>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部门预算项目支出绩效自评表（2022年度）</w:t>
      </w:r>
    </w:p>
    <w:p>
      <w:pPr>
        <w:spacing w:line="600" w:lineRule="exact"/>
        <w:jc w:val="left"/>
        <w:outlineLvl w:val="0"/>
        <w:rPr>
          <w:rFonts w:ascii="仿宋_GB2312" w:hAnsi="Calibri" w:eastAsia="仿宋_GB2312" w:cs="仿宋"/>
          <w:kern w:val="0"/>
          <w:sz w:val="32"/>
          <w:szCs w:val="32"/>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Style w:val="24"/>
          <w:rFonts w:hint="eastAsia" w:ascii="黑体" w:hAnsi="黑体" w:eastAsia="黑体"/>
          <w:b w:val="0"/>
        </w:rPr>
      </w:pPr>
      <w:r>
        <w:rPr>
          <w:rFonts w:hint="eastAsia" w:ascii="黑体" w:hAnsi="黑体" w:eastAsia="黑体"/>
          <w:sz w:val="44"/>
          <w:szCs w:val="44"/>
        </w:rPr>
        <w:t>第</w:t>
      </w:r>
      <w:r>
        <w:rPr>
          <w:rStyle w:val="24"/>
          <w:rFonts w:hint="eastAsia" w:ascii="黑体" w:hAnsi="黑体" w:eastAsia="黑体"/>
          <w:b w:val="0"/>
        </w:rPr>
        <w:t>五部分 附表</w:t>
      </w:r>
      <w:bookmarkEnd w:id="51"/>
      <w:bookmarkEnd w:id="52"/>
      <w:bookmarkStart w:id="54" w:name="_Toc15396619"/>
    </w:p>
    <w:p>
      <w:pPr>
        <w:spacing w:line="600" w:lineRule="exact"/>
        <w:outlineLvl w:val="0"/>
        <w:rPr>
          <w:rFonts w:ascii="仿宋" w:hAnsi="仿宋" w:eastAsia="仿宋" w:cstheme="majorBidi"/>
          <w:bCs/>
          <w:sz w:val="32"/>
          <w:szCs w:val="32"/>
        </w:rPr>
      </w:pPr>
      <w:r>
        <w:rPr>
          <w:rFonts w:hint="eastAsia" w:ascii="仿宋" w:hAnsi="仿宋" w:eastAsia="仿宋"/>
        </w:rPr>
        <w:t>一、</w:t>
      </w:r>
      <w:r>
        <w:rPr>
          <w:rFonts w:hint="eastAsia" w:ascii="仿宋" w:hAnsi="仿宋" w:eastAsia="仿宋" w:cstheme="majorBidi"/>
          <w:bCs/>
          <w:sz w:val="32"/>
          <w:szCs w:val="32"/>
        </w:rPr>
        <w:t>收入支出决算总表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5"/>
          <w:rFonts w:hint="eastAsia" w:ascii="仿宋" w:hAnsi="仿宋" w:eastAsia="仿宋"/>
          <w:b w:val="0"/>
          <w:bCs w:val="0"/>
        </w:rPr>
        <w:t>入决算表</w:t>
      </w:r>
      <w:bookmarkEnd w:id="55"/>
    </w:p>
    <w:p>
      <w:pPr>
        <w:pStyle w:val="4"/>
        <w:rPr>
          <w:rFonts w:ascii="仿宋" w:hAnsi="仿宋" w:eastAsia="仿宋"/>
        </w:rPr>
      </w:pPr>
      <w:bookmarkStart w:id="56"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7"/>
    </w:p>
    <w:p>
      <w:pPr>
        <w:pStyle w:val="4"/>
        <w:rPr>
          <w:rStyle w:val="25"/>
          <w:rFonts w:ascii="仿宋" w:hAnsi="仿宋" w:eastAsia="仿宋"/>
          <w:b w:val="0"/>
          <w:bCs w:val="0"/>
        </w:rPr>
      </w:pPr>
      <w:bookmarkStart w:id="58"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5"/>
          <w:rFonts w:hint="eastAsia" w:ascii="仿宋" w:hAnsi="仿宋" w:eastAsia="仿宋"/>
          <w:b w:val="0"/>
          <w:bCs w:val="0"/>
        </w:rPr>
        <w:t>十、</w:t>
      </w:r>
      <w:bookmarkEnd w:id="63"/>
      <w:r>
        <w:rPr>
          <w:rFonts w:hint="eastAsia" w:ascii="仿宋" w:hAnsi="仿宋" w:eastAsia="仿宋"/>
          <w:b w:val="0"/>
        </w:rPr>
        <w:t>政</w:t>
      </w:r>
      <w:r>
        <w:rPr>
          <w:rStyle w:val="25"/>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5"/>
          <w:rFonts w:hint="eastAsia" w:ascii="仿宋" w:hAnsi="仿宋" w:eastAsia="仿宋"/>
          <w:b w:val="0"/>
          <w:bCs w:val="0"/>
        </w:rPr>
        <w:t>十一、</w:t>
      </w:r>
      <w:bookmarkEnd w:id="64"/>
      <w:r>
        <w:rPr>
          <w:rFonts w:hint="eastAsia" w:ascii="仿宋" w:hAnsi="仿宋" w:eastAsia="仿宋"/>
          <w:b w:val="0"/>
        </w:rPr>
        <w:t>国</w:t>
      </w:r>
      <w:r>
        <w:rPr>
          <w:rStyle w:val="25"/>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5"/>
          <w:rFonts w:hint="eastAsia" w:ascii="仿宋" w:hAnsi="仿宋" w:eastAsia="仿宋"/>
          <w:b w:val="0"/>
          <w:bCs w:val="0"/>
        </w:rPr>
        <w:t>十二、</w:t>
      </w:r>
      <w:bookmarkEnd w:id="65"/>
      <w:r>
        <w:rPr>
          <w:rStyle w:val="25"/>
          <w:rFonts w:hint="eastAsia" w:ascii="仿宋" w:hAnsi="仿宋" w:eastAsia="仿宋"/>
          <w:b w:val="0"/>
          <w:bCs w:val="0"/>
        </w:rPr>
        <w:t>国有资本经营预算财政拨款支出决算表</w:t>
      </w:r>
    </w:p>
    <w:p>
      <w:pPr>
        <w:pStyle w:val="4"/>
        <w:rPr>
          <w:rFonts w:eastAsia="仿宋"/>
        </w:rPr>
      </w:pPr>
      <w:bookmarkStart w:id="66" w:name="_Toc15396631"/>
      <w:r>
        <w:rPr>
          <w:rStyle w:val="25"/>
          <w:rFonts w:hint="eastAsia" w:ascii="仿宋" w:hAnsi="仿宋" w:eastAsia="仿宋"/>
          <w:b w:val="0"/>
          <w:bCs w:val="0"/>
        </w:rPr>
        <w:t>十三、</w:t>
      </w:r>
      <w:bookmarkEnd w:id="66"/>
      <w:r>
        <w:rPr>
          <w:rStyle w:val="25"/>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方正舒体"/>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黑体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083267BE"/>
    <w:multiLevelType w:val="singleLevel"/>
    <w:tmpl w:val="083267BE"/>
    <w:lvl w:ilvl="0" w:tentative="0">
      <w:start w:val="3"/>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JiYzRjZDg4ODIxMmZkMzVjYzYxNzIzMDEwYjJjY2IifQ=="/>
  </w:docVars>
  <w:rsids>
    <w:rsidRoot w:val="00F1361C"/>
    <w:rsid w:val="00021E1E"/>
    <w:rsid w:val="000222C6"/>
    <w:rsid w:val="0002549F"/>
    <w:rsid w:val="000277F9"/>
    <w:rsid w:val="000468DB"/>
    <w:rsid w:val="0006487A"/>
    <w:rsid w:val="00065F8F"/>
    <w:rsid w:val="00070A43"/>
    <w:rsid w:val="000768F2"/>
    <w:rsid w:val="0009184B"/>
    <w:rsid w:val="00094236"/>
    <w:rsid w:val="0009593C"/>
    <w:rsid w:val="00095E39"/>
    <w:rsid w:val="00097322"/>
    <w:rsid w:val="000A6A92"/>
    <w:rsid w:val="000B047F"/>
    <w:rsid w:val="000B5923"/>
    <w:rsid w:val="000B5A48"/>
    <w:rsid w:val="000B6FF3"/>
    <w:rsid w:val="000C3467"/>
    <w:rsid w:val="000C3CA6"/>
    <w:rsid w:val="000D1267"/>
    <w:rsid w:val="000D1D50"/>
    <w:rsid w:val="000D5782"/>
    <w:rsid w:val="000E6613"/>
    <w:rsid w:val="000E7119"/>
    <w:rsid w:val="000E73E1"/>
    <w:rsid w:val="001022F0"/>
    <w:rsid w:val="00114E9B"/>
    <w:rsid w:val="00142216"/>
    <w:rsid w:val="00144D6A"/>
    <w:rsid w:val="0014729F"/>
    <w:rsid w:val="00157BAB"/>
    <w:rsid w:val="001654D1"/>
    <w:rsid w:val="00174518"/>
    <w:rsid w:val="0018106D"/>
    <w:rsid w:val="001877A7"/>
    <w:rsid w:val="00191536"/>
    <w:rsid w:val="00196687"/>
    <w:rsid w:val="001C0962"/>
    <w:rsid w:val="001C3781"/>
    <w:rsid w:val="001D7531"/>
    <w:rsid w:val="001E737D"/>
    <w:rsid w:val="001F0592"/>
    <w:rsid w:val="001F7506"/>
    <w:rsid w:val="002006CD"/>
    <w:rsid w:val="00202B36"/>
    <w:rsid w:val="00204B7A"/>
    <w:rsid w:val="00204CDE"/>
    <w:rsid w:val="0021101A"/>
    <w:rsid w:val="00220536"/>
    <w:rsid w:val="00220936"/>
    <w:rsid w:val="00235629"/>
    <w:rsid w:val="00260C38"/>
    <w:rsid w:val="002616C0"/>
    <w:rsid w:val="00265372"/>
    <w:rsid w:val="002662AA"/>
    <w:rsid w:val="002759D3"/>
    <w:rsid w:val="00276C21"/>
    <w:rsid w:val="00280496"/>
    <w:rsid w:val="00294DC9"/>
    <w:rsid w:val="00295495"/>
    <w:rsid w:val="002A31DE"/>
    <w:rsid w:val="002B2613"/>
    <w:rsid w:val="002D6D05"/>
    <w:rsid w:val="002E0242"/>
    <w:rsid w:val="002E2EBF"/>
    <w:rsid w:val="002F1818"/>
    <w:rsid w:val="002F567B"/>
    <w:rsid w:val="003216A9"/>
    <w:rsid w:val="00335A74"/>
    <w:rsid w:val="00351AD4"/>
    <w:rsid w:val="00356844"/>
    <w:rsid w:val="0036561B"/>
    <w:rsid w:val="0037013F"/>
    <w:rsid w:val="00380C92"/>
    <w:rsid w:val="003A0D38"/>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5081F"/>
    <w:rsid w:val="00471401"/>
    <w:rsid w:val="00473F31"/>
    <w:rsid w:val="004748DC"/>
    <w:rsid w:val="0048263A"/>
    <w:rsid w:val="00487E5D"/>
    <w:rsid w:val="00495374"/>
    <w:rsid w:val="004A389F"/>
    <w:rsid w:val="004A711F"/>
    <w:rsid w:val="004B199D"/>
    <w:rsid w:val="004B4690"/>
    <w:rsid w:val="004C5E17"/>
    <w:rsid w:val="004E0A2D"/>
    <w:rsid w:val="004E206B"/>
    <w:rsid w:val="004E6DF7"/>
    <w:rsid w:val="004F0FBD"/>
    <w:rsid w:val="00505A47"/>
    <w:rsid w:val="00512FDA"/>
    <w:rsid w:val="00520DA0"/>
    <w:rsid w:val="00546CDE"/>
    <w:rsid w:val="005664BB"/>
    <w:rsid w:val="00566FFA"/>
    <w:rsid w:val="005742AF"/>
    <w:rsid w:val="0057481D"/>
    <w:rsid w:val="0058486E"/>
    <w:rsid w:val="00584B21"/>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17A8"/>
    <w:rsid w:val="0066343B"/>
    <w:rsid w:val="00664777"/>
    <w:rsid w:val="006748A4"/>
    <w:rsid w:val="00681A31"/>
    <w:rsid w:val="00683E73"/>
    <w:rsid w:val="006A3141"/>
    <w:rsid w:val="006A3764"/>
    <w:rsid w:val="006A5E34"/>
    <w:rsid w:val="006B2422"/>
    <w:rsid w:val="006B2B9A"/>
    <w:rsid w:val="006C11E9"/>
    <w:rsid w:val="006C1937"/>
    <w:rsid w:val="006F020C"/>
    <w:rsid w:val="0070406D"/>
    <w:rsid w:val="007127B7"/>
    <w:rsid w:val="0071798E"/>
    <w:rsid w:val="007416B6"/>
    <w:rsid w:val="00746F48"/>
    <w:rsid w:val="0075404D"/>
    <w:rsid w:val="0076182A"/>
    <w:rsid w:val="00767B7E"/>
    <w:rsid w:val="007770C3"/>
    <w:rsid w:val="00782B5E"/>
    <w:rsid w:val="00784D24"/>
    <w:rsid w:val="00785FBA"/>
    <w:rsid w:val="00786E4A"/>
    <w:rsid w:val="007875EB"/>
    <w:rsid w:val="0079426B"/>
    <w:rsid w:val="007D1682"/>
    <w:rsid w:val="007D312A"/>
    <w:rsid w:val="007D3F19"/>
    <w:rsid w:val="007E23B0"/>
    <w:rsid w:val="007E23E5"/>
    <w:rsid w:val="007E6ADB"/>
    <w:rsid w:val="007F1991"/>
    <w:rsid w:val="007F2C2F"/>
    <w:rsid w:val="007F55FC"/>
    <w:rsid w:val="007F5665"/>
    <w:rsid w:val="00800112"/>
    <w:rsid w:val="00807FFE"/>
    <w:rsid w:val="00813348"/>
    <w:rsid w:val="008253BB"/>
    <w:rsid w:val="0083706E"/>
    <w:rsid w:val="008408F6"/>
    <w:rsid w:val="008423A5"/>
    <w:rsid w:val="00850625"/>
    <w:rsid w:val="00853718"/>
    <w:rsid w:val="00855221"/>
    <w:rsid w:val="00860645"/>
    <w:rsid w:val="00862282"/>
    <w:rsid w:val="00871F71"/>
    <w:rsid w:val="00872FD8"/>
    <w:rsid w:val="00874533"/>
    <w:rsid w:val="00885AF4"/>
    <w:rsid w:val="008939CD"/>
    <w:rsid w:val="008A2FF2"/>
    <w:rsid w:val="008B768C"/>
    <w:rsid w:val="008C4DB1"/>
    <w:rsid w:val="008C4EAF"/>
    <w:rsid w:val="008C5176"/>
    <w:rsid w:val="008C7FD0"/>
    <w:rsid w:val="008D5402"/>
    <w:rsid w:val="008E1DE7"/>
    <w:rsid w:val="008E20CC"/>
    <w:rsid w:val="008E707C"/>
    <w:rsid w:val="008F6A9D"/>
    <w:rsid w:val="00900B08"/>
    <w:rsid w:val="00902155"/>
    <w:rsid w:val="00902FA3"/>
    <w:rsid w:val="00912DD6"/>
    <w:rsid w:val="00923564"/>
    <w:rsid w:val="0092392E"/>
    <w:rsid w:val="00926158"/>
    <w:rsid w:val="00930611"/>
    <w:rsid w:val="009315F9"/>
    <w:rsid w:val="00933499"/>
    <w:rsid w:val="00935C98"/>
    <w:rsid w:val="00946945"/>
    <w:rsid w:val="00951248"/>
    <w:rsid w:val="0095152F"/>
    <w:rsid w:val="00954C49"/>
    <w:rsid w:val="00955E37"/>
    <w:rsid w:val="00965197"/>
    <w:rsid w:val="0097099F"/>
    <w:rsid w:val="00971997"/>
    <w:rsid w:val="00971FFC"/>
    <w:rsid w:val="0098660A"/>
    <w:rsid w:val="009931C3"/>
    <w:rsid w:val="009B2C43"/>
    <w:rsid w:val="009B4EAE"/>
    <w:rsid w:val="009B7573"/>
    <w:rsid w:val="009C22F4"/>
    <w:rsid w:val="009C2A4B"/>
    <w:rsid w:val="009C2E98"/>
    <w:rsid w:val="009C472A"/>
    <w:rsid w:val="009D3447"/>
    <w:rsid w:val="009D4711"/>
    <w:rsid w:val="009E02AB"/>
    <w:rsid w:val="009F1185"/>
    <w:rsid w:val="009F18CD"/>
    <w:rsid w:val="009F2A13"/>
    <w:rsid w:val="009F7527"/>
    <w:rsid w:val="00A00229"/>
    <w:rsid w:val="00A04EB0"/>
    <w:rsid w:val="00A07751"/>
    <w:rsid w:val="00A1137A"/>
    <w:rsid w:val="00A13CC1"/>
    <w:rsid w:val="00A16847"/>
    <w:rsid w:val="00A234D1"/>
    <w:rsid w:val="00A237D8"/>
    <w:rsid w:val="00A268C4"/>
    <w:rsid w:val="00A307CD"/>
    <w:rsid w:val="00A331C8"/>
    <w:rsid w:val="00A40A00"/>
    <w:rsid w:val="00A4142F"/>
    <w:rsid w:val="00A422EB"/>
    <w:rsid w:val="00A45BB7"/>
    <w:rsid w:val="00A56DF2"/>
    <w:rsid w:val="00A56E6E"/>
    <w:rsid w:val="00A67AB5"/>
    <w:rsid w:val="00A733B2"/>
    <w:rsid w:val="00A741C2"/>
    <w:rsid w:val="00A75277"/>
    <w:rsid w:val="00A91760"/>
    <w:rsid w:val="00A93B00"/>
    <w:rsid w:val="00A93C21"/>
    <w:rsid w:val="00AB0018"/>
    <w:rsid w:val="00AB64C9"/>
    <w:rsid w:val="00AC3C6A"/>
    <w:rsid w:val="00AD5620"/>
    <w:rsid w:val="00AD656B"/>
    <w:rsid w:val="00AD7C1B"/>
    <w:rsid w:val="00AE16BA"/>
    <w:rsid w:val="00AE1EBE"/>
    <w:rsid w:val="00AE79A1"/>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292"/>
    <w:rsid w:val="00B81598"/>
    <w:rsid w:val="00B841F1"/>
    <w:rsid w:val="00B944D6"/>
    <w:rsid w:val="00BB4DF0"/>
    <w:rsid w:val="00BC289F"/>
    <w:rsid w:val="00BC2D50"/>
    <w:rsid w:val="00BC5361"/>
    <w:rsid w:val="00BC5460"/>
    <w:rsid w:val="00BC6B50"/>
    <w:rsid w:val="00BD0E25"/>
    <w:rsid w:val="00BE6AAF"/>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92101"/>
    <w:rsid w:val="00CB4E70"/>
    <w:rsid w:val="00CC09B6"/>
    <w:rsid w:val="00CC666F"/>
    <w:rsid w:val="00CD1E3F"/>
    <w:rsid w:val="00CE44F6"/>
    <w:rsid w:val="00CE49DA"/>
    <w:rsid w:val="00CE6D0D"/>
    <w:rsid w:val="00CE7B61"/>
    <w:rsid w:val="00D00095"/>
    <w:rsid w:val="00D114F0"/>
    <w:rsid w:val="00D20620"/>
    <w:rsid w:val="00D254F7"/>
    <w:rsid w:val="00D26091"/>
    <w:rsid w:val="00D2685C"/>
    <w:rsid w:val="00D34E7C"/>
    <w:rsid w:val="00D35489"/>
    <w:rsid w:val="00D36AFE"/>
    <w:rsid w:val="00D51075"/>
    <w:rsid w:val="00D51276"/>
    <w:rsid w:val="00D7035F"/>
    <w:rsid w:val="00DA634F"/>
    <w:rsid w:val="00DA65AC"/>
    <w:rsid w:val="00DB12F4"/>
    <w:rsid w:val="00DB1913"/>
    <w:rsid w:val="00DC410D"/>
    <w:rsid w:val="00DC5A81"/>
    <w:rsid w:val="00DC68CA"/>
    <w:rsid w:val="00DC7CBA"/>
    <w:rsid w:val="00DD0F99"/>
    <w:rsid w:val="00DD73B7"/>
    <w:rsid w:val="00DF28BC"/>
    <w:rsid w:val="00DF34B9"/>
    <w:rsid w:val="00E01053"/>
    <w:rsid w:val="00E07ACF"/>
    <w:rsid w:val="00E331A1"/>
    <w:rsid w:val="00E33202"/>
    <w:rsid w:val="00E336A9"/>
    <w:rsid w:val="00E37356"/>
    <w:rsid w:val="00E472B1"/>
    <w:rsid w:val="00E50624"/>
    <w:rsid w:val="00E568DF"/>
    <w:rsid w:val="00E64269"/>
    <w:rsid w:val="00E71096"/>
    <w:rsid w:val="00E82267"/>
    <w:rsid w:val="00E853CE"/>
    <w:rsid w:val="00E867B6"/>
    <w:rsid w:val="00EA010F"/>
    <w:rsid w:val="00EA4936"/>
    <w:rsid w:val="00ED1B63"/>
    <w:rsid w:val="00ED1F0F"/>
    <w:rsid w:val="00ED3C1F"/>
    <w:rsid w:val="00ED4085"/>
    <w:rsid w:val="00ED420E"/>
    <w:rsid w:val="00ED6FBE"/>
    <w:rsid w:val="00EE2F57"/>
    <w:rsid w:val="00EF4C34"/>
    <w:rsid w:val="00EF77C6"/>
    <w:rsid w:val="00F03918"/>
    <w:rsid w:val="00F05438"/>
    <w:rsid w:val="00F1361C"/>
    <w:rsid w:val="00F156F0"/>
    <w:rsid w:val="00F160C7"/>
    <w:rsid w:val="00F23848"/>
    <w:rsid w:val="00F2408F"/>
    <w:rsid w:val="00F240E9"/>
    <w:rsid w:val="00F36D8F"/>
    <w:rsid w:val="00F417B1"/>
    <w:rsid w:val="00F45853"/>
    <w:rsid w:val="00F602DF"/>
    <w:rsid w:val="00F754A1"/>
    <w:rsid w:val="00F81FD9"/>
    <w:rsid w:val="00F841AA"/>
    <w:rsid w:val="00F84A94"/>
    <w:rsid w:val="00F87E96"/>
    <w:rsid w:val="00F90437"/>
    <w:rsid w:val="00F92A04"/>
    <w:rsid w:val="00F95A26"/>
    <w:rsid w:val="00FA23E8"/>
    <w:rsid w:val="00FB2D41"/>
    <w:rsid w:val="00FD09CB"/>
    <w:rsid w:val="00FD3CC1"/>
    <w:rsid w:val="00FF1E02"/>
    <w:rsid w:val="00FF30B4"/>
    <w:rsid w:val="053A62B5"/>
    <w:rsid w:val="0A2032A3"/>
    <w:rsid w:val="0B8A37D8"/>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EFA178C"/>
    <w:rsid w:val="30B46D73"/>
    <w:rsid w:val="319F7F4E"/>
    <w:rsid w:val="383D272C"/>
    <w:rsid w:val="39AE70AB"/>
    <w:rsid w:val="3C0C0783"/>
    <w:rsid w:val="3F9F3A96"/>
    <w:rsid w:val="48BF60AB"/>
    <w:rsid w:val="493C27E9"/>
    <w:rsid w:val="496F39ED"/>
    <w:rsid w:val="49FF41D3"/>
    <w:rsid w:val="4BE068DB"/>
    <w:rsid w:val="4BF6002B"/>
    <w:rsid w:val="4ECE2238"/>
    <w:rsid w:val="51DB4B86"/>
    <w:rsid w:val="55333C3E"/>
    <w:rsid w:val="64CA39A1"/>
    <w:rsid w:val="69630ADE"/>
    <w:rsid w:val="6C4A05C8"/>
    <w:rsid w:val="6D3B1A89"/>
    <w:rsid w:val="71BF4EC2"/>
    <w:rsid w:val="720A5C1F"/>
    <w:rsid w:val="72734D90"/>
    <w:rsid w:val="7412278C"/>
    <w:rsid w:val="75522076"/>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四号正文"/>
    <w:basedOn w:val="1"/>
    <w:qFormat/>
    <w:uiPriority w:val="0"/>
    <w:pPr>
      <w:spacing w:line="360" w:lineRule="auto"/>
    </w:pPr>
    <w:rPr>
      <w:rFonts w:ascii="??" w:hAnsi="??" w:eastAsia="Times New Roman"/>
      <w:color w:val="000000"/>
      <w:kern w:val="0"/>
      <w:sz w:val="28"/>
      <w:szCs w:val="21"/>
    </w:rPr>
  </w:style>
  <w:style w:type="character" w:customStyle="1" w:styleId="31">
    <w:name w:val="标题 2 字符"/>
    <w:basedOn w:val="13"/>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0"/>
          <c:order val="0"/>
          <c:tx>
            <c:strRef>
              <c:f>Sheet1!$B$1</c:f>
              <c:strCache>
                <c:ptCount val="1"/>
                <c:pt idx="0">
                  <c:v>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#,##0.00</c:formatCode>
                <c:ptCount val="2"/>
                <c:pt idx="0">
                  <c:v>1878.28</c:v>
                </c:pt>
                <c:pt idx="1">
                  <c:v>1717.13</c:v>
                </c:pt>
              </c:numCache>
            </c:numRef>
          </c:val>
        </c:ser>
        <c:ser>
          <c:idx val="1"/>
          <c:order val="1"/>
          <c:tx>
            <c:strRef>
              <c:f>Sheet1!$C$1</c:f>
              <c:strCache>
                <c:ptCount val="1"/>
                <c:pt idx="0">
                  <c:v>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Sheet1!$C$2:$C$3</c:f>
              <c:numCache>
                <c:formatCode>#,##0.00</c:formatCode>
                <c:ptCount val="2"/>
                <c:pt idx="0">
                  <c:v>1566.23</c:v>
                </c:pt>
                <c:pt idx="1">
                  <c:v>1717.13</c:v>
                </c:pt>
              </c:numCache>
            </c:numRef>
          </c:val>
        </c:ser>
        <c:dLbls>
          <c:showLegendKey val="0"/>
          <c:showVal val="0"/>
          <c:showCatName val="0"/>
          <c:showSerName val="0"/>
          <c:showPercent val="0"/>
          <c:showBubbleSize val="0"/>
        </c:dLbls>
        <c:gapWidth val="150"/>
        <c:axId val="112116096"/>
        <c:axId val="112119168"/>
      </c:barChart>
      <c:catAx>
        <c:axId val="1121160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9168"/>
        <c:crosses val="autoZero"/>
        <c:auto val="1"/>
        <c:lblAlgn val="ctr"/>
        <c:lblOffset val="100"/>
        <c:noMultiLvlLbl val="0"/>
      </c:catAx>
      <c:valAx>
        <c:axId val="112119168"/>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60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24189742354924"/>
          <c:y val="0.182460268317853"/>
          <c:w val="0.399104261979292"/>
          <c:h val="0.684202270381837"/>
        </c:manualLayout>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Lbls>
            <c:dLbl>
              <c:idx val="1"/>
              <c:layout>
                <c:manualLayout>
                  <c:x val="-0.201160558945801"/>
                  <c:y val="0.01927750773087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一般公共预算财政拨款收入</c:v>
                </c:pt>
                <c:pt idx="1">
                  <c:v>事业收入</c:v>
                </c:pt>
                <c:pt idx="2">
                  <c:v>其它收入</c:v>
                </c:pt>
              </c:strCache>
            </c:strRef>
          </c:cat>
          <c:val>
            <c:numRef>
              <c:f>Sheet1!$B$2:$B$4</c:f>
              <c:numCache>
                <c:formatCode>#,##0.00</c:formatCode>
                <c:ptCount val="3"/>
                <c:pt idx="0">
                  <c:v>1466.25</c:v>
                </c:pt>
                <c:pt idx="1">
                  <c:v>19</c:v>
                </c:pt>
                <c:pt idx="2" c:formatCode="General">
                  <c:v>0.84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7115338309656"/>
          <c:y val="0.097007223942208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spPr>
              <a:gradFill>
                <a:gsLst>
                  <a:gs pos="0">
                    <a:schemeClr val="accent1">
                      <a:hueOff val="-1670000"/>
                    </a:schemeClr>
                  </a:gs>
                  <a:gs pos="100000">
                    <a:schemeClr val="accent1"/>
                  </a:gs>
                </a:gsLst>
                <a:lin ang="5400000" scaled="0"/>
              </a:gradFill>
              <a:ln>
                <a:gradFill>
                  <a:gsLst>
                    <a:gs pos="0">
                      <a:schemeClr val="accent1">
                        <a:lumMod val="75000"/>
                        <a:hueOff val="-1670000"/>
                      </a:schemeClr>
                    </a:gs>
                    <a:gs pos="100000">
                      <a:schemeClr val="accent1">
                        <a:lumMod val="75000"/>
                      </a:schemeClr>
                    </a:gs>
                  </a:gsLst>
                  <a:lin ang="5160000" scaled="1"/>
                </a:gradFill>
              </a:ln>
              <a:effectLst/>
            </c:spPr>
          </c:dPt>
          <c:dPt>
            <c:idx val="1"/>
            <c:bubble3D val="0"/>
            <c:spPr>
              <a:gradFill>
                <a:gsLst>
                  <a:gs pos="0">
                    <a:schemeClr val="accent2">
                      <a:hueOff val="-1670000"/>
                    </a:schemeClr>
                  </a:gs>
                  <a:gs pos="100000">
                    <a:schemeClr val="accent2"/>
                  </a:gs>
                </a:gsLst>
                <a:lin ang="5400000" scaled="0"/>
              </a:gradFill>
              <a:ln>
                <a:gradFill>
                  <a:gsLst>
                    <a:gs pos="0">
                      <a:schemeClr val="accent2">
                        <a:lumMod val="75000"/>
                        <a:hueOff val="-1670000"/>
                      </a:schemeClr>
                    </a:gs>
                    <a:gs pos="100000">
                      <a:schemeClr val="accent2">
                        <a:lumMod val="75000"/>
                      </a:schemeClr>
                    </a:gs>
                  </a:gsLst>
                  <a:lin ang="5160000" scaled="1"/>
                </a:gradFill>
              </a:ln>
              <a:effectLst/>
            </c:spPr>
          </c:dPt>
          <c:dLbls>
            <c:dLbl>
              <c:idx val="0"/>
              <c:layout>
                <c:manualLayout>
                  <c:x val="0.165261637408373"/>
                  <c:y val="-0.1385654704687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rPr altLang="en-US"/>
                      <a:t>基本支出
</a:t>
                    </a:r>
                    <a:r>
                      <a:rPr lang="en-US" altLang="en-US"/>
                      <a:t>79.01</a:t>
                    </a:r>
                    <a:r>
                      <a:rPr altLang="en-US"/>
                      <a:t>%</a:t>
                    </a:r>
                    <a:endParaRPr altLang="en-US"/>
                  </a:p>
                </c:rich>
              </c:tx>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0.0807001627003512"/>
                  <c:y val="0.02891821768504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rPr altLang="en-US"/>
                      <a:t>项目支出
</a:t>
                    </a:r>
                    <a:r>
                      <a:rPr lang="en-US" altLang="en-US"/>
                      <a:t>21</a:t>
                    </a:r>
                    <a:r>
                      <a:rPr altLang="en-US"/>
                      <a:t>%</a:t>
                    </a:r>
                    <a:endParaRPr altLang="en-US"/>
                  </a:p>
                </c:rich>
              </c:tx>
              <c:dLblPos val="bestFit"/>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4077.35</c:v>
                </c:pt>
                <c:pt idx="1">
                  <c:v>552.1</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lt1">
        <a:lumMod val="96000"/>
      </a:schemeClr>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51824817518248"/>
          <c:y val="0.043401413982718"/>
          <c:w val="0.701338199513382"/>
          <c:h val="0.833660644147683"/>
        </c:manualLayout>
      </c:layout>
      <c:barChart>
        <c:barDir val="col"/>
        <c:grouping val="clustered"/>
        <c:varyColors val="0"/>
        <c:ser>
          <c:idx val="0"/>
          <c:order val="0"/>
          <c:tx>
            <c:strRef>
              <c:f>Sheet1!$B$1</c:f>
              <c:strCache>
                <c:ptCount val="1"/>
                <c:pt idx="0">
                  <c:v>财政拨款总收入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#,##0.00</c:formatCode>
                <c:ptCount val="2"/>
                <c:pt idx="0">
                  <c:v>1842.58</c:v>
                </c:pt>
                <c:pt idx="1">
                  <c:v>1697.3</c:v>
                </c:pt>
              </c:numCache>
            </c:numRef>
          </c:val>
        </c:ser>
        <c:ser>
          <c:idx val="1"/>
          <c:order val="1"/>
          <c:tx>
            <c:strRef>
              <c:f>Sheet1!$C$1</c:f>
              <c:strCache>
                <c:ptCount val="1"/>
                <c:pt idx="0">
                  <c:v>财政拨款总支出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Sheet1!$C$2:$C$3</c:f>
              <c:numCache>
                <c:formatCode>#,##0.00</c:formatCode>
                <c:ptCount val="2"/>
                <c:pt idx="0">
                  <c:v>1530.53</c:v>
                </c:pt>
                <c:pt idx="1">
                  <c:v>1697.3</c:v>
                </c:pt>
              </c:numCache>
            </c:numRef>
          </c:val>
        </c:ser>
        <c:dLbls>
          <c:showLegendKey val="0"/>
          <c:showVal val="0"/>
          <c:showCatName val="0"/>
          <c:showSerName val="0"/>
          <c:showPercent val="0"/>
          <c:showBubbleSize val="0"/>
        </c:dLbls>
        <c:gapWidth val="150"/>
        <c:axId val="112116096"/>
        <c:axId val="112119168"/>
      </c:barChart>
      <c:catAx>
        <c:axId val="1121160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9168"/>
        <c:crosses val="autoZero"/>
        <c:auto val="1"/>
        <c:lblAlgn val="ctr"/>
        <c:lblOffset val="100"/>
        <c:noMultiLvlLbl val="0"/>
      </c:catAx>
      <c:valAx>
        <c:axId val="112119168"/>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60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Sheet1!$A$2:$A$3</c:f>
              <c:strCache>
                <c:ptCount val="2"/>
                <c:pt idx="0">
                  <c:v>2021年</c:v>
                </c:pt>
                <c:pt idx="1">
                  <c:v>2022年</c:v>
                </c:pt>
              </c:strCache>
            </c:strRef>
          </c:cat>
          <c:val>
            <c:numRef>
              <c:f>Sheet1!$B$2:$B$3</c:f>
              <c:numCache>
                <c:formatCode>General</c:formatCode>
                <c:ptCount val="2"/>
                <c:pt idx="0">
                  <c:v>1530.53</c:v>
                </c:pt>
                <c:pt idx="1">
                  <c:v>1697.3</c:v>
                </c:pt>
              </c:numCache>
            </c:numRef>
          </c:val>
        </c:ser>
        <c:dLbls>
          <c:showLegendKey val="0"/>
          <c:showVal val="0"/>
          <c:showCatName val="0"/>
          <c:showSerName val="0"/>
          <c:showPercent val="0"/>
          <c:showBubbleSize val="0"/>
        </c:dLbls>
        <c:gapWidth val="246"/>
        <c:overlap val="-28"/>
        <c:axId val="70651264"/>
        <c:axId val="83876480"/>
      </c:barChart>
      <c:catAx>
        <c:axId val="7065126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876480"/>
        <c:crosses val="autoZero"/>
        <c:auto val="1"/>
        <c:lblAlgn val="ctr"/>
        <c:lblOffset val="100"/>
        <c:noMultiLvlLbl val="0"/>
      </c:catAx>
      <c:valAx>
        <c:axId val="83876480"/>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651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dPt>
          <c:dLbls>
            <c:dLbl>
              <c:idx val="0"/>
              <c:layout>
                <c:manualLayout>
                  <c:x val="0.0241604252234839"/>
                  <c:y val="-0.191457713557161"/>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0.271804783764195"/>
                  <c:y val="0.0849978750531239"/>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教育支出</c:v>
                </c:pt>
                <c:pt idx="1">
                  <c:v>社会保障和就业支出</c:v>
                </c:pt>
                <c:pt idx="2">
                  <c:v>卫生健康支出</c:v>
                </c:pt>
              </c:strCache>
            </c:strRef>
          </c:cat>
          <c:val>
            <c:numRef>
              <c:f>Sheet1!$B$2:$B$4</c:f>
              <c:numCache>
                <c:formatCode>General</c:formatCode>
                <c:ptCount val="3"/>
                <c:pt idx="0">
                  <c:v>1554.9</c:v>
                </c:pt>
                <c:pt idx="1">
                  <c:v>92.42</c:v>
                </c:pt>
                <c:pt idx="2">
                  <c:v>49.97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326709350084561"/>
          <c:y val="0.92286442838929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no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D2D66B-DF6D-48E9-9B0D-6077B52E4D04}">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34</Pages>
  <Words>1938</Words>
  <Characters>11049</Characters>
  <Lines>92</Lines>
  <Paragraphs>25</Paragraphs>
  <TotalTime>0</TotalTime>
  <ScaleCrop>false</ScaleCrop>
  <LinksUpToDate>false</LinksUpToDate>
  <CharactersWithSpaces>12962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whg</cp:lastModifiedBy>
  <cp:lastPrinted>2023-07-31T02:35:00Z</cp:lastPrinted>
  <dcterms:modified xsi:type="dcterms:W3CDTF">2023-10-14T05:25:47Z</dcterms:modified>
  <dc:title>四川省***</dc:title>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3553920C08394A4DAE348647200FD067_12</vt:lpwstr>
  </property>
</Properties>
</file>