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r>
        <w:rPr>
          <w:rFonts w:hint="eastAsia"/>
        </w:rPr>
        <w:t xml:space="preserve">                                     </w:t>
      </w:r>
      <w:bookmarkStart w:id="0" w:name="_Toc15377425"/>
      <w:bookmarkStart w:id="1" w:name="_Toc15377193"/>
      <w:bookmarkStart w:id="2" w:name="_Toc15378441"/>
      <w:bookmarkStart w:id="3" w:name="_Toc15396597"/>
      <w:bookmarkStart w:id="4" w:name="_Toc15306267"/>
      <w:bookmarkStart w:id="5" w:name="_Toc15396475"/>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bookmarkEnd w:id="1"/>
    <w:bookmarkEnd w:id="2"/>
    <w:bookmarkEnd w:id="3"/>
    <w:bookmarkEnd w:id="4"/>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06268"/>
      <w:bookmarkStart w:id="8" w:name="_Toc15396598"/>
      <w:bookmarkStart w:id="9" w:name="_Toc15377194"/>
      <w:bookmarkStart w:id="10" w:name="_Toc15396476"/>
      <w:bookmarkStart w:id="11" w:name="_Toc15378442"/>
      <w:r>
        <w:rPr>
          <w:rFonts w:hint="eastAsia" w:ascii="方正小标宋简体" w:hAnsi="方正小标宋简体" w:eastAsia="方正小标宋简体" w:cs="方正小标宋简体"/>
          <w:sz w:val="72"/>
          <w:szCs w:val="72"/>
        </w:rPr>
        <w:t>广元市利州区则天路小学</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br w:type="page"/>
      </w:r>
    </w:p>
    <w:p>
      <w:pPr>
        <w:pStyle w:val="2"/>
        <w:spacing w:before="93"/>
      </w:pPr>
    </w:p>
    <w:p>
      <w:pPr>
        <w:widowControl/>
        <w:jc w:val="center"/>
        <w:rPr>
          <w:rFonts w:ascii="黑体" w:hAnsi="黑体" w:eastAsia="黑体"/>
          <w:sz w:val="48"/>
          <w:szCs w:val="48"/>
        </w:rPr>
      </w:pPr>
      <w:r>
        <w:rPr>
          <w:rFonts w:hint="eastAsia" w:ascii="黑体" w:hAnsi="黑体" w:eastAsia="黑体"/>
          <w:sz w:val="48"/>
          <w:szCs w:val="48"/>
        </w:rPr>
        <w:t>目     录</w:t>
      </w:r>
    </w:p>
    <w:p>
      <w:pPr>
        <w:widowControl/>
        <w:jc w:val="center"/>
        <w:rPr>
          <w:rFonts w:ascii="黑体" w:hAnsi="黑体" w:eastAsia="黑体"/>
          <w:sz w:val="28"/>
          <w:szCs w:val="28"/>
        </w:rPr>
      </w:pPr>
    </w:p>
    <w:p>
      <w:pPr>
        <w:pStyle w:val="10"/>
      </w:pPr>
      <w:r>
        <w:rPr>
          <w:rFonts w:hint="eastAsia"/>
        </w:rPr>
        <w:t>公开时间：2023年10月15日</w:t>
      </w:r>
    </w:p>
    <w:p>
      <w:pPr>
        <w:snapToGrid w:val="0"/>
        <w:spacing w:line="360" w:lineRule="auto"/>
      </w:pPr>
    </w:p>
    <w:p>
      <w:pPr>
        <w:pStyle w:val="10"/>
        <w:tabs>
          <w:tab w:val="right" w:leader="dot" w:pos="8820"/>
          <w:tab w:val="clear" w:pos="8296"/>
        </w:tabs>
        <w:adjustRightInd w:val="0"/>
        <w:snapToGrid w:val="0"/>
        <w:spacing w:before="0" w:line="300" w:lineRule="auto"/>
        <w:jc w:val="both"/>
        <w:rPr>
          <w:rFonts w:cs="仿宋"/>
          <w:sz w:val="32"/>
          <w:szCs w:val="32"/>
        </w:rPr>
      </w:pPr>
      <w:r>
        <w:rPr>
          <w:rFonts w:hint="eastAsia" w:ascii="黑体" w:hAnsi="黑体" w:eastAsia="黑体" w:cs="黑体"/>
          <w:sz w:val="32"/>
          <w:szCs w:val="32"/>
        </w:rPr>
        <w:t>第一部分 单位概况</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一、主要职责</w:t>
      </w:r>
    </w:p>
    <w:p>
      <w:pPr>
        <w:pStyle w:val="11"/>
        <w:tabs>
          <w:tab w:val="right" w:leader="dot" w:pos="8820"/>
          <w:tab w:val="clear" w:pos="8296"/>
        </w:tabs>
        <w:adjustRightInd w:val="0"/>
        <w:snapToGrid w:val="0"/>
        <w:spacing w:line="300" w:lineRule="auto"/>
        <w:rPr>
          <w:rFonts w:ascii="仿宋" w:hAnsi="仿宋" w:eastAsia="仿宋" w:cs="仿宋"/>
          <w:b/>
          <w:bCs/>
          <w:sz w:val="32"/>
          <w:szCs w:val="32"/>
        </w:rPr>
      </w:pPr>
      <w:r>
        <w:rPr>
          <w:rFonts w:hint="eastAsia" w:ascii="仿宋" w:hAnsi="仿宋" w:eastAsia="仿宋" w:cs="仿宋"/>
          <w:sz w:val="32"/>
          <w:szCs w:val="32"/>
        </w:rPr>
        <w:t>二、机构设置</w:t>
      </w:r>
    </w:p>
    <w:p>
      <w:pPr>
        <w:pStyle w:val="10"/>
        <w:tabs>
          <w:tab w:val="right" w:leader="dot" w:pos="8820"/>
          <w:tab w:val="clear" w:pos="8296"/>
        </w:tabs>
        <w:adjustRightInd w:val="0"/>
        <w:snapToGrid w:val="0"/>
        <w:spacing w:before="0" w:line="300" w:lineRule="auto"/>
        <w:jc w:val="both"/>
        <w:rPr>
          <w:rFonts w:cs="仿宋"/>
          <w:b/>
          <w:bCs/>
          <w:sz w:val="32"/>
          <w:szCs w:val="32"/>
        </w:rPr>
      </w:pPr>
      <w:r>
        <w:rPr>
          <w:rFonts w:hint="eastAsia" w:ascii="黑体" w:hAnsi="黑体" w:eastAsia="黑体" w:cs="黑体"/>
          <w:sz w:val="32"/>
          <w:szCs w:val="32"/>
        </w:rPr>
        <w:t>第二部分 2022年度部门决算情况说明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一、收入支出决算总体情况说明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二、收入决算情况说明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三、支出决算情况说明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四、财政拨款收入支出决算总体情况说明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五、一般公共预算财政拨款支出决算情况说明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七、“三公”经费财政拨款支出决算情况说明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八、政府性基金预算支出决算情况说明</w:t>
      </w:r>
    </w:p>
    <w:p>
      <w:pPr>
        <w:pStyle w:val="11"/>
        <w:tabs>
          <w:tab w:val="right" w:leader="dot" w:pos="8820"/>
          <w:tab w:val="clear" w:pos="8296"/>
        </w:tabs>
        <w:adjustRightInd w:val="0"/>
        <w:snapToGrid w:val="0"/>
        <w:spacing w:line="300" w:lineRule="auto"/>
        <w:ind w:leftChars="0"/>
        <w:rPr>
          <w:rFonts w:ascii="仿宋" w:hAnsi="仿宋" w:eastAsia="仿宋" w:cs="仿宋"/>
          <w:sz w:val="32"/>
          <w:szCs w:val="32"/>
        </w:rPr>
      </w:pPr>
      <w:r>
        <w:rPr>
          <w:rFonts w:hint="eastAsia" w:ascii="仿宋" w:hAnsi="仿宋" w:eastAsia="仿宋" w:cs="仿宋"/>
          <w:sz w:val="32"/>
          <w:szCs w:val="32"/>
        </w:rPr>
        <w:t>九、国有资本经营预算支出决算情况说明</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十、其他重要事项的情况说明</w:t>
      </w:r>
    </w:p>
    <w:p>
      <w:pPr>
        <w:pStyle w:val="10"/>
        <w:tabs>
          <w:tab w:val="right" w:leader="dot" w:pos="8820"/>
          <w:tab w:val="clear" w:pos="8296"/>
        </w:tabs>
        <w:adjustRightInd w:val="0"/>
        <w:snapToGrid w:val="0"/>
        <w:spacing w:before="0" w:line="300" w:lineRule="auto"/>
        <w:jc w:val="both"/>
        <w:rPr>
          <w:rFonts w:ascii="黑体" w:hAnsi="黑体" w:eastAsia="黑体" w:cs="黑体"/>
          <w:sz w:val="32"/>
          <w:szCs w:val="32"/>
        </w:rPr>
      </w:pPr>
      <w:r>
        <w:rPr>
          <w:rFonts w:hint="eastAsia" w:ascii="黑体" w:hAnsi="黑体" w:eastAsia="黑体" w:cs="黑体"/>
          <w:sz w:val="32"/>
          <w:szCs w:val="32"/>
        </w:rPr>
        <w:t>第三部分 名词解释</w:t>
      </w:r>
    </w:p>
    <w:p>
      <w:pPr>
        <w:pStyle w:val="10"/>
        <w:tabs>
          <w:tab w:val="right" w:leader="dot" w:pos="8820"/>
          <w:tab w:val="clear" w:pos="8296"/>
        </w:tabs>
        <w:adjustRightInd w:val="0"/>
        <w:snapToGrid w:val="0"/>
        <w:spacing w:before="0" w:line="300" w:lineRule="auto"/>
        <w:jc w:val="both"/>
        <w:rPr>
          <w:rFonts w:cs="仿宋"/>
          <w:sz w:val="32"/>
          <w:szCs w:val="32"/>
          <w:lang w:val="zh-CN"/>
        </w:rPr>
      </w:pPr>
      <w:r>
        <w:rPr>
          <w:rFonts w:hint="eastAsia" w:ascii="黑体" w:hAnsi="黑体" w:eastAsia="黑体" w:cs="黑体"/>
          <w:sz w:val="32"/>
          <w:szCs w:val="32"/>
        </w:rPr>
        <w:t>第四部分 附件</w:t>
      </w:r>
    </w:p>
    <w:p>
      <w:pPr>
        <w:pStyle w:val="11"/>
        <w:tabs>
          <w:tab w:val="right" w:leader="dot" w:pos="8820"/>
          <w:tab w:val="clear" w:pos="8296"/>
        </w:tabs>
        <w:adjustRightInd w:val="0"/>
        <w:snapToGrid w:val="0"/>
        <w:spacing w:line="300" w:lineRule="auto"/>
        <w:rPr>
          <w:rFonts w:ascii="黑体" w:hAnsi="黑体" w:eastAsia="黑体" w:cs="黑体"/>
          <w:sz w:val="32"/>
          <w:szCs w:val="32"/>
        </w:rPr>
      </w:pPr>
      <w:r>
        <w:rPr>
          <w:rFonts w:hint="eastAsia" w:ascii="仿宋" w:hAnsi="仿宋" w:eastAsia="仿宋" w:cs="仿宋"/>
          <w:sz w:val="32"/>
          <w:szCs w:val="32"/>
        </w:rPr>
        <w:t>2022年</w:t>
      </w:r>
      <w:r>
        <w:rPr>
          <w:rFonts w:hint="eastAsia" w:ascii="仿宋" w:hAnsi="仿宋" w:eastAsia="仿宋" w:cs="仿宋"/>
          <w:sz w:val="32"/>
          <w:szCs w:val="32"/>
          <w:lang w:val="zh-CN"/>
        </w:rPr>
        <w:t>专项预算项目支出绩效自评报告</w:t>
      </w:r>
    </w:p>
    <w:p>
      <w:pPr>
        <w:pStyle w:val="10"/>
        <w:tabs>
          <w:tab w:val="right" w:leader="dot" w:pos="8820"/>
          <w:tab w:val="clear" w:pos="8296"/>
        </w:tabs>
        <w:adjustRightInd w:val="0"/>
        <w:snapToGrid w:val="0"/>
        <w:spacing w:before="0" w:line="300" w:lineRule="auto"/>
        <w:jc w:val="both"/>
        <w:rPr>
          <w:rFonts w:ascii="黑体" w:hAnsi="黑体" w:cs="黑体"/>
          <w:sz w:val="32"/>
          <w:szCs w:val="32"/>
        </w:rPr>
      </w:pPr>
      <w:bookmarkStart w:id="71" w:name="_GoBack"/>
      <w:bookmarkEnd w:id="71"/>
      <w:r>
        <w:rPr>
          <w:rFonts w:hint="eastAsia" w:ascii="黑体" w:hAnsi="黑体" w:eastAsia="黑体" w:cs="黑体"/>
          <w:sz w:val="32"/>
          <w:szCs w:val="32"/>
        </w:rPr>
        <w:t>第五部分 附表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一、收入支出决算总表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二、收入决算表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三、支出决算表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四、财政拨款收入支出决算总表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五、财政拨款支出决算明细表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六、一般公共预算财政拨款支出决算表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七、一般公共预算财政拨款支出决算明细表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八、一般公共预算财政拨款基本支出决算表</w:t>
      </w:r>
    </w:p>
    <w:p>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九、一般公共预算财政拨款项目支出决算表</w:t>
      </w:r>
    </w:p>
    <w:p>
      <w:pPr>
        <w:pStyle w:val="11"/>
        <w:adjustRightInd w:val="0"/>
        <w:snapToGrid w:val="0"/>
        <w:spacing w:line="440" w:lineRule="exact"/>
        <w:jc w:val="left"/>
        <w:rPr>
          <w:rFonts w:ascii="仿宋" w:hAnsi="仿宋" w:eastAsia="仿宋" w:cs="仿宋"/>
          <w:sz w:val="32"/>
          <w:szCs w:val="32"/>
        </w:rPr>
      </w:pPr>
      <w:r>
        <w:rPr>
          <w:rFonts w:hint="eastAsia" w:ascii="仿宋" w:hAnsi="仿宋" w:eastAsia="仿宋" w:cs="仿宋"/>
          <w:sz w:val="32"/>
          <w:szCs w:val="32"/>
        </w:rPr>
        <w:t>十、政府性基金预算财政拨款收入支出决算表</w:t>
      </w:r>
    </w:p>
    <w:p>
      <w:pPr>
        <w:pStyle w:val="11"/>
        <w:adjustRightInd w:val="0"/>
        <w:snapToGrid w:val="0"/>
        <w:spacing w:line="440" w:lineRule="exact"/>
        <w:jc w:val="left"/>
        <w:rPr>
          <w:rFonts w:ascii="仿宋" w:hAnsi="仿宋" w:eastAsia="仿宋" w:cs="仿宋"/>
          <w:sz w:val="32"/>
          <w:szCs w:val="32"/>
        </w:rPr>
      </w:pPr>
      <w:bookmarkStart w:id="12" w:name="_Toc15396599"/>
      <w:bookmarkStart w:id="13" w:name="_Toc15377196"/>
      <w:r>
        <w:rPr>
          <w:rFonts w:hint="eastAsia" w:ascii="仿宋" w:hAnsi="仿宋" w:eastAsia="仿宋" w:cs="仿宋"/>
          <w:sz w:val="32"/>
          <w:szCs w:val="32"/>
        </w:rPr>
        <w:t>十一、国有资本经营预算财政拨款收入支出决算表</w:t>
      </w:r>
    </w:p>
    <w:p>
      <w:pPr>
        <w:pStyle w:val="11"/>
        <w:adjustRightInd w:val="0"/>
        <w:snapToGrid w:val="0"/>
        <w:spacing w:line="440" w:lineRule="exact"/>
        <w:jc w:val="left"/>
        <w:rPr>
          <w:rFonts w:ascii="仿宋" w:hAnsi="仿宋" w:eastAsia="仿宋" w:cs="仿宋"/>
          <w:sz w:val="32"/>
          <w:szCs w:val="32"/>
        </w:rPr>
      </w:pPr>
      <w:r>
        <w:rPr>
          <w:rFonts w:hint="eastAsia" w:ascii="仿宋" w:hAnsi="仿宋" w:eastAsia="仿宋" w:cs="仿宋"/>
          <w:sz w:val="32"/>
          <w:szCs w:val="32"/>
        </w:rPr>
        <w:t>十二、国有资本经营预算财政拨款支出决算表</w:t>
      </w:r>
    </w:p>
    <w:p>
      <w:pPr>
        <w:pStyle w:val="11"/>
        <w:adjustRightInd w:val="0"/>
        <w:snapToGrid w:val="0"/>
        <w:spacing w:line="440" w:lineRule="exact"/>
        <w:jc w:val="left"/>
        <w:rPr>
          <w:rFonts w:ascii="仿宋" w:hAnsi="仿宋" w:eastAsia="仿宋" w:cs="仿宋"/>
          <w:sz w:val="32"/>
          <w:szCs w:val="32"/>
        </w:rPr>
      </w:pPr>
      <w:r>
        <w:rPr>
          <w:rFonts w:hint="eastAsia" w:ascii="仿宋" w:hAnsi="仿宋" w:eastAsia="仿宋" w:cs="仿宋"/>
          <w:sz w:val="32"/>
          <w:szCs w:val="32"/>
        </w:rPr>
        <w:t>十三、财政拨款“三公”经费支出决算表</w:t>
      </w:r>
    </w:p>
    <w:p>
      <w:pPr>
        <w:sectPr>
          <w:footerReference r:id="rId3" w:type="default"/>
          <w:type w:val="continuous"/>
          <w:pgSz w:w="11906" w:h="16838"/>
          <w:pgMar w:top="1701" w:right="1474" w:bottom="1701" w:left="1587" w:header="851" w:footer="1304" w:gutter="0"/>
          <w:cols w:space="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-73660</wp:posOffset>
                </wp:positionH>
                <wp:positionV relativeFrom="paragraph">
                  <wp:posOffset>8608060</wp:posOffset>
                </wp:positionV>
                <wp:extent cx="828675" cy="333375"/>
                <wp:effectExtent l="12700" t="12700" r="15875" b="15875"/>
                <wp:wrapNone/>
                <wp:docPr id="12" name="矩形 12"/>
                <wp:cNvGraphicFramePr/>
                <a:graphic xmlns:a="http://schemas.openxmlformats.org/drawingml/2006/main">
                  <a:graphicData uri="http://schemas.microsoft.com/office/word/2010/wordprocessingShape">
                    <wps:wsp>
                      <wps:cNvSpPr/>
                      <wps:spPr>
                        <a:xfrm>
                          <a:off x="934085" y="9688195"/>
                          <a:ext cx="828675"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pt;margin-top:677.8pt;height:26.25pt;width:65.25pt;z-index:251663360;v-text-anchor:middle;mso-width-relative:page;mso-height-relative:page;" fillcolor="#FFFFFF [3212]" filled="t" stroked="t" coordsize="21600,21600" o:gfxdata="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78IPP2wAAAA0BAAAPAAAAAAAAAAEAIAAAACIAAABkcnMvZG93bnJldi54&#10;bWxQSwECFAAUAAAACACHTuJAIfne6GkCAADpBAAADgAAAAAAAAABACAAAAAqAQAAZHJzL2Uyb0Rv&#10;Yy54bWxQSwUGAAAAAAYABgBZAQAABQYAAAAA&#10;">
                <v:fill on="t" focussize="0,0"/>
                <v:stroke weight="2pt" color="#FFFFFF [3212]" joinstyle="round"/>
                <v:imagedata o:title=""/>
                <o:lock v:ext="edit" aspectratio="f"/>
              </v:rect>
            </w:pict>
          </mc:Fallback>
        </mc:AlternateContent>
      </w:r>
      <w:r>
        <w:rPr>
          <w:rFonts w:hint="eastAsia"/>
        </w:rPr>
        <w:br w:type="page"/>
      </w:r>
    </w:p>
    <w:p>
      <w:pPr>
        <w:pStyle w:val="3"/>
        <w:snapToGrid w:val="0"/>
        <w:spacing w:before="0" w:after="0" w:line="240" w:lineRule="auto"/>
        <w:jc w:val="center"/>
        <w:rPr>
          <w:rFonts w:ascii="黑体" w:eastAsia="黑体"/>
          <w:sz w:val="32"/>
          <w:szCs w:val="32"/>
        </w:rPr>
      </w:pPr>
      <w:r>
        <w:rPr>
          <w:rFonts w:hint="eastAsia" w:ascii="黑体" w:hAnsi="黑体" w:eastAsia="黑体"/>
          <w:b w:val="0"/>
        </w:rPr>
        <w:t>第一部分 单位</w:t>
      </w:r>
      <w:r>
        <w:rPr>
          <w:rStyle w:val="20"/>
          <w:rFonts w:hint="eastAsia" w:ascii="黑体" w:hAnsi="黑体" w:eastAsia="黑体"/>
          <w:b w:val="0"/>
          <w:bCs w:val="0"/>
        </w:rPr>
        <w:t>概况</w:t>
      </w:r>
      <w:bookmarkEnd w:id="12"/>
      <w:bookmarkEnd w:id="13"/>
    </w:p>
    <w:p>
      <w:pPr>
        <w:pStyle w:val="4"/>
        <w:snapToGrid w:val="0"/>
        <w:spacing w:before="0" w:after="0" w:line="560" w:lineRule="exact"/>
        <w:ind w:firstLine="640" w:firstLineChars="200"/>
        <w:rPr>
          <w:rFonts w:ascii="黑体" w:hAnsi="黑体" w:eastAsia="黑体"/>
          <w:b w:val="0"/>
        </w:rPr>
      </w:pPr>
      <w:bookmarkStart w:id="14" w:name="_Toc15377197"/>
      <w:bookmarkStart w:id="15" w:name="_Toc15396600"/>
    </w:p>
    <w:p>
      <w:pPr>
        <w:pStyle w:val="4"/>
        <w:snapToGrid w:val="0"/>
        <w:spacing w:before="0" w:after="0" w:line="576" w:lineRule="exact"/>
        <w:ind w:firstLine="640" w:firstLineChars="200"/>
        <w:rPr>
          <w:rFonts w:ascii="楷体" w:hAnsi="楷体" w:eastAsia="楷体" w:cs="楷体"/>
        </w:rPr>
      </w:pPr>
      <w:r>
        <w:rPr>
          <w:rFonts w:hint="eastAsia" w:ascii="黑体" w:hAnsi="黑体" w:eastAsia="黑体"/>
          <w:b w:val="0"/>
        </w:rPr>
        <w:t>一、</w:t>
      </w:r>
      <w:bookmarkEnd w:id="14"/>
      <w:bookmarkEnd w:id="15"/>
      <w:r>
        <w:rPr>
          <w:rFonts w:hint="eastAsia" w:ascii="黑体" w:hAnsi="黑体" w:eastAsia="黑体"/>
          <w:b w:val="0"/>
        </w:rPr>
        <w:t>主要职责</w:t>
      </w:r>
    </w:p>
    <w:p>
      <w:pPr>
        <w:spacing w:line="596" w:lineRule="exact"/>
        <w:ind w:firstLine="640" w:firstLineChars="200"/>
        <w:rPr>
          <w:rFonts w:ascii="仿宋_GB2312" w:hAnsi="仿宋_GB2312" w:eastAsia="仿宋_GB2312" w:cs="仿宋_GB2312"/>
          <w:bCs/>
          <w:sz w:val="32"/>
          <w:szCs w:val="32"/>
        </w:rPr>
      </w:pPr>
      <w:bookmarkStart w:id="16" w:name="_Toc15377199"/>
      <w:bookmarkStart w:id="17" w:name="_Toc15378446"/>
      <w:r>
        <w:rPr>
          <w:rFonts w:hint="eastAsia" w:ascii="仿宋_GB2312" w:hAnsi="仿宋_GB2312" w:eastAsia="仿宋_GB2312" w:cs="仿宋_GB2312"/>
          <w:bCs/>
          <w:sz w:val="32"/>
          <w:szCs w:val="32"/>
        </w:rPr>
        <w:t>1．贯彻执行党和国家关于教育改革和发展的各项方针、政策，拟订全校教育事业发展规划和有关教育的规范性文件并组织实施；指导协调学校各部门的教育、教学体制改革。</w:t>
      </w:r>
    </w:p>
    <w:p>
      <w:pPr>
        <w:spacing w:line="59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spacing w:line="59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3．负责推进义务教育均衡发展和促进教育公平，负责义务教育的宏观指导与协调；指导学校全面实施素质教育；督促检查学校各类学校的办学标准、教学基本要求、教学基本条件的落实情况。</w:t>
      </w:r>
    </w:p>
    <w:p>
      <w:pPr>
        <w:spacing w:line="59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4.促进基础教育发展，教育学生成长为德学兼备、思想端正的学生，让学生获得基本的基础知识，尽可能培养其自学能力。</w:t>
      </w:r>
    </w:p>
    <w:bookmarkEnd w:id="16"/>
    <w:bookmarkEnd w:id="17"/>
    <w:p>
      <w:pPr>
        <w:pStyle w:val="2"/>
        <w:adjustRightInd w:val="0"/>
        <w:snapToGrid w:val="0"/>
        <w:spacing w:beforeLines="0" w:line="576" w:lineRule="exact"/>
        <w:outlineLvl w:val="2"/>
        <w:rPr>
          <w:rStyle w:val="21"/>
          <w:b w:val="0"/>
          <w:bCs w:val="0"/>
        </w:rPr>
      </w:pPr>
      <w:bookmarkStart w:id="18" w:name="_Toc15396601"/>
      <w:bookmarkStart w:id="19" w:name="_Toc15377200"/>
      <w:r>
        <w:rPr>
          <w:rFonts w:hint="eastAsia" w:ascii="黑体" w:eastAsia="黑体"/>
          <w:sz w:val="32"/>
          <w:szCs w:val="32"/>
        </w:rPr>
        <w:t>二、</w:t>
      </w:r>
      <w:r>
        <w:rPr>
          <w:rFonts w:hint="eastAsia" w:ascii="黑体" w:hAnsi="黑体" w:eastAsia="黑体"/>
          <w:sz w:val="32"/>
          <w:szCs w:val="32"/>
        </w:rPr>
        <w:t>机</w:t>
      </w:r>
      <w:r>
        <w:rPr>
          <w:rStyle w:val="21"/>
          <w:rFonts w:hint="eastAsia" w:ascii="黑体" w:hAnsi="黑体" w:eastAsia="黑体"/>
          <w:b w:val="0"/>
          <w:bCs w:val="0"/>
        </w:rPr>
        <w:t>构设置</w:t>
      </w:r>
      <w:bookmarkEnd w:id="18"/>
      <w:bookmarkEnd w:id="19"/>
    </w:p>
    <w:p>
      <w:pPr>
        <w:pStyle w:val="2"/>
        <w:adjustRightInd w:val="0"/>
        <w:snapToGrid w:val="0"/>
        <w:spacing w:beforeLines="0" w:line="576" w:lineRule="exact"/>
        <w:ind w:firstLine="640" w:firstLineChars="200"/>
        <w:outlineLvl w:val="2"/>
        <w:rPr>
          <w:sz w:val="32"/>
          <w:szCs w:val="32"/>
        </w:rPr>
      </w:pPr>
      <w:r>
        <w:rPr>
          <w:rFonts w:hint="eastAsia"/>
          <w:sz w:val="32"/>
          <w:szCs w:val="32"/>
        </w:rPr>
        <w:t>广元市利州区则天路小学下设各处室11个，分别是廉勤委、工会、行政办公室、教务处、德育处、总务处、安全办、教科室、计装室、大队部、财务室。</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0"/>
          <w:rFonts w:ascii="黑体" w:hAnsi="黑体" w:eastAsia="黑体"/>
          <w:b w:val="0"/>
          <w:bCs/>
        </w:rPr>
      </w:pPr>
      <w:bookmarkStart w:id="20" w:name="_Toc15377204"/>
      <w:bookmarkStart w:id="21" w:name="_Toc15396602"/>
      <w:r>
        <w:rPr>
          <w:rFonts w:hint="eastAsia" w:ascii="黑体" w:hAnsi="黑体" w:eastAsia="黑体"/>
          <w:b w:val="0"/>
        </w:rPr>
        <w:t xml:space="preserve">第二部分 </w:t>
      </w:r>
      <w:bookmarkEnd w:id="20"/>
      <w:bookmarkEnd w:id="21"/>
      <w:r>
        <w:rPr>
          <w:rFonts w:hint="eastAsia" w:ascii="黑体" w:hAnsi="黑体" w:eastAsia="黑体"/>
          <w:b w:val="0"/>
        </w:rPr>
        <w:t>2022年度</w:t>
      </w:r>
      <w:r>
        <w:rPr>
          <w:rStyle w:val="20"/>
          <w:rFonts w:hint="eastAsia" w:ascii="黑体" w:hAnsi="黑体" w:eastAsia="黑体"/>
          <w:b w:val="0"/>
          <w:bCs/>
        </w:rPr>
        <w:t>单位决算情况说明</w:t>
      </w:r>
    </w:p>
    <w:p/>
    <w:p>
      <w:pPr>
        <w:pStyle w:val="32"/>
        <w:numPr>
          <w:ilvl w:val="0"/>
          <w:numId w:val="1"/>
        </w:numPr>
        <w:spacing w:line="600" w:lineRule="exact"/>
        <w:ind w:firstLineChars="0"/>
        <w:outlineLvl w:val="1"/>
        <w:rPr>
          <w:rStyle w:val="21"/>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21"/>
          <w:rFonts w:hint="eastAsia" w:ascii="黑体" w:hAnsi="黑体" w:eastAsia="黑体"/>
        </w:rPr>
        <w:t>入支出决算总体情况说明</w:t>
      </w:r>
      <w:bookmarkEnd w:id="22"/>
      <w:bookmarkEnd w:id="23"/>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2022年度收、支总计1377.79万元。与2021年 1381.17万元相比，收、支总计各减少3.38万元，减少0.24%。主要变动原因是</w:t>
      </w:r>
      <w:r>
        <w:rPr>
          <w:rFonts w:hint="eastAsia" w:ascii="仿宋" w:hAnsi="仿宋" w:eastAsia="仿宋"/>
          <w:color w:val="000000" w:themeColor="text1"/>
          <w:sz w:val="32"/>
          <w:szCs w:val="32"/>
          <w14:textFill>
            <w14:solidFill>
              <w14:schemeClr w14:val="tx1"/>
            </w14:solidFill>
          </w14:textFill>
        </w:rPr>
        <w:t>人员退休，调出等。</w:t>
      </w:r>
    </w:p>
    <w:p>
      <w:pPr>
        <w:pStyle w:val="2"/>
        <w:spacing w:before="93"/>
        <w:ind w:firstLine="640" w:firstLineChars="200"/>
        <w:rPr>
          <w:rFonts w:hint="eastAsia" w:ascii="仿宋" w:hAnsi="仿宋" w:eastAsia="仿宋"/>
          <w:sz w:val="32"/>
          <w:szCs w:val="32"/>
        </w:rPr>
      </w:pPr>
      <w:r>
        <w:rPr>
          <w:sz w:val="32"/>
          <w:szCs w:val="32"/>
        </w:rPr>
        <w:drawing>
          <wp:anchor distT="0" distB="0" distL="114300" distR="114300" simplePos="0" relativeHeight="251664384" behindDoc="1" locked="0" layoutInCell="1" allowOverlap="1">
            <wp:simplePos x="0" y="0"/>
            <wp:positionH relativeFrom="column">
              <wp:posOffset>499110</wp:posOffset>
            </wp:positionH>
            <wp:positionV relativeFrom="paragraph">
              <wp:posOffset>144780</wp:posOffset>
            </wp:positionV>
            <wp:extent cx="5118100" cy="2514600"/>
            <wp:effectExtent l="0" t="0" r="25400" b="19050"/>
            <wp:wrapTight wrapText="bothSides">
              <wp:wrapPolygon>
                <wp:start x="0" y="0"/>
                <wp:lineTo x="0" y="21600"/>
                <wp:lineTo x="21627" y="21600"/>
                <wp:lineTo x="21627" y="0"/>
                <wp:lineTo x="0" y="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spacing w:before="93"/>
        <w:ind w:firstLine="640" w:firstLineChars="200"/>
        <w:rPr>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32"/>
        <w:numPr>
          <w:ilvl w:val="0"/>
          <w:numId w:val="1"/>
        </w:numPr>
        <w:spacing w:line="600" w:lineRule="exact"/>
        <w:ind w:firstLineChars="0"/>
        <w:outlineLvl w:val="1"/>
        <w:rPr>
          <w:rStyle w:val="21"/>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21"/>
          <w:rFonts w:hint="eastAsia" w:ascii="黑体" w:hAnsi="黑体" w:eastAsia="黑体"/>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22年本年收入合计866.31万元，年初结转资金511.48万元。其中：一般公共预算财政拨款收入857.73万元，占99.1</w:t>
      </w:r>
      <w:r>
        <w:rPr>
          <w:rFonts w:ascii="仿宋" w:hAnsi="仿宋" w:eastAsia="仿宋"/>
          <w:sz w:val="32"/>
          <w:szCs w:val="32"/>
        </w:rPr>
        <w:t>%</w:t>
      </w:r>
      <w:r>
        <w:rPr>
          <w:rFonts w:hint="eastAsia" w:ascii="仿宋" w:hAnsi="仿宋" w:eastAsia="仿宋"/>
          <w:sz w:val="32"/>
          <w:szCs w:val="32"/>
        </w:rPr>
        <w:t>；事业收入7.8万元，占0.89</w:t>
      </w:r>
      <w:r>
        <w:rPr>
          <w:rFonts w:ascii="仿宋" w:hAnsi="仿宋" w:eastAsia="仿宋"/>
          <w:sz w:val="32"/>
          <w:szCs w:val="32"/>
        </w:rPr>
        <w:t>%</w:t>
      </w:r>
      <w:r>
        <w:rPr>
          <w:rFonts w:hint="eastAsia" w:ascii="仿宋" w:hAnsi="仿宋" w:eastAsia="仿宋"/>
          <w:sz w:val="32"/>
          <w:szCs w:val="32"/>
        </w:rPr>
        <w:t>；其他收入0.78万元，占0.01</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p>
    <w:p>
      <w:pPr>
        <w:spacing w:line="600" w:lineRule="exact"/>
        <w:jc w:val="center"/>
        <w:rPr>
          <w:rFonts w:ascii="仿宋" w:hAnsi="仿宋" w:eastAsia="仿宋"/>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340360</wp:posOffset>
            </wp:positionH>
            <wp:positionV relativeFrom="paragraph">
              <wp:posOffset>192405</wp:posOffset>
            </wp:positionV>
            <wp:extent cx="5144770" cy="2150745"/>
            <wp:effectExtent l="57150" t="19050" r="74930" b="1162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6" w:name="_Toc15396605"/>
      <w:bookmarkStart w:id="27" w:name="_Toc15377207"/>
      <w:r>
        <w:rPr>
          <w:rFonts w:hint="eastAsia" w:ascii="仿宋" w:hAnsi="仿宋" w:eastAsia="仿宋"/>
          <w:sz w:val="32"/>
          <w:szCs w:val="32"/>
        </w:rPr>
        <w:t>（图2：收入决算结构图）（饼状图）</w:t>
      </w:r>
    </w:p>
    <w:p>
      <w:pPr>
        <w:pStyle w:val="32"/>
        <w:numPr>
          <w:ilvl w:val="0"/>
          <w:numId w:val="1"/>
        </w:numPr>
        <w:spacing w:line="600" w:lineRule="exact"/>
        <w:ind w:firstLineChars="0"/>
        <w:outlineLvl w:val="1"/>
        <w:rPr>
          <w:rStyle w:val="21"/>
          <w:rFonts w:ascii="黑体" w:hAnsi="黑体" w:eastAsia="黑体"/>
          <w:b w:val="0"/>
        </w:rPr>
      </w:pPr>
      <w:r>
        <w:rPr>
          <w:rFonts w:hint="eastAsia" w:ascii="黑体" w:hAnsi="黑体" w:eastAsia="黑体"/>
          <w:sz w:val="32"/>
          <w:szCs w:val="32"/>
        </w:rPr>
        <w:t>支</w:t>
      </w:r>
      <w:r>
        <w:rPr>
          <w:rStyle w:val="21"/>
          <w:rFonts w:hint="eastAsia" w:ascii="黑体" w:hAnsi="黑体" w:eastAsia="黑体"/>
        </w:rPr>
        <w:t>出决算情况说明</w:t>
      </w:r>
      <w:bookmarkEnd w:id="26"/>
      <w:bookmarkEnd w:id="27"/>
      <w:r>
        <w:rPr>
          <w:rStyle w:val="21"/>
          <w:rFonts w:hint="eastAsia" w:ascii="黑体" w:hAnsi="黑体" w:eastAsia="黑体"/>
        </w:rPr>
        <w:t xml:space="preserve"> </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22年本年支出合计1377.79万元，其中：基本支出668.73万元，占48.54</w:t>
      </w:r>
      <w:r>
        <w:rPr>
          <w:rFonts w:ascii="仿宋" w:hAnsi="仿宋" w:eastAsia="仿宋"/>
          <w:sz w:val="32"/>
          <w:szCs w:val="32"/>
        </w:rPr>
        <w:t>%</w:t>
      </w:r>
      <w:r>
        <w:rPr>
          <w:rFonts w:hint="eastAsia" w:ascii="仿宋" w:hAnsi="仿宋" w:eastAsia="仿宋"/>
          <w:sz w:val="32"/>
          <w:szCs w:val="32"/>
        </w:rPr>
        <w:t>；项目支出709.06万元，占51.46</w:t>
      </w:r>
      <w:r>
        <w:rPr>
          <w:rFonts w:ascii="仿宋" w:hAnsi="仿宋" w:eastAsia="仿宋"/>
          <w:sz w:val="32"/>
          <w:szCs w:val="32"/>
        </w:rPr>
        <w:t>%</w:t>
      </w:r>
      <w:r>
        <w:rPr>
          <w:rFonts w:hint="eastAsia" w:ascii="仿宋" w:hAnsi="仿宋" w:eastAsia="仿宋"/>
          <w:sz w:val="32"/>
          <w:szCs w:val="32"/>
        </w:rPr>
        <w:t>。</w:t>
      </w:r>
    </w:p>
    <w:p>
      <w:pPr>
        <w:spacing w:line="600" w:lineRule="exact"/>
        <w:jc w:val="cente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245110</wp:posOffset>
            </wp:positionH>
            <wp:positionV relativeFrom="paragraph">
              <wp:posOffset>58420</wp:posOffset>
            </wp:positionV>
            <wp:extent cx="5298440" cy="1892935"/>
            <wp:effectExtent l="0" t="0" r="16510" b="1206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28" w:name="_Toc15396606"/>
      <w:bookmarkStart w:id="29" w:name="_Toc15377208"/>
      <w:r>
        <w:rPr>
          <w:rFonts w:hint="eastAsia" w:ascii="仿宋" w:hAnsi="仿宋" w:eastAsia="仿宋"/>
          <w:sz w:val="32"/>
          <w:szCs w:val="32"/>
        </w:rPr>
        <w:t>（图3：支出决算结构图）（饼状图）</w:t>
      </w:r>
    </w:p>
    <w:p>
      <w:pPr>
        <w:spacing w:line="600" w:lineRule="exact"/>
        <w:ind w:firstLine="640" w:firstLineChars="200"/>
        <w:outlineLvl w:val="1"/>
        <w:rPr>
          <w:rStyle w:val="21"/>
          <w:rFonts w:ascii="黑体" w:hAnsi="黑体" w:eastAsia="黑体"/>
          <w:b w:val="0"/>
        </w:rPr>
      </w:pPr>
      <w:r>
        <w:rPr>
          <w:rFonts w:hint="eastAsia" w:ascii="黑体" w:hAnsi="黑体" w:eastAsia="黑体"/>
          <w:sz w:val="32"/>
          <w:szCs w:val="32"/>
        </w:rPr>
        <w:t>四、财</w:t>
      </w:r>
      <w:r>
        <w:rPr>
          <w:rStyle w:val="21"/>
          <w:rFonts w:hint="eastAsia" w:ascii="黑体" w:hAnsi="黑体" w:eastAsia="黑体"/>
        </w:rPr>
        <w:t>政拨款收入支出决算总体情况说明</w:t>
      </w:r>
      <w:bookmarkEnd w:id="28"/>
      <w:bookmarkEnd w:id="29"/>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22年财政拨款收、支总计1377.79万元。与</w:t>
      </w:r>
      <w:r>
        <w:rPr>
          <w:rFonts w:ascii="仿宋" w:hAnsi="仿宋" w:eastAsia="仿宋"/>
          <w:sz w:val="32"/>
          <w:szCs w:val="32"/>
        </w:rPr>
        <w:t>20</w:t>
      </w:r>
      <w:r>
        <w:rPr>
          <w:rFonts w:hint="eastAsia" w:ascii="仿宋" w:hAnsi="仿宋" w:eastAsia="仿宋"/>
          <w:sz w:val="32"/>
          <w:szCs w:val="32"/>
        </w:rPr>
        <w:t>21年相比，财政拨款收、</w:t>
      </w:r>
      <w:r>
        <w:rPr>
          <w:rFonts w:hint="eastAsia" w:ascii="仿宋" w:hAnsi="仿宋" w:eastAsia="仿宋"/>
          <w:color w:val="000000" w:themeColor="text1"/>
          <w:sz w:val="32"/>
          <w:szCs w:val="32"/>
          <w14:textFill>
            <w14:solidFill>
              <w14:schemeClr w14:val="tx1"/>
            </w14:solidFill>
          </w14:textFill>
        </w:rPr>
        <w:t>支总计各减少3.38万元，减少0.24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主要变动原因</w:t>
      </w:r>
      <w:r>
        <w:rPr>
          <w:rFonts w:hint="eastAsia" w:ascii="仿宋" w:hAnsi="仿宋" w:eastAsia="仿宋"/>
          <w:color w:val="000000" w:themeColor="text1"/>
          <w:sz w:val="32"/>
          <w:szCs w:val="32"/>
          <w14:textFill>
            <w14:solidFill>
              <w14:schemeClr w14:val="tx1"/>
            </w14:solidFill>
          </w14:textFill>
        </w:rPr>
        <w:t>人员退休，调出等。</w:t>
      </w:r>
    </w:p>
    <w:p>
      <w:pPr>
        <w:spacing w:line="600" w:lineRule="exact"/>
        <w:ind w:firstLine="640"/>
        <w:rPr>
          <w:rFonts w:ascii="仿宋" w:hAnsi="仿宋" w:eastAsia="仿宋"/>
          <w:sz w:val="32"/>
          <w:szCs w:val="32"/>
        </w:rPr>
      </w:pPr>
      <w:r>
        <w:rPr>
          <w:sz w:val="32"/>
          <w:szCs w:val="32"/>
        </w:rPr>
        <w:drawing>
          <wp:anchor distT="0" distB="0" distL="114300" distR="114300" simplePos="0" relativeHeight="251665408" behindDoc="1" locked="0" layoutInCell="1" allowOverlap="1">
            <wp:simplePos x="0" y="0"/>
            <wp:positionH relativeFrom="column">
              <wp:posOffset>200660</wp:posOffset>
            </wp:positionH>
            <wp:positionV relativeFrom="paragraph">
              <wp:posOffset>193040</wp:posOffset>
            </wp:positionV>
            <wp:extent cx="5309235" cy="1728470"/>
            <wp:effectExtent l="0" t="0" r="24765" b="24130"/>
            <wp:wrapTight wrapText="bothSides">
              <wp:wrapPolygon>
                <wp:start x="0" y="0"/>
                <wp:lineTo x="0" y="21663"/>
                <wp:lineTo x="21623" y="21663"/>
                <wp:lineTo x="21623" y="0"/>
                <wp:lineTo x="0" y="0"/>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1"/>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21"/>
          <w:rFonts w:hint="eastAsia" w:ascii="黑体" w:hAnsi="黑体" w:eastAsia="黑体"/>
        </w:rPr>
        <w:t>般公共预算财政拨款支出决算情况说明</w:t>
      </w:r>
      <w:bookmarkEnd w:id="30"/>
      <w:bookmarkEnd w:id="31"/>
    </w:p>
    <w:p>
      <w:pPr>
        <w:spacing w:line="600" w:lineRule="exact"/>
        <w:ind w:firstLine="640" w:firstLineChars="200"/>
        <w:outlineLvl w:val="2"/>
        <w:rPr>
          <w:rFonts w:ascii="楷体" w:hAnsi="楷体" w:eastAsia="楷体" w:cs="楷体"/>
          <w:bCs/>
          <w:sz w:val="32"/>
          <w:szCs w:val="32"/>
        </w:rPr>
      </w:pPr>
      <w:bookmarkStart w:id="32" w:name="_Toc15377210"/>
      <w:r>
        <w:rPr>
          <w:rFonts w:hint="eastAsia" w:ascii="楷体" w:hAnsi="楷体" w:eastAsia="楷体" w:cs="楷体"/>
          <w:bCs/>
          <w:sz w:val="32"/>
          <w:szCs w:val="32"/>
        </w:rPr>
        <w:t>（一）一般公共预算财政拨款支出决算总体情况</w:t>
      </w:r>
      <w:bookmarkEnd w:id="32"/>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22年一般公共预算财政拨款支出1369.21万元，占本年支出合计的99.38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21年相比，一般公共预算财政拨款支出增加509.8万元，增加59.32</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color w:val="000000" w:themeColor="text1"/>
          <w:sz w:val="32"/>
          <w:szCs w:val="32"/>
          <w14:textFill>
            <w14:solidFill>
              <w14:schemeClr w14:val="tx1"/>
            </w14:solidFill>
          </w14:textFill>
        </w:rPr>
        <w:t>是项目支出。</w:t>
      </w:r>
    </w:p>
    <w:p>
      <w:pPr>
        <w:spacing w:line="600" w:lineRule="exact"/>
        <w:rPr>
          <w:rFonts w:ascii="仿宋" w:hAnsi="仿宋" w:eastAsia="仿宋"/>
          <w:sz w:val="32"/>
          <w:szCs w:val="32"/>
        </w:rPr>
      </w:pPr>
      <w:r>
        <w:rPr>
          <w:rFonts w:ascii="仿宋_GB2312" w:eastAsia="仿宋_GB2312"/>
          <w:sz w:val="32"/>
          <w:szCs w:val="32"/>
        </w:rPr>
        <w:drawing>
          <wp:anchor distT="0" distB="0" distL="114300" distR="114300" simplePos="0" relativeHeight="251661312" behindDoc="1" locked="0" layoutInCell="1" allowOverlap="1">
            <wp:simplePos x="0" y="0"/>
            <wp:positionH relativeFrom="column">
              <wp:posOffset>420370</wp:posOffset>
            </wp:positionH>
            <wp:positionV relativeFrom="paragraph">
              <wp:posOffset>31750</wp:posOffset>
            </wp:positionV>
            <wp:extent cx="5309235" cy="1728470"/>
            <wp:effectExtent l="0" t="0" r="24765" b="24130"/>
            <wp:wrapTight wrapText="bothSides">
              <wp:wrapPolygon>
                <wp:start x="0" y="0"/>
                <wp:lineTo x="0" y="21663"/>
                <wp:lineTo x="21623" y="21663"/>
                <wp:lineTo x="21623" y="0"/>
                <wp:lineTo x="0"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pPr>
        <w:spacing w:line="600" w:lineRule="exact"/>
        <w:ind w:firstLine="640" w:firstLineChars="200"/>
        <w:outlineLvl w:val="2"/>
        <w:rPr>
          <w:rFonts w:ascii="楷体" w:hAnsi="楷体" w:eastAsia="楷体" w:cs="楷体"/>
          <w:bCs/>
          <w:sz w:val="32"/>
          <w:szCs w:val="32"/>
        </w:rPr>
      </w:pPr>
      <w:bookmarkStart w:id="33" w:name="_Toc15377211"/>
      <w:r>
        <w:rPr>
          <w:rFonts w:hint="eastAsia" w:ascii="楷体" w:hAnsi="楷体" w:eastAsia="楷体" w:cs="楷体"/>
          <w:bCs/>
          <w:sz w:val="32"/>
          <w:szCs w:val="32"/>
        </w:rPr>
        <w:t>（二）一般公共预算财政拨款支出决算结构情况</w:t>
      </w:r>
      <w:bookmarkEnd w:id="3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22年一般公共预算财政拨款支出1369.21万元，主要用于以下方面:教育支出（类）1291.16万元，占94.30%；社会保障和就业（类）支出54.05万元，占</w:t>
      </w:r>
      <w:r>
        <w:rPr>
          <w:rFonts w:hint="eastAsia" w:ascii="仿宋" w:hAnsi="仿宋" w:eastAsia="仿宋"/>
          <w:sz w:val="32"/>
          <w:szCs w:val="32"/>
          <w:lang w:val="en-US" w:eastAsia="zh-CN"/>
        </w:rPr>
        <w:t>3.94</w:t>
      </w:r>
      <w:r>
        <w:rPr>
          <w:rFonts w:hint="eastAsia" w:ascii="仿宋" w:hAnsi="仿宋" w:eastAsia="仿宋"/>
          <w:sz w:val="32"/>
          <w:szCs w:val="32"/>
        </w:rPr>
        <w:t>%</w:t>
      </w:r>
      <w:r>
        <w:rPr>
          <w:rFonts w:hint="eastAsia" w:ascii="仿宋" w:hAnsi="仿宋" w:eastAsia="仿宋"/>
          <w:sz w:val="32"/>
          <w:szCs w:val="32"/>
          <w:lang w:val="en-US" w:eastAsia="zh-CN"/>
        </w:rPr>
        <w:t>;卫生健康</w:t>
      </w:r>
      <w:r>
        <w:rPr>
          <w:rFonts w:hint="eastAsia" w:ascii="仿宋" w:hAnsi="仿宋" w:eastAsia="仿宋"/>
          <w:sz w:val="32"/>
          <w:szCs w:val="32"/>
        </w:rPr>
        <w:t>（类）支出</w:t>
      </w:r>
      <w:r>
        <w:rPr>
          <w:rFonts w:hint="eastAsia" w:ascii="仿宋" w:hAnsi="仿宋" w:eastAsia="仿宋"/>
          <w:sz w:val="32"/>
          <w:szCs w:val="32"/>
          <w:lang w:val="en-US" w:eastAsia="zh-CN"/>
        </w:rPr>
        <w:t>24</w:t>
      </w:r>
      <w:r>
        <w:rPr>
          <w:rFonts w:hint="eastAsia" w:ascii="仿宋" w:hAnsi="仿宋" w:eastAsia="仿宋"/>
          <w:sz w:val="32"/>
          <w:szCs w:val="32"/>
        </w:rPr>
        <w:t>万元，占</w:t>
      </w:r>
      <w:r>
        <w:rPr>
          <w:rFonts w:hint="eastAsia" w:ascii="仿宋" w:hAnsi="仿宋" w:eastAsia="仿宋"/>
          <w:sz w:val="32"/>
          <w:szCs w:val="32"/>
          <w:lang w:val="en-US" w:eastAsia="zh-CN"/>
        </w:rPr>
        <w:t>1.76</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sz w:val="32"/>
          <w:szCs w:val="32"/>
        </w:rPr>
        <w:t>。</w:t>
      </w:r>
    </w:p>
    <w:p>
      <w:pPr>
        <w:spacing w:line="600" w:lineRule="exact"/>
        <w:rPr>
          <w:rFonts w:ascii="仿宋" w:hAnsi="仿宋" w:eastAsia="仿宋"/>
          <w:b/>
          <w:sz w:val="32"/>
          <w:szCs w:val="32"/>
        </w:rPr>
      </w:pPr>
    </w:p>
    <w:p>
      <w:pPr>
        <w:spacing w:line="600" w:lineRule="exact"/>
        <w:ind w:firstLine="640" w:firstLineChars="200"/>
        <w:rPr>
          <w:rFonts w:ascii="仿宋" w:hAnsi="仿宋" w:eastAsia="仿宋"/>
          <w:sz w:val="32"/>
          <w:szCs w:val="32"/>
        </w:rP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299720</wp:posOffset>
            </wp:positionH>
            <wp:positionV relativeFrom="paragraph">
              <wp:posOffset>132080</wp:posOffset>
            </wp:positionV>
            <wp:extent cx="5332730" cy="2404745"/>
            <wp:effectExtent l="0" t="0" r="20320"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pPr>
        <w:snapToGrid w:val="0"/>
        <w:spacing w:line="560" w:lineRule="exact"/>
        <w:ind w:firstLine="640" w:firstLineChars="200"/>
        <w:outlineLvl w:val="2"/>
        <w:rPr>
          <w:rFonts w:ascii="楷体" w:hAnsi="楷体" w:eastAsia="楷体" w:cs="楷体"/>
          <w:bCs/>
          <w:sz w:val="32"/>
          <w:szCs w:val="32"/>
        </w:rPr>
      </w:pPr>
      <w:bookmarkStart w:id="34" w:name="_Toc15377212"/>
      <w:r>
        <w:rPr>
          <w:rFonts w:hint="eastAsia" w:ascii="楷体" w:hAnsi="楷体" w:eastAsia="楷体" w:cs="楷体"/>
          <w:bCs/>
          <w:sz w:val="32"/>
          <w:szCs w:val="32"/>
        </w:rPr>
        <w:t>（三）一般公共预算财政拨款支出决算具体情况</w:t>
      </w:r>
      <w:bookmarkEnd w:id="34"/>
    </w:p>
    <w:p>
      <w:pPr>
        <w:snapToGrid w:val="0"/>
        <w:spacing w:line="560" w:lineRule="exact"/>
        <w:ind w:firstLine="643" w:firstLineChars="200"/>
        <w:outlineLvl w:val="2"/>
        <w:rPr>
          <w:rFonts w:ascii="仿宋" w:hAnsi="仿宋" w:eastAsia="仿宋"/>
          <w:sz w:val="32"/>
          <w:szCs w:val="32"/>
        </w:rPr>
      </w:pPr>
      <w:bookmarkStart w:id="35" w:name="_Toc15378460"/>
      <w:bookmarkStart w:id="36" w:name="_Toc15377213"/>
      <w:bookmarkStart w:id="37" w:name="_Toc15377444"/>
      <w:r>
        <w:rPr>
          <w:rFonts w:hint="eastAsia" w:ascii="仿宋" w:hAnsi="仿宋" w:eastAsia="仿宋"/>
          <w:b/>
          <w:sz w:val="32"/>
          <w:szCs w:val="32"/>
        </w:rPr>
        <w:t>2022年一般公共预算支出决算数为</w:t>
      </w:r>
      <w:r>
        <w:rPr>
          <w:rFonts w:hint="eastAsia" w:ascii="仿宋" w:hAnsi="仿宋" w:eastAsia="仿宋"/>
          <w:sz w:val="32"/>
          <w:szCs w:val="32"/>
        </w:rPr>
        <w:t>1369.21，</w:t>
      </w:r>
      <w:r>
        <w:rPr>
          <w:rStyle w:val="17"/>
          <w:rFonts w:hint="eastAsia" w:ascii="仿宋" w:hAnsi="仿宋" w:eastAsia="仿宋"/>
          <w:bCs/>
          <w:sz w:val="32"/>
          <w:szCs w:val="32"/>
        </w:rPr>
        <w:t>完成预算100%。其中：</w:t>
      </w:r>
      <w:bookmarkEnd w:id="35"/>
      <w:bookmarkEnd w:id="36"/>
      <w:bookmarkEnd w:id="37"/>
    </w:p>
    <w:p>
      <w:pPr>
        <w:snapToGrid w:val="0"/>
        <w:spacing w:line="560" w:lineRule="exact"/>
        <w:ind w:firstLine="643" w:firstLineChars="200"/>
        <w:rPr>
          <w:rStyle w:val="17"/>
          <w:rFonts w:ascii="仿宋" w:hAnsi="仿宋" w:eastAsia="仿宋"/>
          <w:bCs/>
          <w:color w:val="000000" w:themeColor="text1"/>
          <w:sz w:val="32"/>
          <w:szCs w:val="32"/>
          <w14:textFill>
            <w14:solidFill>
              <w14:schemeClr w14:val="tx1"/>
            </w14:solidFill>
          </w14:textFill>
        </w:rPr>
      </w:pPr>
      <w:r>
        <w:rPr>
          <w:rStyle w:val="17"/>
          <w:rFonts w:hint="eastAsia" w:ascii="仿宋" w:hAnsi="仿宋" w:eastAsia="仿宋"/>
          <w:bCs/>
          <w:sz w:val="32"/>
          <w:szCs w:val="32"/>
          <w:lang w:val="en-US" w:eastAsia="zh-CN"/>
        </w:rPr>
        <w:t>1</w:t>
      </w:r>
      <w:r>
        <w:rPr>
          <w:rStyle w:val="17"/>
          <w:rFonts w:ascii="仿宋" w:hAnsi="仿宋" w:eastAsia="仿宋"/>
          <w:bCs/>
          <w:sz w:val="32"/>
          <w:szCs w:val="32"/>
        </w:rPr>
        <w:t>.</w:t>
      </w:r>
      <w:r>
        <w:rPr>
          <w:rStyle w:val="17"/>
          <w:rFonts w:hint="eastAsia" w:ascii="仿宋" w:hAnsi="仿宋" w:eastAsia="仿宋"/>
          <w:bCs/>
          <w:sz w:val="32"/>
          <w:szCs w:val="32"/>
        </w:rPr>
        <w:t>教育支出（类）普通教育（款）小学教育（项）</w:t>
      </w:r>
      <w:r>
        <w:rPr>
          <w:rStyle w:val="17"/>
          <w:rFonts w:ascii="仿宋" w:hAnsi="仿宋" w:eastAsia="仿宋"/>
          <w:bCs/>
          <w:sz w:val="32"/>
          <w:szCs w:val="32"/>
        </w:rPr>
        <w:t>:</w:t>
      </w:r>
      <w:r>
        <w:rPr>
          <w:rStyle w:val="17"/>
          <w:rFonts w:hint="eastAsia" w:ascii="仿宋" w:hAnsi="仿宋" w:eastAsia="仿宋"/>
          <w:bCs/>
          <w:sz w:val="32"/>
          <w:szCs w:val="32"/>
        </w:rPr>
        <w:t>支出决算为</w:t>
      </w:r>
      <w:r>
        <w:rPr>
          <w:rFonts w:hint="eastAsia" w:ascii="仿宋" w:hAnsi="仿宋" w:eastAsia="仿宋"/>
          <w:sz w:val="32"/>
          <w:szCs w:val="32"/>
        </w:rPr>
        <w:t>691.16</w:t>
      </w:r>
      <w:r>
        <w:rPr>
          <w:rStyle w:val="17"/>
          <w:rFonts w:hint="eastAsia" w:ascii="仿宋" w:hAnsi="仿宋" w:eastAsia="仿宋"/>
          <w:bCs/>
          <w:sz w:val="32"/>
          <w:szCs w:val="32"/>
        </w:rPr>
        <w:t>万元，完成预算100</w:t>
      </w:r>
      <w:r>
        <w:rPr>
          <w:rStyle w:val="17"/>
          <w:rFonts w:ascii="仿宋" w:hAnsi="仿宋" w:eastAsia="仿宋"/>
          <w:bCs/>
          <w:sz w:val="32"/>
          <w:szCs w:val="32"/>
        </w:rPr>
        <w:t>%</w:t>
      </w:r>
      <w:r>
        <w:rPr>
          <w:rStyle w:val="17"/>
          <w:rFonts w:hint="eastAsia" w:ascii="仿宋" w:hAnsi="仿宋" w:eastAsia="仿宋"/>
          <w:bCs/>
          <w:color w:val="000000" w:themeColor="text1"/>
          <w:kern w:val="0"/>
          <w:sz w:val="32"/>
          <w:szCs w:val="32"/>
          <w14:textFill>
            <w14:solidFill>
              <w14:schemeClr w14:val="tx1"/>
            </w14:solidFill>
          </w14:textFill>
        </w:rPr>
        <w:t>。</w:t>
      </w:r>
    </w:p>
    <w:p>
      <w:pPr>
        <w:snapToGrid w:val="0"/>
        <w:spacing w:line="560" w:lineRule="exact"/>
        <w:ind w:firstLine="643" w:firstLineChars="200"/>
        <w:rPr>
          <w:rStyle w:val="17"/>
          <w:rFonts w:ascii="仿宋" w:hAnsi="仿宋" w:eastAsia="仿宋"/>
          <w:bCs/>
          <w:sz w:val="32"/>
          <w:szCs w:val="32"/>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教育支出（类）教育费附加安排的支出（款）城市中小学校舍建设（项）</w:t>
      </w:r>
      <w:r>
        <w:rPr>
          <w:rStyle w:val="17"/>
          <w:rFonts w:ascii="仿宋" w:hAnsi="仿宋" w:eastAsia="仿宋"/>
          <w:bCs/>
          <w:sz w:val="32"/>
          <w:szCs w:val="32"/>
        </w:rPr>
        <w:t xml:space="preserve">: </w:t>
      </w:r>
      <w:r>
        <w:rPr>
          <w:rStyle w:val="17"/>
          <w:rFonts w:hint="eastAsia" w:ascii="仿宋" w:hAnsi="仿宋" w:eastAsia="仿宋"/>
          <w:bCs/>
          <w:sz w:val="32"/>
          <w:szCs w:val="32"/>
        </w:rPr>
        <w:t>支出决算为600万元，完成预算100</w:t>
      </w:r>
      <w:r>
        <w:rPr>
          <w:rStyle w:val="17"/>
          <w:rFonts w:ascii="仿宋" w:hAnsi="仿宋" w:eastAsia="仿宋"/>
          <w:bCs/>
          <w:sz w:val="32"/>
          <w:szCs w:val="32"/>
        </w:rPr>
        <w:t>%</w:t>
      </w:r>
      <w:r>
        <w:rPr>
          <w:rStyle w:val="17"/>
          <w:rFonts w:hint="eastAsia" w:ascii="仿宋" w:hAnsi="仿宋" w:eastAsia="仿宋"/>
          <w:bCs/>
          <w:color w:val="000000" w:themeColor="text1"/>
          <w:kern w:val="0"/>
          <w:sz w:val="32"/>
          <w:szCs w:val="32"/>
          <w14:textFill>
            <w14:solidFill>
              <w14:schemeClr w14:val="tx1"/>
            </w14:solidFill>
          </w14:textFill>
        </w:rPr>
        <w:t>。</w:t>
      </w:r>
    </w:p>
    <w:p>
      <w:pPr>
        <w:snapToGrid w:val="0"/>
        <w:spacing w:line="560" w:lineRule="exact"/>
        <w:ind w:firstLine="643" w:firstLineChars="200"/>
        <w:rPr>
          <w:rStyle w:val="17"/>
          <w:rFonts w:ascii="仿宋" w:hAnsi="仿宋" w:eastAsia="仿宋"/>
          <w:bCs/>
          <w:color w:val="000000" w:themeColor="text1"/>
          <w:sz w:val="32"/>
          <w:szCs w:val="32"/>
          <w14:textFill>
            <w14:solidFill>
              <w14:schemeClr w14:val="tx1"/>
            </w14:solidFill>
          </w14:textFill>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sz w:val="32"/>
          <w:szCs w:val="32"/>
        </w:rPr>
        <w:t xml:space="preserve">: </w:t>
      </w:r>
      <w:r>
        <w:rPr>
          <w:rStyle w:val="17"/>
          <w:rFonts w:hint="eastAsia" w:ascii="仿宋" w:hAnsi="仿宋" w:eastAsia="仿宋"/>
          <w:bCs/>
          <w:sz w:val="32"/>
          <w:szCs w:val="32"/>
        </w:rPr>
        <w:t>支出决算为54.05万元，完成预算100.00</w:t>
      </w:r>
      <w:r>
        <w:rPr>
          <w:rStyle w:val="17"/>
          <w:rFonts w:ascii="仿宋" w:hAnsi="仿宋" w:eastAsia="仿宋"/>
          <w:bCs/>
          <w:sz w:val="32"/>
          <w:szCs w:val="32"/>
        </w:rPr>
        <w:t>%</w:t>
      </w:r>
      <w:r>
        <w:rPr>
          <w:rStyle w:val="17"/>
          <w:rFonts w:hint="eastAsia" w:ascii="仿宋" w:hAnsi="仿宋" w:eastAsia="仿宋"/>
          <w:bCs/>
          <w:sz w:val="32"/>
          <w:szCs w:val="32"/>
        </w:rPr>
        <w:t>，决算数等于预算数的主要原因是</w:t>
      </w:r>
      <w:r>
        <w:rPr>
          <w:rStyle w:val="17"/>
          <w:rFonts w:hint="eastAsia" w:ascii="仿宋" w:hAnsi="仿宋" w:eastAsia="仿宋"/>
          <w:bCs/>
          <w:color w:val="000000" w:themeColor="text1"/>
          <w:kern w:val="0"/>
          <w:sz w:val="32"/>
          <w:szCs w:val="32"/>
          <w14:textFill>
            <w14:solidFill>
              <w14:schemeClr w14:val="tx1"/>
            </w14:solidFill>
          </w14:textFill>
        </w:rPr>
        <w:t>年初预算根据实际编列，</w:t>
      </w:r>
      <w:r>
        <w:rPr>
          <w:rStyle w:val="17"/>
          <w:rFonts w:hint="eastAsia" w:ascii="仿宋" w:hAnsi="仿宋" w:eastAsia="仿宋"/>
          <w:bCs/>
          <w:color w:val="000000" w:themeColor="text1"/>
          <w:sz w:val="32"/>
          <w:szCs w:val="32"/>
          <w14:textFill>
            <w14:solidFill>
              <w14:schemeClr w14:val="tx1"/>
            </w14:solidFill>
          </w14:textFill>
        </w:rPr>
        <w:t>预算执行中根据实际支出情况调整预算。</w:t>
      </w:r>
    </w:p>
    <w:p>
      <w:pPr>
        <w:snapToGrid w:val="0"/>
        <w:spacing w:line="560" w:lineRule="exact"/>
        <w:ind w:firstLine="643" w:firstLineChars="200"/>
        <w:rPr>
          <w:rStyle w:val="17"/>
          <w:rFonts w:ascii="仿宋" w:hAnsi="仿宋" w:eastAsia="仿宋"/>
          <w:bCs/>
          <w:color w:val="000000" w:themeColor="text1"/>
          <w:sz w:val="32"/>
          <w:szCs w:val="32"/>
          <w14:textFill>
            <w14:solidFill>
              <w14:schemeClr w14:val="tx1"/>
            </w14:solidFill>
          </w14:textFill>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卫生健康支出（类）行政事业单位医疗（款）事业单位医疗（项）</w:t>
      </w:r>
      <w:r>
        <w:rPr>
          <w:rStyle w:val="17"/>
          <w:rFonts w:ascii="仿宋" w:hAnsi="仿宋" w:eastAsia="仿宋"/>
          <w:bCs/>
          <w:sz w:val="32"/>
          <w:szCs w:val="32"/>
        </w:rPr>
        <w:t xml:space="preserve">: </w:t>
      </w:r>
      <w:r>
        <w:rPr>
          <w:rStyle w:val="17"/>
          <w:rFonts w:hint="eastAsia" w:ascii="仿宋" w:hAnsi="仿宋" w:eastAsia="仿宋"/>
          <w:bCs/>
          <w:sz w:val="32"/>
          <w:szCs w:val="32"/>
        </w:rPr>
        <w:t>支出决算为24万元，完成预算100</w:t>
      </w:r>
      <w:r>
        <w:rPr>
          <w:rStyle w:val="17"/>
          <w:rFonts w:ascii="仿宋" w:hAnsi="仿宋" w:eastAsia="仿宋"/>
          <w:bCs/>
          <w:sz w:val="32"/>
          <w:szCs w:val="32"/>
        </w:rPr>
        <w:t>%</w:t>
      </w:r>
      <w:r>
        <w:rPr>
          <w:rStyle w:val="17"/>
          <w:rFonts w:hint="eastAsia" w:ascii="仿宋" w:hAnsi="仿宋" w:eastAsia="仿宋"/>
          <w:bCs/>
          <w:color w:val="000000" w:themeColor="text1"/>
          <w:sz w:val="32"/>
          <w:szCs w:val="32"/>
          <w14:textFill>
            <w14:solidFill>
              <w14:schemeClr w14:val="tx1"/>
            </w14:solidFill>
          </w14:textFill>
        </w:rPr>
        <w:t>。</w:t>
      </w:r>
    </w:p>
    <w:p>
      <w:pPr>
        <w:tabs>
          <w:tab w:val="right" w:pos="8306"/>
        </w:tabs>
        <w:snapToGrid w:val="0"/>
        <w:spacing w:line="560" w:lineRule="exact"/>
        <w:ind w:firstLine="640"/>
        <w:outlineLvl w:val="1"/>
        <w:rPr>
          <w:rStyle w:val="21"/>
        </w:rPr>
      </w:pPr>
      <w:bookmarkStart w:id="38" w:name="_Toc15396608"/>
      <w:bookmarkStart w:id="3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1"/>
          <w:rFonts w:hint="eastAsia" w:ascii="黑体" w:hAnsi="黑体" w:eastAsia="黑体"/>
        </w:rPr>
        <w:t>般公共预算财政拨款基本支出决算情况说明</w:t>
      </w:r>
      <w:bookmarkEnd w:id="38"/>
      <w:bookmarkEnd w:id="39"/>
      <w:r>
        <w:rPr>
          <w:rStyle w:val="21"/>
          <w:rFonts w:ascii="黑体" w:hAnsi="黑体" w:eastAsia="黑体"/>
        </w:rPr>
        <w:tab/>
      </w:r>
    </w:p>
    <w:p>
      <w:pPr>
        <w:snapToGrid w:val="0"/>
        <w:spacing w:line="560" w:lineRule="exact"/>
        <w:ind w:firstLine="645"/>
        <w:rPr>
          <w:rFonts w:ascii="仿宋" w:hAnsi="仿宋" w:eastAsia="仿宋"/>
          <w:spacing w:val="-6"/>
          <w:sz w:val="32"/>
          <w:szCs w:val="32"/>
        </w:rPr>
      </w:pPr>
      <w:r>
        <w:rPr>
          <w:rFonts w:ascii="仿宋" w:hAnsi="仿宋" w:eastAsia="仿宋"/>
          <w:sz w:val="32"/>
          <w:szCs w:val="32"/>
        </w:rPr>
        <w:t>2</w:t>
      </w:r>
      <w:r>
        <w:rPr>
          <w:rFonts w:ascii="仿宋" w:hAnsi="仿宋" w:eastAsia="仿宋"/>
          <w:spacing w:val="-6"/>
          <w:sz w:val="32"/>
          <w:szCs w:val="32"/>
        </w:rPr>
        <w:t>0</w:t>
      </w:r>
      <w:r>
        <w:rPr>
          <w:rFonts w:hint="eastAsia" w:ascii="仿宋" w:hAnsi="仿宋" w:eastAsia="仿宋"/>
          <w:spacing w:val="-6"/>
          <w:sz w:val="32"/>
          <w:szCs w:val="32"/>
        </w:rPr>
        <w:t>22年一般公共预算财政拨款基本支出660.15万元，其中：</w:t>
      </w:r>
    </w:p>
    <w:p>
      <w:pPr>
        <w:snapToGrid w:val="0"/>
        <w:spacing w:line="560" w:lineRule="exact"/>
        <w:ind w:firstLine="645"/>
        <w:rPr>
          <w:rFonts w:ascii="仿宋" w:hAnsi="仿宋" w:eastAsia="仿宋"/>
          <w:sz w:val="32"/>
          <w:szCs w:val="32"/>
        </w:rPr>
      </w:pPr>
      <w:r>
        <w:rPr>
          <w:rFonts w:hint="eastAsia" w:ascii="仿宋" w:hAnsi="仿宋" w:eastAsia="仿宋"/>
          <w:sz w:val="32"/>
          <w:szCs w:val="32"/>
        </w:rPr>
        <w:t>人员经费562.22万元，主要包括：基本工资、津贴补贴、绩效工资、机关事业单位基本养老保险缴费、职业年金缴费、其他社会保障缴费、其他工资福利支出、抚恤金、生活补助、助学金、奖励金。</w:t>
      </w:r>
    </w:p>
    <w:p>
      <w:pPr>
        <w:snapToGrid w:val="0"/>
        <w:spacing w:line="560" w:lineRule="exact"/>
        <w:ind w:firstLine="645"/>
        <w:rPr>
          <w:rFonts w:ascii="仿宋" w:hAnsi="仿宋" w:eastAsia="仿宋"/>
          <w:sz w:val="32"/>
          <w:szCs w:val="32"/>
        </w:rPr>
      </w:pPr>
      <w:r>
        <w:rPr>
          <w:rFonts w:hint="eastAsia" w:ascii="仿宋" w:hAnsi="仿宋" w:eastAsia="仿宋"/>
          <w:sz w:val="32"/>
          <w:szCs w:val="32"/>
        </w:rPr>
        <w:t>公用经费97.93万元，主要包括：办公费、印刷费、咨询费、手续费、水费、电费、邮电费、差旅费、维修（护）费、培训费、公务接待费、劳务费、工会经费、福利费。</w:t>
      </w:r>
    </w:p>
    <w:p>
      <w:pPr>
        <w:spacing w:line="600" w:lineRule="exact"/>
        <w:ind w:firstLine="640"/>
        <w:outlineLvl w:val="1"/>
        <w:rPr>
          <w:rStyle w:val="21"/>
          <w:rFonts w:ascii="黑体" w:hAnsi="黑体" w:eastAsia="黑体"/>
          <w:b w:val="0"/>
        </w:rPr>
      </w:pPr>
      <w:bookmarkStart w:id="40" w:name="_Toc15377215"/>
      <w:bookmarkStart w:id="41" w:name="_Toc15396609"/>
      <w:r>
        <w:rPr>
          <w:rFonts w:hint="eastAsia" w:ascii="黑体" w:eastAsia="黑体"/>
          <w:sz w:val="32"/>
          <w:szCs w:val="32"/>
        </w:rPr>
        <w:t>七、</w:t>
      </w:r>
      <w:bookmarkEnd w:id="40"/>
      <w:bookmarkEnd w:id="41"/>
      <w:r>
        <w:rPr>
          <w:rStyle w:val="21"/>
          <w:rFonts w:hint="eastAsia" w:ascii="黑体" w:hAnsi="黑体" w:eastAsia="黑体"/>
        </w:rPr>
        <w:t>“</w:t>
      </w:r>
      <w:r>
        <w:rPr>
          <w:rStyle w:val="21"/>
          <w:rFonts w:hint="eastAsia" w:ascii="黑体" w:hAnsi="黑体" w:eastAsia="黑体"/>
          <w:b w:val="0"/>
        </w:rPr>
        <w:t>三公”经费财政拨款基本支出决算情况说明</w:t>
      </w:r>
    </w:p>
    <w:p>
      <w:pPr>
        <w:snapToGrid w:val="0"/>
        <w:spacing w:line="560" w:lineRule="exact"/>
        <w:ind w:firstLine="640" w:firstLineChars="200"/>
        <w:outlineLvl w:val="2"/>
        <w:rPr>
          <w:rFonts w:ascii="楷体" w:hAnsi="楷体" w:eastAsia="楷体" w:cs="楷体"/>
          <w:bCs/>
          <w:sz w:val="32"/>
          <w:szCs w:val="32"/>
        </w:rPr>
      </w:pPr>
      <w:bookmarkStart w:id="42" w:name="_Toc15377216"/>
      <w:r>
        <w:rPr>
          <w:rFonts w:hint="eastAsia" w:ascii="楷体" w:hAnsi="楷体" w:eastAsia="楷体" w:cs="楷体"/>
          <w:bCs/>
          <w:sz w:val="32"/>
          <w:szCs w:val="32"/>
        </w:rPr>
        <w:t>（一）“三公”经费财政拨款支出决算总体情况说明</w:t>
      </w:r>
      <w:bookmarkEnd w:id="42"/>
    </w:p>
    <w:p>
      <w:pPr>
        <w:snapToGrid w:val="0"/>
        <w:spacing w:line="56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w:t>
      </w:r>
    </w:p>
    <w:p>
      <w:pPr>
        <w:snapToGrid w:val="0"/>
        <w:spacing w:line="560" w:lineRule="exact"/>
        <w:ind w:firstLine="640" w:firstLineChars="200"/>
        <w:outlineLvl w:val="2"/>
        <w:rPr>
          <w:rFonts w:ascii="楷体" w:hAnsi="楷体" w:eastAsia="楷体" w:cs="楷体"/>
          <w:bCs/>
          <w:sz w:val="32"/>
          <w:szCs w:val="32"/>
        </w:rPr>
      </w:pPr>
      <w:bookmarkStart w:id="43" w:name="_Toc15377217"/>
      <w:r>
        <w:rPr>
          <w:rFonts w:hint="eastAsia" w:ascii="楷体" w:hAnsi="楷体" w:eastAsia="楷体" w:cs="楷体"/>
          <w:bCs/>
          <w:sz w:val="32"/>
          <w:szCs w:val="32"/>
        </w:rPr>
        <w:t>（二）“三公”经费财政拨款支出决算具体情况说明</w:t>
      </w:r>
      <w:bookmarkEnd w:id="43"/>
    </w:p>
    <w:p>
      <w:pPr>
        <w:snapToGrid w:val="0"/>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r>
        <w:rPr>
          <w:rFonts w:ascii="仿宋" w:hAnsi="仿宋" w:eastAsia="仿宋"/>
          <w:sz w:val="32"/>
          <w:szCs w:val="32"/>
        </w:rPr>
        <w:t xml:space="preserve"> </w:t>
      </w:r>
    </w:p>
    <w:p>
      <w:pPr>
        <w:spacing w:line="560" w:lineRule="exact"/>
        <w:ind w:firstLine="643" w:firstLineChars="200"/>
        <w:rPr>
          <w:rFonts w:ascii="仿宋_GB2312" w:eastAsia="仿宋_GB2312"/>
          <w:b/>
          <w:color w:val="000000" w:themeColor="text1"/>
          <w:sz w:val="32"/>
          <w:szCs w:val="32"/>
          <w14:textFill>
            <w14:solidFill>
              <w14:schemeClr w14:val="tx1"/>
            </w14:solidFill>
          </w14:textFill>
        </w:rPr>
      </w:pPr>
      <w:bookmarkStart w:id="44" w:name="_Toc15377218"/>
      <w:bookmarkStart w:id="45" w:name="_Toc15396610"/>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7"/>
          <w:rFonts w:hint="eastAsia" w:ascii="仿宋" w:hAnsi="仿宋" w:eastAsia="仿宋"/>
          <w:bCs/>
          <w:sz w:val="32"/>
          <w:szCs w:val="32"/>
        </w:rPr>
        <w:t>完成预算</w:t>
      </w:r>
      <w:r>
        <w:rPr>
          <w:rFonts w:hint="eastAsia" w:ascii="仿宋_GB2312" w:eastAsia="仿宋_GB2312"/>
          <w:sz w:val="32"/>
          <w:szCs w:val="32"/>
        </w:rPr>
        <w:t>0.00</w:t>
      </w:r>
      <w:r>
        <w:rPr>
          <w:rStyle w:val="17"/>
          <w:rFonts w:ascii="仿宋" w:hAnsi="仿宋" w:eastAsia="仿宋"/>
          <w:bCs/>
          <w:sz w:val="32"/>
          <w:szCs w:val="32"/>
        </w:rPr>
        <w:t>%</w:t>
      </w:r>
      <w:r>
        <w:rPr>
          <w:rStyle w:val="17"/>
          <w:rFonts w:hint="eastAsia" w:ascii="仿宋" w:hAnsi="仿宋" w:eastAsia="仿宋"/>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w:t>
      </w:r>
      <w:r>
        <w:rPr>
          <w:rStyle w:val="17"/>
          <w:rFonts w:hint="eastAsia" w:ascii="仿宋" w:hAnsi="仿宋" w:eastAsia="仿宋"/>
          <w:bCs/>
          <w:color w:val="000000" w:themeColor="text1"/>
          <w:kern w:val="0"/>
          <w:sz w:val="32"/>
          <w:szCs w:val="32"/>
          <w14:textFill>
            <w14:solidFill>
              <w14:schemeClr w14:val="tx1"/>
            </w14:solidFill>
          </w14:textFill>
        </w:rPr>
        <w:t>当年未安排因公出国（境）支出预算，无因公出国（境）支出。</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开支内容包括：</w:t>
      </w:r>
      <w:r>
        <w:rPr>
          <w:rStyle w:val="17"/>
          <w:rFonts w:hint="eastAsia" w:ascii="仿宋" w:hAnsi="仿宋" w:eastAsia="仿宋"/>
          <w:bCs/>
          <w:color w:val="000000" w:themeColor="text1"/>
          <w:kern w:val="0"/>
          <w:sz w:val="32"/>
          <w:szCs w:val="32"/>
          <w14:textFill>
            <w14:solidFill>
              <w14:schemeClr w14:val="tx1"/>
            </w14:solidFill>
          </w14:textFill>
        </w:rPr>
        <w:t>本年度未安排因公出国（境）支出。</w:t>
      </w:r>
    </w:p>
    <w:p>
      <w:pPr>
        <w:spacing w:line="560" w:lineRule="exact"/>
        <w:ind w:firstLine="640"/>
        <w:rPr>
          <w:rStyle w:val="17"/>
          <w:rFonts w:ascii="仿宋" w:hAnsi="仿宋" w:eastAsia="仿宋"/>
          <w:b w:val="0"/>
          <w:bCs/>
          <w:color w:val="000000" w:themeColor="text1"/>
          <w:kern w:val="0"/>
          <w:sz w:val="32"/>
          <w:szCs w:val="32"/>
          <w14:textFill>
            <w14:solidFill>
              <w14:schemeClr w14:val="tx1"/>
            </w14:solidFill>
          </w14:textFill>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7"/>
          <w:rFonts w:hint="eastAsia" w:ascii="仿宋" w:hAnsi="仿宋" w:eastAsia="仿宋"/>
          <w:bCs/>
          <w:sz w:val="32"/>
          <w:szCs w:val="32"/>
        </w:rPr>
        <w:t>完成预算0.00</w:t>
      </w:r>
      <w:r>
        <w:rPr>
          <w:rStyle w:val="17"/>
          <w:rFonts w:ascii="仿宋" w:hAnsi="仿宋" w:eastAsia="仿宋"/>
          <w:bCs/>
          <w:sz w:val="32"/>
          <w:szCs w:val="32"/>
        </w:rPr>
        <w:t>%</w:t>
      </w:r>
      <w:r>
        <w:rPr>
          <w:rStyle w:val="17"/>
          <w:rFonts w:hint="eastAsia" w:ascii="仿宋" w:hAnsi="仿宋" w:eastAsia="仿宋"/>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Style w:val="17"/>
          <w:rFonts w:hint="eastAsia" w:ascii="仿宋" w:hAnsi="仿宋" w:eastAsia="仿宋"/>
          <w:bCs/>
          <w:color w:val="000000" w:themeColor="text1"/>
          <w:kern w:val="0"/>
          <w:sz w:val="32"/>
          <w:szCs w:val="32"/>
          <w14:textFill>
            <w14:solidFill>
              <w14:schemeClr w14:val="tx1"/>
            </w14:solidFill>
          </w14:textFill>
        </w:rPr>
        <w:t>。</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0.00万元。全年按规定更新购置公务用车0辆。截至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b/>
          <w:sz w:val="32"/>
          <w:szCs w:val="32"/>
        </w:rPr>
        <w:t>公务用车运行维护费支出</w:t>
      </w:r>
      <w:r>
        <w:rPr>
          <w:rFonts w:hint="eastAsia" w:ascii="仿宋_GB2312" w:eastAsia="仿宋_GB2312"/>
          <w:sz w:val="32"/>
          <w:szCs w:val="32"/>
        </w:rPr>
        <w:t>0.00万元。</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3.公务接待费支出</w:t>
      </w:r>
      <w:r>
        <w:rPr>
          <w:rFonts w:hint="eastAsia" w:ascii="仿宋_GB2312" w:eastAsia="仿宋_GB2312"/>
          <w:sz w:val="32"/>
          <w:szCs w:val="32"/>
        </w:rPr>
        <w:t>0万元，</w:t>
      </w:r>
      <w:r>
        <w:rPr>
          <w:rStyle w:val="17"/>
          <w:rFonts w:hint="eastAsia" w:ascii="仿宋" w:hAnsi="仿宋" w:eastAsia="仿宋"/>
          <w:bCs/>
          <w:sz w:val="32"/>
          <w:szCs w:val="32"/>
        </w:rPr>
        <w:t>完成预算0</w:t>
      </w:r>
      <w:r>
        <w:rPr>
          <w:rStyle w:val="17"/>
          <w:rFonts w:ascii="仿宋" w:hAnsi="仿宋" w:eastAsia="仿宋"/>
          <w:bCs/>
          <w:sz w:val="32"/>
          <w:szCs w:val="32"/>
        </w:rPr>
        <w:t>%</w:t>
      </w:r>
      <w:r>
        <w:rPr>
          <w:rStyle w:val="17"/>
          <w:rFonts w:hint="eastAsia" w:ascii="仿宋" w:hAnsi="仿宋" w:eastAsia="仿宋"/>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21年减少0万元，下降0</w:t>
      </w:r>
      <w:r>
        <w:rPr>
          <w:rFonts w:ascii="仿宋_GB2312" w:eastAsia="仿宋_GB2312"/>
          <w:sz w:val="32"/>
          <w:szCs w:val="32"/>
        </w:rPr>
        <w:t>%</w:t>
      </w:r>
      <w:r>
        <w:rPr>
          <w:rFonts w:hint="eastAsia" w:ascii="仿宋_GB2312" w:eastAsia="仿宋_GB2312"/>
          <w:sz w:val="32"/>
          <w:szCs w:val="32"/>
        </w:rPr>
        <w:t xml:space="preserve">。 </w:t>
      </w:r>
    </w:p>
    <w:p>
      <w:pPr>
        <w:spacing w:line="560" w:lineRule="exact"/>
        <w:ind w:firstLine="640"/>
        <w:outlineLvl w:val="1"/>
        <w:rPr>
          <w:rFonts w:ascii="黑体" w:eastAsia="黑体"/>
          <w:sz w:val="32"/>
          <w:szCs w:val="32"/>
        </w:rPr>
      </w:pPr>
      <w:r>
        <w:rPr>
          <w:rFonts w:hint="eastAsia" w:ascii="仿宋_GB2312" w:eastAsia="仿宋_GB2312"/>
          <w:sz w:val="32"/>
          <w:szCs w:val="32"/>
        </w:rPr>
        <w:t>外事接待支出0.00万元。</w:t>
      </w:r>
    </w:p>
    <w:p>
      <w:pPr>
        <w:spacing w:line="560" w:lineRule="exact"/>
        <w:ind w:firstLine="640"/>
        <w:outlineLvl w:val="1"/>
        <w:rPr>
          <w:rStyle w:val="21"/>
          <w:rFonts w:ascii="黑体" w:hAnsi="黑体" w:eastAsia="黑体"/>
        </w:rPr>
      </w:pPr>
      <w:r>
        <w:rPr>
          <w:rFonts w:hint="eastAsia" w:ascii="黑体" w:eastAsia="黑体"/>
          <w:sz w:val="32"/>
          <w:szCs w:val="32"/>
        </w:rPr>
        <w:t>八、</w:t>
      </w:r>
      <w:r>
        <w:rPr>
          <w:rStyle w:val="21"/>
          <w:rFonts w:hint="eastAsia" w:ascii="黑体" w:hAnsi="黑体" w:eastAsia="黑体"/>
        </w:rPr>
        <w:t>政府性基金预算支出决算情况说明</w:t>
      </w:r>
      <w:bookmarkEnd w:id="44"/>
      <w:bookmarkEnd w:id="45"/>
    </w:p>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22年政府性基金预算财政拨款支出0.00万元。</w:t>
      </w:r>
    </w:p>
    <w:p>
      <w:pPr>
        <w:numPr>
          <w:ilvl w:val="0"/>
          <w:numId w:val="2"/>
        </w:numPr>
        <w:spacing w:line="560" w:lineRule="exact"/>
        <w:ind w:firstLine="640"/>
        <w:outlineLvl w:val="1"/>
        <w:rPr>
          <w:rStyle w:val="21"/>
          <w:rFonts w:ascii="黑体" w:hAnsi="黑体" w:eastAsia="黑体"/>
          <w:b w:val="0"/>
        </w:rPr>
      </w:pPr>
      <w:bookmarkStart w:id="46" w:name="_Toc15377219"/>
      <w:bookmarkStart w:id="47" w:name="_Toc15396611"/>
      <w:r>
        <w:rPr>
          <w:rStyle w:val="21"/>
          <w:rFonts w:hint="eastAsia" w:ascii="黑体" w:hAnsi="黑体" w:eastAsia="黑体"/>
        </w:rPr>
        <w:t>国有资本经营预算支出决算情况说明</w:t>
      </w:r>
      <w:bookmarkEnd w:id="46"/>
      <w:bookmarkEnd w:id="47"/>
    </w:p>
    <w:p>
      <w:pPr>
        <w:spacing w:line="560" w:lineRule="exact"/>
        <w:ind w:firstLine="640"/>
        <w:rPr>
          <w:rFonts w:ascii="方正小标宋简体" w:hAnsi="方正小标宋简体" w:eastAsia="方正小标宋简体" w:cs="方正小标宋简体"/>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22年国有资本经营预算财政拨款支出0.00万元。</w:t>
      </w:r>
    </w:p>
    <w:p>
      <w:pPr>
        <w:numPr>
          <w:ilvl w:val="0"/>
          <w:numId w:val="2"/>
        </w:numPr>
        <w:spacing w:line="560" w:lineRule="exact"/>
        <w:ind w:firstLine="640"/>
        <w:outlineLvl w:val="1"/>
        <w:rPr>
          <w:rStyle w:val="21"/>
          <w:rFonts w:ascii="黑体" w:hAnsi="黑体" w:eastAsia="黑体"/>
          <w:b w:val="0"/>
        </w:rPr>
      </w:pPr>
      <w:bookmarkStart w:id="48" w:name="_Toc15396612"/>
      <w:bookmarkStart w:id="49" w:name="_Toc15377221"/>
      <w:r>
        <w:rPr>
          <w:rStyle w:val="21"/>
          <w:rFonts w:hint="eastAsia" w:ascii="黑体" w:hAnsi="黑体" w:eastAsia="黑体"/>
        </w:rPr>
        <w:t>其他重要事项的情况说明</w:t>
      </w:r>
      <w:bookmarkEnd w:id="48"/>
      <w:bookmarkEnd w:id="49"/>
    </w:p>
    <w:p>
      <w:pPr>
        <w:snapToGrid w:val="0"/>
        <w:spacing w:line="560" w:lineRule="exact"/>
        <w:ind w:firstLine="640" w:firstLineChars="200"/>
        <w:outlineLvl w:val="2"/>
        <w:rPr>
          <w:rFonts w:ascii="楷体" w:hAnsi="楷体" w:eastAsia="楷体" w:cs="楷体"/>
          <w:bCs/>
          <w:sz w:val="32"/>
          <w:szCs w:val="32"/>
        </w:rPr>
      </w:pPr>
      <w:bookmarkStart w:id="50" w:name="_Toc15377222"/>
      <w:r>
        <w:rPr>
          <w:rFonts w:hint="eastAsia" w:ascii="楷体" w:hAnsi="楷体" w:eastAsia="楷体" w:cs="楷体"/>
          <w:bCs/>
          <w:sz w:val="32"/>
          <w:szCs w:val="32"/>
        </w:rPr>
        <w:t>（一）机关运行经费支出情况</w:t>
      </w:r>
      <w:bookmarkEnd w:id="50"/>
    </w:p>
    <w:p>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ascii="仿宋_GB2312" w:eastAsia="仿宋_GB2312"/>
          <w:sz w:val="32"/>
          <w:szCs w:val="32"/>
        </w:rPr>
        <w:t>20</w:t>
      </w:r>
      <w:r>
        <w:rPr>
          <w:rFonts w:hint="eastAsia" w:ascii="仿宋_GB2312" w:eastAsia="仿宋_GB2312"/>
          <w:sz w:val="32"/>
          <w:szCs w:val="32"/>
        </w:rPr>
        <w:t>22年，则天路小学运行经费支出0万元，比</w:t>
      </w:r>
      <w:r>
        <w:rPr>
          <w:rFonts w:ascii="仿宋_GB2312" w:eastAsia="仿宋_GB2312"/>
          <w:sz w:val="32"/>
          <w:szCs w:val="32"/>
        </w:rPr>
        <w:t>20</w:t>
      </w:r>
      <w:r>
        <w:rPr>
          <w:rFonts w:hint="eastAsia" w:ascii="仿宋_GB2312" w:eastAsia="仿宋_GB2312"/>
          <w:sz w:val="32"/>
          <w:szCs w:val="32"/>
        </w:rPr>
        <w:t>20年增加0万元，增长0</w:t>
      </w:r>
      <w:r>
        <w:rPr>
          <w:rFonts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w:t>
      </w:r>
    </w:p>
    <w:p>
      <w:pPr>
        <w:snapToGrid w:val="0"/>
        <w:spacing w:line="560" w:lineRule="exact"/>
        <w:ind w:firstLine="640" w:firstLineChars="200"/>
        <w:outlineLvl w:val="2"/>
        <w:rPr>
          <w:rFonts w:ascii="楷体" w:hAnsi="楷体" w:eastAsia="楷体" w:cs="楷体"/>
          <w:bCs/>
          <w:sz w:val="32"/>
          <w:szCs w:val="32"/>
        </w:rPr>
      </w:pPr>
      <w:bookmarkStart w:id="51" w:name="_Toc15377223"/>
      <w:r>
        <w:rPr>
          <w:rFonts w:hint="eastAsia" w:ascii="楷体" w:hAnsi="楷体" w:eastAsia="楷体" w:cs="楷体"/>
          <w:bCs/>
          <w:sz w:val="32"/>
          <w:szCs w:val="32"/>
        </w:rPr>
        <w:t>（二）政府采购支出情况</w:t>
      </w:r>
      <w:bookmarkEnd w:id="51"/>
    </w:p>
    <w:p>
      <w:pPr>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22年，则天路小学政府采购支出总额0万元。</w:t>
      </w:r>
    </w:p>
    <w:p>
      <w:pPr>
        <w:snapToGrid w:val="0"/>
        <w:spacing w:line="560" w:lineRule="exact"/>
        <w:ind w:firstLine="640" w:firstLineChars="200"/>
        <w:outlineLvl w:val="2"/>
        <w:rPr>
          <w:rFonts w:ascii="楷体" w:hAnsi="楷体" w:eastAsia="楷体" w:cs="楷体"/>
          <w:bCs/>
          <w:sz w:val="32"/>
          <w:szCs w:val="32"/>
        </w:rPr>
      </w:pPr>
      <w:bookmarkStart w:id="52" w:name="_Toc15377224"/>
      <w:r>
        <w:rPr>
          <w:rFonts w:hint="eastAsia" w:ascii="楷体" w:hAnsi="楷体" w:eastAsia="楷体" w:cs="楷体"/>
          <w:bCs/>
          <w:sz w:val="32"/>
          <w:szCs w:val="32"/>
        </w:rPr>
        <w:t>（三）国有资产占有使用情况</w:t>
      </w:r>
      <w:bookmarkEnd w:id="52"/>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日，利州区教育局共有车辆0辆，单价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spacing w:line="560" w:lineRule="exact"/>
        <w:ind w:left="630"/>
        <w:outlineLvl w:val="1"/>
        <w:rPr>
          <w:rStyle w:val="21"/>
          <w:rFonts w:ascii="楷体" w:hAnsi="楷体" w:eastAsia="楷体" w:cs="楷体"/>
          <w:b w:val="0"/>
          <w:bCs w:val="0"/>
        </w:rPr>
      </w:pPr>
      <w:r>
        <w:rPr>
          <w:rStyle w:val="21"/>
          <w:rFonts w:hint="eastAsia" w:ascii="楷体" w:hAnsi="楷体" w:eastAsia="楷体" w:cs="楷体"/>
          <w:b w:val="0"/>
          <w:bCs w:val="0"/>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根据预算绩效管理要求，本部门在2022年度预算编制阶段，组织</w:t>
      </w:r>
      <w:r>
        <w:rPr>
          <w:rFonts w:hint="eastAsia" w:ascii="楷体" w:hAnsi="楷体" w:eastAsia="楷体" w:cs="楷体"/>
          <w:sz w:val="32"/>
          <w:szCs w:val="32"/>
        </w:rPr>
        <w:t>对</w:t>
      </w:r>
      <w:r>
        <w:rPr>
          <w:rFonts w:hint="eastAsia" w:ascii="楷体" w:hAnsi="楷体" w:eastAsia="楷体" w:cs="楷体"/>
          <w:kern w:val="2"/>
          <w:sz w:val="32"/>
          <w:szCs w:val="32"/>
        </w:rPr>
        <w:t>教育附加支出</w:t>
      </w:r>
      <w:r>
        <w:rPr>
          <w:rFonts w:hint="eastAsia" w:ascii="楷体" w:hAnsi="楷体" w:eastAsia="楷体" w:cs="楷体"/>
          <w:sz w:val="32"/>
          <w:szCs w:val="32"/>
        </w:rPr>
        <w:t>项</w:t>
      </w:r>
      <w:r>
        <w:rPr>
          <w:rFonts w:hint="eastAsia" w:hAnsi="仿宋_GB2312" w:cs="仿宋_GB2312"/>
          <w:sz w:val="32"/>
          <w:szCs w:val="32"/>
        </w:rPr>
        <w:t>目等6个项目开展了预算事前绩效评估，对6个项目编制了绩效目标，预算执行过程中，选取6个项目开展绩效监控，年终执行完毕后，对6个项目开展了绩效自评，绩效自评表详见第四部分附件。</w:t>
      </w:r>
    </w:p>
    <w:p>
      <w:pPr>
        <w:spacing w:line="560" w:lineRule="exact"/>
        <w:ind w:firstLine="640" w:firstLineChars="200"/>
        <w:outlineLvl w:val="1"/>
        <w:rPr>
          <w:rFonts w:ascii="仿宋_GB2312" w:hAnsi="仿宋_GB2312" w:eastAsia="仿宋_GB2312" w:cs="仿宋_GB2312"/>
          <w:sz w:val="32"/>
          <w:szCs w:val="32"/>
        </w:rPr>
      </w:pPr>
    </w:p>
    <w:p>
      <w:pPr>
        <w:widowControl/>
        <w:jc w:val="left"/>
        <w:rPr>
          <w:rFonts w:ascii="仿宋_GB2312" w:eastAsia="仿宋_GB2312"/>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pStyle w:val="2"/>
        <w:spacing w:before="93"/>
        <w:rPr>
          <w:b/>
          <w:sz w:val="32"/>
          <w:szCs w:val="32"/>
        </w:rPr>
      </w:pPr>
    </w:p>
    <w:p>
      <w:pPr>
        <w:numPr>
          <w:ilvl w:val="0"/>
          <w:numId w:val="3"/>
        </w:numPr>
        <w:spacing w:line="600" w:lineRule="exact"/>
        <w:jc w:val="center"/>
        <w:outlineLvl w:val="0"/>
        <w:rPr>
          <w:rStyle w:val="20"/>
          <w:rFonts w:ascii="黑体" w:hAnsi="黑体" w:eastAsia="黑体"/>
          <w:b w:val="0"/>
        </w:rPr>
      </w:pPr>
      <w:bookmarkStart w:id="53" w:name="_Toc15396613"/>
      <w:bookmarkStart w:id="54" w:name="_Toc15377225"/>
      <w:r>
        <w:rPr>
          <w:rFonts w:hint="eastAsia" w:ascii="黑体" w:hAnsi="黑体" w:eastAsia="黑体"/>
          <w:sz w:val="44"/>
          <w:szCs w:val="44"/>
        </w:rPr>
        <w:t>名</w:t>
      </w:r>
      <w:r>
        <w:rPr>
          <w:rStyle w:val="20"/>
          <w:rFonts w:hint="eastAsia" w:ascii="黑体" w:hAnsi="黑体" w:eastAsia="黑体"/>
        </w:rPr>
        <w:t>词解释</w:t>
      </w:r>
      <w:bookmarkEnd w:id="53"/>
      <w:bookmarkEnd w:id="54"/>
    </w:p>
    <w:p>
      <w:pPr>
        <w:spacing w:line="600" w:lineRule="exact"/>
        <w:jc w:val="left"/>
        <w:rPr>
          <w:rFonts w:ascii="宋体"/>
          <w:b/>
          <w:sz w:val="44"/>
          <w:szCs w:val="44"/>
        </w:rPr>
      </w:pPr>
    </w:p>
    <w:p>
      <w:pPr>
        <w:snapToGrid w:val="0"/>
        <w:spacing w:line="560" w:lineRule="exact"/>
        <w:ind w:firstLine="640" w:firstLineChars="200"/>
        <w:rPr>
          <w:rFonts w:ascii="仿宋_GB2312" w:eastAsia="仿宋_GB2312"/>
          <w:sz w:val="32"/>
          <w:szCs w:val="32"/>
        </w:rPr>
      </w:pPr>
      <w:bookmarkStart w:id="55" w:name="_Toc15377226"/>
      <w:r>
        <w:rPr>
          <w:rFonts w:hint="eastAsia" w:ascii="仿宋_GB2312" w:eastAsia="仿宋_GB2312"/>
          <w:sz w:val="32"/>
          <w:szCs w:val="32"/>
        </w:rPr>
        <w:t>1.财政拨款收入：指单位从同级财政部门取得的财政预算资金。</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 xml:space="preserve">.其他收入：指单位取得的除上述收入以外的各项收入。主要是学前教育保育教育费收入、银行存款利息收入等。 </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 教育支出（类）教育管理事务（款）一般行政管理事务（项）:反映行政单位（包括实行公务员管理的事业单位）未单独设置项级科目的其它项目支出。</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 教育支出（类）教育管理事务（款）其它教育管理事务支出（项）:反映除上述项目以外其它用户教育管理事务方面的支出。</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 教育支出（类）普通教育（款）学前教育（项）:反映各部门举办的学前教育支出。</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 教育支出（类）普通教育（款）小学教育（项）:反映各部门举办的小学教育支出。政府各部门对社会中介组织等举办的小学的资助，如各类捐赠、补贴等，也在本科目中反映。</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 教育支出（类）教育附加费安排的支出（款）城市中小学校舍建设（项）: 反映教育附加费安排用于城市中小学校舍新建、改建、修缮和维护的支出。</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 教育支出（类）教育附加费安排的支出（款）其它教育附加费安排的支出（项）: 指除上述项目以外的教育附加费支出。</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 社会保障和就业支出（类）行政事业单位离退休（款）机关事业单位基本养老保险缴费支出（项）: 指机关事业单位实施养老保险制度由单位缴纳的基本养老保险费支出。</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 社会保障和就业支出（类）行政事业单位离退休（款）机关事业单位职业年金缴费支出（项）: 指机关事业单位实施养老保险制度由单位实际缴纳的职业年金支出。</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 社会保障和就业支出（类）抚恤（款）死亡抚恤（项）: 指按规定用于烈士和牺牲、病故人员家属的一次性和定期抚恤金以及丧葬补助费。</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 住房保障支出（类）住房改革支出（款）住房公积金（项）: 指行政事业单位按人力资源和社会保障部、财政部规定的基本工资和津贴补贴以及规定比例为职工缴纳的住房公积金。</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 基本支出：指为保障机构正常运转、完成日常工作任务而发生的人员支出和公用支出。</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 xml:space="preserve">. 项目支出：指在基本支出之外为完成特定行政任务和事业发展目标所发生的支出。 </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numPr>
          <w:ilvl w:val="0"/>
          <w:numId w:val="3"/>
        </w:numPr>
        <w:spacing w:line="600" w:lineRule="exact"/>
        <w:jc w:val="center"/>
        <w:outlineLvl w:val="0"/>
        <w:rPr>
          <w:rStyle w:val="20"/>
          <w:rFonts w:ascii="黑体" w:hAnsi="黑体" w:eastAsia="黑体"/>
          <w:b w:val="0"/>
        </w:rPr>
      </w:pPr>
      <w:bookmarkStart w:id="56" w:name="_Toc15396614"/>
      <w:r>
        <w:rPr>
          <w:rStyle w:val="20"/>
          <w:rFonts w:hint="eastAsia" w:ascii="黑体" w:hAnsi="黑体" w:eastAsia="黑体"/>
        </w:rPr>
        <w:t>附件</w:t>
      </w:r>
      <w:bookmarkEnd w:id="56"/>
    </w:p>
    <w:p>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部门预算项目支出绩效自评表（2022年度）</w:t>
      </w:r>
    </w:p>
    <w:p>
      <w:pPr>
        <w:pStyle w:val="2"/>
        <w:spacing w:before="93"/>
      </w:pPr>
    </w:p>
    <w:p>
      <w:pPr>
        <w:pStyle w:val="2"/>
        <w:spacing w:before="93"/>
      </w:pPr>
    </w:p>
    <w:p>
      <w:pPr>
        <w:pStyle w:val="2"/>
        <w:spacing w:before="93"/>
      </w:pPr>
    </w:p>
    <w:p>
      <w:pPr>
        <w:spacing w:line="600" w:lineRule="exact"/>
        <w:jc w:val="center"/>
        <w:outlineLvl w:val="0"/>
        <w:rPr>
          <w:rFonts w:hint="eastAsia" w:ascii="黑体" w:hAnsi="黑体" w:eastAsia="黑体"/>
          <w:sz w:val="44"/>
          <w:szCs w:val="44"/>
        </w:rPr>
      </w:pPr>
      <w:bookmarkStart w:id="57" w:name="_Toc15396618"/>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0"/>
          <w:rFonts w:hint="eastAsia" w:ascii="黑体" w:hAnsi="黑体" w:eastAsia="黑体"/>
        </w:rPr>
        <w:t>五部分 附表</w:t>
      </w:r>
      <w:bookmarkEnd w:id="55"/>
      <w:bookmarkEnd w:id="57"/>
      <w:bookmarkStart w:id="58" w:name="_Toc15396619"/>
    </w:p>
    <w:p>
      <w:pPr>
        <w:pStyle w:val="4"/>
        <w:snapToGrid w:val="0"/>
        <w:spacing w:before="0" w:after="0" w:line="360" w:lineRule="auto"/>
        <w:rPr>
          <w:rFonts w:ascii="仿宋" w:hAnsi="仿宋" w:eastAsia="仿宋"/>
          <w:b w:val="0"/>
        </w:rPr>
      </w:pPr>
    </w:p>
    <w:p>
      <w:pPr>
        <w:pStyle w:val="4"/>
        <w:snapToGrid w:val="0"/>
        <w:spacing w:before="0" w:after="0" w:line="360" w:lineRule="auto"/>
        <w:ind w:firstLine="640" w:firstLineChars="200"/>
        <w:rPr>
          <w:rFonts w:ascii="仿宋" w:hAnsi="仿宋" w:eastAsia="仿宋"/>
        </w:rPr>
      </w:pPr>
      <w:r>
        <w:rPr>
          <w:rFonts w:hint="eastAsia" w:ascii="仿宋" w:hAnsi="仿宋" w:eastAsia="仿宋"/>
          <w:b w:val="0"/>
        </w:rPr>
        <w:t>一、收</w:t>
      </w:r>
      <w:r>
        <w:rPr>
          <w:rStyle w:val="21"/>
          <w:rFonts w:hint="eastAsia" w:ascii="仿宋" w:hAnsi="仿宋" w:eastAsia="仿宋"/>
          <w:b w:val="0"/>
          <w:bCs w:val="0"/>
        </w:rPr>
        <w:t>入支出决算总表</w:t>
      </w:r>
      <w:bookmarkEnd w:id="58"/>
    </w:p>
    <w:p>
      <w:pPr>
        <w:pStyle w:val="4"/>
        <w:snapToGrid w:val="0"/>
        <w:spacing w:before="0" w:after="0" w:line="360" w:lineRule="auto"/>
        <w:ind w:firstLine="640" w:firstLineChars="200"/>
        <w:rPr>
          <w:rFonts w:ascii="仿宋" w:hAnsi="仿宋" w:eastAsia="仿宋"/>
        </w:rPr>
      </w:pPr>
      <w:bookmarkStart w:id="59" w:name="_Toc15396620"/>
      <w:r>
        <w:rPr>
          <w:rFonts w:hint="eastAsia" w:ascii="仿宋" w:hAnsi="仿宋" w:eastAsia="仿宋"/>
          <w:b w:val="0"/>
        </w:rPr>
        <w:t>二、收</w:t>
      </w:r>
      <w:r>
        <w:rPr>
          <w:rStyle w:val="21"/>
          <w:rFonts w:hint="eastAsia" w:ascii="仿宋" w:hAnsi="仿宋" w:eastAsia="仿宋"/>
          <w:b w:val="0"/>
          <w:bCs w:val="0"/>
        </w:rPr>
        <w:t>入决算表</w:t>
      </w:r>
      <w:bookmarkEnd w:id="59"/>
    </w:p>
    <w:p>
      <w:pPr>
        <w:pStyle w:val="4"/>
        <w:snapToGrid w:val="0"/>
        <w:spacing w:before="0" w:after="0" w:line="360" w:lineRule="auto"/>
        <w:ind w:firstLine="640" w:firstLineChars="200"/>
        <w:rPr>
          <w:rFonts w:ascii="仿宋" w:hAnsi="仿宋" w:eastAsia="仿宋"/>
        </w:rPr>
      </w:pPr>
      <w:bookmarkStart w:id="60" w:name="_Toc15396621"/>
      <w:r>
        <w:rPr>
          <w:rStyle w:val="21"/>
          <w:rFonts w:hint="eastAsia" w:ascii="仿宋" w:hAnsi="仿宋" w:eastAsia="仿宋"/>
          <w:b w:val="0"/>
          <w:bCs w:val="0"/>
        </w:rPr>
        <w:t>三、</w:t>
      </w:r>
      <w:r>
        <w:rPr>
          <w:rFonts w:hint="eastAsia" w:ascii="仿宋" w:hAnsi="仿宋" w:eastAsia="仿宋"/>
          <w:b w:val="0"/>
        </w:rPr>
        <w:t>支</w:t>
      </w:r>
      <w:r>
        <w:rPr>
          <w:rStyle w:val="21"/>
          <w:rFonts w:hint="eastAsia" w:ascii="仿宋" w:hAnsi="仿宋" w:eastAsia="仿宋"/>
          <w:b w:val="0"/>
          <w:bCs w:val="0"/>
        </w:rPr>
        <w:t>出决算表</w:t>
      </w:r>
      <w:bookmarkEnd w:id="60"/>
    </w:p>
    <w:p>
      <w:pPr>
        <w:pStyle w:val="4"/>
        <w:snapToGrid w:val="0"/>
        <w:spacing w:before="0" w:after="0" w:line="360" w:lineRule="auto"/>
        <w:ind w:firstLine="640" w:firstLineChars="200"/>
        <w:rPr>
          <w:rFonts w:ascii="仿宋" w:hAnsi="仿宋" w:eastAsia="仿宋"/>
          <w:b w:val="0"/>
        </w:rPr>
      </w:pPr>
      <w:bookmarkStart w:id="61" w:name="_Toc15396622"/>
      <w:r>
        <w:rPr>
          <w:rStyle w:val="21"/>
          <w:rFonts w:hint="eastAsia" w:ascii="仿宋" w:hAnsi="仿宋" w:eastAsia="仿宋"/>
          <w:b w:val="0"/>
          <w:bCs w:val="0"/>
        </w:rPr>
        <w:t>四、</w:t>
      </w:r>
      <w:r>
        <w:rPr>
          <w:rFonts w:hint="eastAsia" w:ascii="仿宋" w:hAnsi="仿宋" w:eastAsia="仿宋"/>
          <w:b w:val="0"/>
        </w:rPr>
        <w:t>财</w:t>
      </w:r>
      <w:r>
        <w:rPr>
          <w:rStyle w:val="21"/>
          <w:rFonts w:hint="eastAsia" w:ascii="仿宋" w:hAnsi="仿宋" w:eastAsia="仿宋"/>
          <w:b w:val="0"/>
          <w:bCs w:val="0"/>
        </w:rPr>
        <w:t>政拨款收入支出决算总表</w:t>
      </w:r>
      <w:bookmarkEnd w:id="61"/>
    </w:p>
    <w:p>
      <w:pPr>
        <w:pStyle w:val="4"/>
        <w:snapToGrid w:val="0"/>
        <w:spacing w:before="0" w:after="0" w:line="360" w:lineRule="auto"/>
        <w:ind w:firstLine="640" w:firstLineChars="200"/>
        <w:rPr>
          <w:rStyle w:val="21"/>
          <w:rFonts w:ascii="仿宋" w:hAnsi="仿宋" w:eastAsia="仿宋"/>
          <w:b w:val="0"/>
          <w:bCs w:val="0"/>
        </w:rPr>
      </w:pPr>
      <w:bookmarkStart w:id="62" w:name="_Toc15396623"/>
      <w:r>
        <w:rPr>
          <w:rStyle w:val="21"/>
          <w:rFonts w:hint="eastAsia" w:ascii="仿宋" w:hAnsi="仿宋" w:eastAsia="仿宋"/>
          <w:b w:val="0"/>
          <w:bCs w:val="0"/>
        </w:rPr>
        <w:t>五、</w:t>
      </w:r>
      <w:r>
        <w:rPr>
          <w:rFonts w:hint="eastAsia" w:ascii="仿宋" w:hAnsi="仿宋" w:eastAsia="仿宋"/>
          <w:b w:val="0"/>
        </w:rPr>
        <w:t>财</w:t>
      </w:r>
      <w:r>
        <w:rPr>
          <w:rStyle w:val="21"/>
          <w:rFonts w:hint="eastAsia" w:ascii="仿宋" w:hAnsi="仿宋" w:eastAsia="仿宋"/>
          <w:b w:val="0"/>
          <w:bCs w:val="0"/>
        </w:rPr>
        <w:t>政拨款支出决算明细表</w:t>
      </w:r>
      <w:bookmarkEnd w:id="62"/>
      <w:bookmarkStart w:id="63" w:name="_Toc15396624"/>
    </w:p>
    <w:p>
      <w:pPr>
        <w:pStyle w:val="4"/>
        <w:snapToGrid w:val="0"/>
        <w:spacing w:before="0" w:after="0" w:line="360" w:lineRule="auto"/>
        <w:ind w:firstLine="640" w:firstLineChars="200"/>
        <w:rPr>
          <w:rFonts w:ascii="仿宋" w:hAnsi="仿宋" w:eastAsia="仿宋"/>
        </w:rPr>
      </w:pPr>
      <w:r>
        <w:rPr>
          <w:rStyle w:val="21"/>
          <w:rFonts w:hint="eastAsia" w:ascii="仿宋" w:hAnsi="仿宋" w:eastAsia="仿宋"/>
          <w:b w:val="0"/>
          <w:bCs w:val="0"/>
        </w:rPr>
        <w:t>六、</w:t>
      </w:r>
      <w:r>
        <w:rPr>
          <w:rFonts w:hint="eastAsia" w:ascii="仿宋" w:hAnsi="仿宋" w:eastAsia="仿宋"/>
          <w:b w:val="0"/>
        </w:rPr>
        <w:t>一</w:t>
      </w:r>
      <w:r>
        <w:rPr>
          <w:rStyle w:val="21"/>
          <w:rFonts w:hint="eastAsia" w:ascii="仿宋" w:hAnsi="仿宋" w:eastAsia="仿宋"/>
          <w:b w:val="0"/>
          <w:bCs w:val="0"/>
        </w:rPr>
        <w:t>般公共预算财政拨款支出决算表</w:t>
      </w:r>
      <w:bookmarkEnd w:id="63"/>
    </w:p>
    <w:p>
      <w:pPr>
        <w:pStyle w:val="4"/>
        <w:snapToGrid w:val="0"/>
        <w:spacing w:before="0" w:after="0" w:line="360" w:lineRule="auto"/>
        <w:ind w:firstLine="640" w:firstLineChars="200"/>
        <w:rPr>
          <w:rFonts w:ascii="仿宋" w:hAnsi="仿宋" w:eastAsia="仿宋"/>
        </w:rPr>
      </w:pPr>
      <w:bookmarkStart w:id="64" w:name="_Toc15396625"/>
      <w:r>
        <w:rPr>
          <w:rStyle w:val="21"/>
          <w:rFonts w:hint="eastAsia" w:ascii="仿宋" w:hAnsi="仿宋" w:eastAsia="仿宋"/>
          <w:b w:val="0"/>
          <w:bCs w:val="0"/>
        </w:rPr>
        <w:t>七、</w:t>
      </w:r>
      <w:r>
        <w:rPr>
          <w:rFonts w:hint="eastAsia" w:ascii="仿宋" w:hAnsi="仿宋" w:eastAsia="仿宋"/>
          <w:b w:val="0"/>
        </w:rPr>
        <w:t>一</w:t>
      </w:r>
      <w:r>
        <w:rPr>
          <w:rStyle w:val="21"/>
          <w:rFonts w:hint="eastAsia" w:ascii="仿宋" w:hAnsi="仿宋" w:eastAsia="仿宋"/>
          <w:b w:val="0"/>
          <w:bCs w:val="0"/>
        </w:rPr>
        <w:t>般公共预算财政拨款支出决算明细表</w:t>
      </w:r>
      <w:bookmarkEnd w:id="64"/>
    </w:p>
    <w:p>
      <w:pPr>
        <w:pStyle w:val="4"/>
        <w:snapToGrid w:val="0"/>
        <w:spacing w:before="0" w:after="0" w:line="360" w:lineRule="auto"/>
        <w:ind w:firstLine="640" w:firstLineChars="200"/>
        <w:rPr>
          <w:rFonts w:ascii="仿宋" w:hAnsi="仿宋" w:eastAsia="仿宋"/>
        </w:rPr>
      </w:pPr>
      <w:bookmarkStart w:id="65" w:name="_Toc15396626"/>
      <w:r>
        <w:rPr>
          <w:rStyle w:val="21"/>
          <w:rFonts w:hint="eastAsia" w:ascii="仿宋" w:hAnsi="仿宋" w:eastAsia="仿宋"/>
          <w:b w:val="0"/>
          <w:bCs w:val="0"/>
        </w:rPr>
        <w:t>八、</w:t>
      </w:r>
      <w:r>
        <w:rPr>
          <w:rFonts w:hint="eastAsia" w:ascii="仿宋" w:hAnsi="仿宋" w:eastAsia="仿宋"/>
          <w:b w:val="0"/>
        </w:rPr>
        <w:t>一</w:t>
      </w:r>
      <w:r>
        <w:rPr>
          <w:rStyle w:val="21"/>
          <w:rFonts w:hint="eastAsia" w:ascii="仿宋" w:hAnsi="仿宋" w:eastAsia="仿宋"/>
          <w:b w:val="0"/>
          <w:bCs w:val="0"/>
        </w:rPr>
        <w:t>般公共预算财政拨款基本支出决算表</w:t>
      </w:r>
      <w:bookmarkEnd w:id="65"/>
    </w:p>
    <w:p>
      <w:pPr>
        <w:pStyle w:val="4"/>
        <w:snapToGrid w:val="0"/>
        <w:spacing w:before="0" w:after="0" w:line="360" w:lineRule="auto"/>
        <w:ind w:firstLine="640" w:firstLineChars="200"/>
        <w:rPr>
          <w:rFonts w:ascii="仿宋" w:hAnsi="仿宋" w:eastAsia="仿宋"/>
        </w:rPr>
      </w:pPr>
      <w:bookmarkStart w:id="66" w:name="_Toc15396627"/>
      <w:r>
        <w:rPr>
          <w:rStyle w:val="21"/>
          <w:rFonts w:hint="eastAsia" w:ascii="仿宋" w:hAnsi="仿宋" w:eastAsia="仿宋"/>
          <w:b w:val="0"/>
          <w:bCs w:val="0"/>
        </w:rPr>
        <w:t>九、</w:t>
      </w:r>
      <w:r>
        <w:rPr>
          <w:rFonts w:hint="eastAsia" w:ascii="仿宋" w:hAnsi="仿宋" w:eastAsia="仿宋"/>
          <w:b w:val="0"/>
        </w:rPr>
        <w:t>一</w:t>
      </w:r>
      <w:r>
        <w:rPr>
          <w:rStyle w:val="21"/>
          <w:rFonts w:hint="eastAsia" w:ascii="仿宋" w:hAnsi="仿宋" w:eastAsia="仿宋"/>
          <w:b w:val="0"/>
          <w:bCs w:val="0"/>
        </w:rPr>
        <w:t>般公共预算财政拨款项目支出决算表</w:t>
      </w:r>
      <w:bookmarkEnd w:id="66"/>
    </w:p>
    <w:p>
      <w:pPr>
        <w:pStyle w:val="4"/>
        <w:ind w:firstLine="640" w:firstLineChars="200"/>
        <w:rPr>
          <w:rFonts w:ascii="仿宋" w:hAnsi="仿宋" w:eastAsia="仿宋"/>
        </w:rPr>
      </w:pPr>
      <w:bookmarkStart w:id="67" w:name="_Toc15396628"/>
      <w:r>
        <w:rPr>
          <w:rStyle w:val="21"/>
          <w:rFonts w:hint="eastAsia" w:ascii="仿宋" w:hAnsi="仿宋" w:eastAsia="仿宋"/>
          <w:b w:val="0"/>
          <w:bCs w:val="0"/>
        </w:rPr>
        <w:t>十、</w:t>
      </w:r>
      <w:bookmarkEnd w:id="67"/>
      <w:r>
        <w:rPr>
          <w:rFonts w:hint="eastAsia" w:ascii="仿宋" w:hAnsi="仿宋" w:eastAsia="仿宋"/>
          <w:b w:val="0"/>
        </w:rPr>
        <w:t>政</w:t>
      </w:r>
      <w:r>
        <w:rPr>
          <w:rStyle w:val="21"/>
          <w:rFonts w:hint="eastAsia" w:ascii="仿宋" w:hAnsi="仿宋" w:eastAsia="仿宋"/>
          <w:b w:val="0"/>
          <w:bCs w:val="0"/>
        </w:rPr>
        <w:t>府性基金预算财政拨款收入支出决算表</w:t>
      </w:r>
    </w:p>
    <w:p>
      <w:pPr>
        <w:pStyle w:val="4"/>
        <w:ind w:firstLine="640" w:firstLineChars="200"/>
        <w:rPr>
          <w:rFonts w:ascii="仿宋" w:hAnsi="仿宋" w:eastAsia="仿宋"/>
        </w:rPr>
      </w:pPr>
      <w:bookmarkStart w:id="68" w:name="_Toc15396629"/>
      <w:r>
        <w:rPr>
          <w:rStyle w:val="21"/>
          <w:rFonts w:hint="eastAsia" w:ascii="仿宋" w:hAnsi="仿宋" w:eastAsia="仿宋"/>
          <w:b w:val="0"/>
          <w:bCs w:val="0"/>
        </w:rPr>
        <w:t>十一、</w:t>
      </w:r>
      <w:bookmarkEnd w:id="68"/>
      <w:r>
        <w:rPr>
          <w:rFonts w:hint="eastAsia" w:ascii="仿宋" w:hAnsi="仿宋" w:eastAsia="仿宋"/>
          <w:b w:val="0"/>
        </w:rPr>
        <w:t>国</w:t>
      </w:r>
      <w:r>
        <w:rPr>
          <w:rStyle w:val="21"/>
          <w:rFonts w:hint="eastAsia" w:ascii="仿宋" w:hAnsi="仿宋" w:eastAsia="仿宋"/>
          <w:b w:val="0"/>
          <w:bCs w:val="0"/>
        </w:rPr>
        <w:t>有资本经营预算财政拨款收入支出决算表</w:t>
      </w:r>
    </w:p>
    <w:p>
      <w:pPr>
        <w:pStyle w:val="4"/>
        <w:ind w:firstLine="640" w:firstLineChars="200"/>
        <w:rPr>
          <w:rFonts w:ascii="仿宋" w:hAnsi="仿宋" w:eastAsia="仿宋"/>
        </w:rPr>
      </w:pPr>
      <w:bookmarkStart w:id="69" w:name="_Toc15396630"/>
      <w:r>
        <w:rPr>
          <w:rStyle w:val="21"/>
          <w:rFonts w:hint="eastAsia" w:ascii="仿宋" w:hAnsi="仿宋" w:eastAsia="仿宋"/>
          <w:b w:val="0"/>
          <w:bCs w:val="0"/>
        </w:rPr>
        <w:t>十二、</w:t>
      </w:r>
      <w:bookmarkEnd w:id="69"/>
      <w:r>
        <w:rPr>
          <w:rStyle w:val="21"/>
          <w:rFonts w:hint="eastAsia" w:ascii="仿宋" w:hAnsi="仿宋" w:eastAsia="仿宋"/>
          <w:b w:val="0"/>
          <w:bCs w:val="0"/>
        </w:rPr>
        <w:t>国有资本经营预算财政拨款支出决算表</w:t>
      </w:r>
    </w:p>
    <w:p>
      <w:pPr>
        <w:pStyle w:val="4"/>
        <w:ind w:firstLine="640" w:firstLineChars="200"/>
        <w:rPr>
          <w:rFonts w:eastAsia="仿宋"/>
        </w:rPr>
      </w:pPr>
      <w:bookmarkStart w:id="70" w:name="_Toc15396631"/>
      <w:r>
        <w:rPr>
          <w:rStyle w:val="21"/>
          <w:rFonts w:hint="eastAsia" w:ascii="仿宋" w:hAnsi="仿宋" w:eastAsia="仿宋"/>
          <w:b w:val="0"/>
          <w:bCs w:val="0"/>
        </w:rPr>
        <w:t>十三、</w:t>
      </w:r>
      <w:bookmarkEnd w:id="70"/>
      <w:r>
        <w:rPr>
          <w:rStyle w:val="21"/>
          <w:rFonts w:hint="eastAsia" w:ascii="仿宋" w:hAnsi="仿宋" w:eastAsia="仿宋"/>
          <w:b w:val="0"/>
          <w:bCs w:val="0"/>
        </w:rPr>
        <w:t>财政拨款“三公”经费支出决算表</w:t>
      </w:r>
    </w:p>
    <w:p/>
    <w:sectPr>
      <w:footerReference r:id="rId4" w:type="default"/>
      <w:type w:val="continuous"/>
      <w:pgSz w:w="11906" w:h="16838"/>
      <w:pgMar w:top="1701" w:right="1474" w:bottom="1701" w:left="1587"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679"/>
      <w:rPr>
        <w:rFonts w:ascii="仿宋" w:hAnsi="仿宋" w:eastAsia="仿宋" w:cs="仿宋"/>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2U2YmU0MmY3YmU1OWFkYTNkODE0NjcwNWY1MzAifQ=="/>
  </w:docVars>
  <w:rsids>
    <w:rsidRoot w:val="002D3EA9"/>
    <w:rsid w:val="0000653F"/>
    <w:rsid w:val="00122666"/>
    <w:rsid w:val="001B6563"/>
    <w:rsid w:val="001C39B4"/>
    <w:rsid w:val="002D3C47"/>
    <w:rsid w:val="002D3EA9"/>
    <w:rsid w:val="003122C5"/>
    <w:rsid w:val="003161AE"/>
    <w:rsid w:val="0038306A"/>
    <w:rsid w:val="003F38E7"/>
    <w:rsid w:val="004160D8"/>
    <w:rsid w:val="00426380"/>
    <w:rsid w:val="004475EE"/>
    <w:rsid w:val="00480539"/>
    <w:rsid w:val="00541B65"/>
    <w:rsid w:val="005A7B21"/>
    <w:rsid w:val="005D3643"/>
    <w:rsid w:val="005F01FA"/>
    <w:rsid w:val="0065076E"/>
    <w:rsid w:val="00702748"/>
    <w:rsid w:val="00730901"/>
    <w:rsid w:val="00744439"/>
    <w:rsid w:val="00746305"/>
    <w:rsid w:val="00766478"/>
    <w:rsid w:val="0077449E"/>
    <w:rsid w:val="00846174"/>
    <w:rsid w:val="00860127"/>
    <w:rsid w:val="008659C5"/>
    <w:rsid w:val="0087394C"/>
    <w:rsid w:val="00880C5D"/>
    <w:rsid w:val="00957E8C"/>
    <w:rsid w:val="009720DE"/>
    <w:rsid w:val="009A38D1"/>
    <w:rsid w:val="00A02D1B"/>
    <w:rsid w:val="00A1659E"/>
    <w:rsid w:val="00A408B5"/>
    <w:rsid w:val="00A539FB"/>
    <w:rsid w:val="00A74FAF"/>
    <w:rsid w:val="00AB14A6"/>
    <w:rsid w:val="00AB1D2E"/>
    <w:rsid w:val="00AB1EA9"/>
    <w:rsid w:val="00AB7838"/>
    <w:rsid w:val="00B3138D"/>
    <w:rsid w:val="00B53DA3"/>
    <w:rsid w:val="00BF3FE1"/>
    <w:rsid w:val="00C05814"/>
    <w:rsid w:val="00C21E04"/>
    <w:rsid w:val="00CB6250"/>
    <w:rsid w:val="00CF2E4C"/>
    <w:rsid w:val="00D16DB3"/>
    <w:rsid w:val="00D6503B"/>
    <w:rsid w:val="00DA0D2C"/>
    <w:rsid w:val="00E542E4"/>
    <w:rsid w:val="00E73BAA"/>
    <w:rsid w:val="00EA3B38"/>
    <w:rsid w:val="00F26D56"/>
    <w:rsid w:val="00F33F85"/>
    <w:rsid w:val="00F8464D"/>
    <w:rsid w:val="00FF35D8"/>
    <w:rsid w:val="044B0724"/>
    <w:rsid w:val="05AC22B4"/>
    <w:rsid w:val="05CD222A"/>
    <w:rsid w:val="061816F7"/>
    <w:rsid w:val="06C615CA"/>
    <w:rsid w:val="06D72A0D"/>
    <w:rsid w:val="07515139"/>
    <w:rsid w:val="088A5FAE"/>
    <w:rsid w:val="09493FDD"/>
    <w:rsid w:val="0A2763AD"/>
    <w:rsid w:val="10F93ED3"/>
    <w:rsid w:val="1200156C"/>
    <w:rsid w:val="1283614B"/>
    <w:rsid w:val="130A686C"/>
    <w:rsid w:val="13146495"/>
    <w:rsid w:val="13174AE5"/>
    <w:rsid w:val="1641787C"/>
    <w:rsid w:val="16817911"/>
    <w:rsid w:val="1726179A"/>
    <w:rsid w:val="17D75683"/>
    <w:rsid w:val="19353F17"/>
    <w:rsid w:val="194A5C14"/>
    <w:rsid w:val="19D61256"/>
    <w:rsid w:val="1A251EDF"/>
    <w:rsid w:val="1A330456"/>
    <w:rsid w:val="1A6B7339"/>
    <w:rsid w:val="1A7E5A06"/>
    <w:rsid w:val="1C0C301E"/>
    <w:rsid w:val="1D175E0D"/>
    <w:rsid w:val="1F1E3599"/>
    <w:rsid w:val="1FA06AF9"/>
    <w:rsid w:val="21327383"/>
    <w:rsid w:val="245C2C9F"/>
    <w:rsid w:val="250749B9"/>
    <w:rsid w:val="25861359"/>
    <w:rsid w:val="29693E94"/>
    <w:rsid w:val="2B920B4C"/>
    <w:rsid w:val="2DE003FC"/>
    <w:rsid w:val="30B04157"/>
    <w:rsid w:val="317C6EE4"/>
    <w:rsid w:val="31BD2FCF"/>
    <w:rsid w:val="32FD11AA"/>
    <w:rsid w:val="34AA710F"/>
    <w:rsid w:val="35330727"/>
    <w:rsid w:val="35EB5C31"/>
    <w:rsid w:val="364517E5"/>
    <w:rsid w:val="37DD35D4"/>
    <w:rsid w:val="38341B11"/>
    <w:rsid w:val="3AD01570"/>
    <w:rsid w:val="3B936B4F"/>
    <w:rsid w:val="3C3E62A8"/>
    <w:rsid w:val="3EEC1527"/>
    <w:rsid w:val="3EFE4478"/>
    <w:rsid w:val="3F741C3F"/>
    <w:rsid w:val="40B651AD"/>
    <w:rsid w:val="41327E9E"/>
    <w:rsid w:val="418B1EC6"/>
    <w:rsid w:val="419C418F"/>
    <w:rsid w:val="431247FD"/>
    <w:rsid w:val="432C5DEE"/>
    <w:rsid w:val="43560B8E"/>
    <w:rsid w:val="43BE6733"/>
    <w:rsid w:val="43C57AC2"/>
    <w:rsid w:val="44527D08"/>
    <w:rsid w:val="47A66CBD"/>
    <w:rsid w:val="488B752C"/>
    <w:rsid w:val="48BD16AF"/>
    <w:rsid w:val="48FA2BDA"/>
    <w:rsid w:val="4A5D4EF8"/>
    <w:rsid w:val="4B31016F"/>
    <w:rsid w:val="4C4C3337"/>
    <w:rsid w:val="4CC14F3D"/>
    <w:rsid w:val="4DBF37D4"/>
    <w:rsid w:val="4E330EC2"/>
    <w:rsid w:val="50AC6291"/>
    <w:rsid w:val="522D51B0"/>
    <w:rsid w:val="52A1794C"/>
    <w:rsid w:val="52D63A99"/>
    <w:rsid w:val="53BC2C8F"/>
    <w:rsid w:val="54280325"/>
    <w:rsid w:val="548117E3"/>
    <w:rsid w:val="55297258"/>
    <w:rsid w:val="559A7000"/>
    <w:rsid w:val="5640122A"/>
    <w:rsid w:val="58BA52C3"/>
    <w:rsid w:val="58CA7BFC"/>
    <w:rsid w:val="5B020F51"/>
    <w:rsid w:val="5B274DD4"/>
    <w:rsid w:val="5BC052E6"/>
    <w:rsid w:val="5C8C5454"/>
    <w:rsid w:val="5D8660BC"/>
    <w:rsid w:val="5D9B3A55"/>
    <w:rsid w:val="5DAF3E48"/>
    <w:rsid w:val="5E3571D9"/>
    <w:rsid w:val="5F93686E"/>
    <w:rsid w:val="6005776C"/>
    <w:rsid w:val="602A2D2E"/>
    <w:rsid w:val="646070DD"/>
    <w:rsid w:val="648B4D97"/>
    <w:rsid w:val="64B33C3A"/>
    <w:rsid w:val="653528A1"/>
    <w:rsid w:val="66A7157D"/>
    <w:rsid w:val="67C779FD"/>
    <w:rsid w:val="68B166E3"/>
    <w:rsid w:val="69E457AC"/>
    <w:rsid w:val="6A363A7A"/>
    <w:rsid w:val="6A9575DC"/>
    <w:rsid w:val="6DA94D04"/>
    <w:rsid w:val="6EBF3A99"/>
    <w:rsid w:val="6EE42423"/>
    <w:rsid w:val="6F833C35"/>
    <w:rsid w:val="71BC1338"/>
    <w:rsid w:val="730D3E03"/>
    <w:rsid w:val="754E350B"/>
    <w:rsid w:val="76D46CA8"/>
    <w:rsid w:val="76E934EC"/>
    <w:rsid w:val="7730111A"/>
    <w:rsid w:val="78B673FD"/>
    <w:rsid w:val="7AD42C83"/>
    <w:rsid w:val="7B6072A3"/>
    <w:rsid w:val="7BA94FF8"/>
    <w:rsid w:val="7CAB2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hAnsi="Times New Roman" w:eastAsia="仿宋_GB2312" w:cs="Times New Roman"/>
      <w:kern w:val="0"/>
      <w:sz w:val="30"/>
      <w:szCs w:val="24"/>
    </w:rPr>
  </w:style>
  <w:style w:type="paragraph" w:styleId="6">
    <w:name w:val="toc 3"/>
    <w:basedOn w:val="1"/>
    <w:next w:val="1"/>
    <w:unhideWhenUsed/>
    <w:qFormat/>
    <w:uiPriority w:val="39"/>
    <w:pPr>
      <w:tabs>
        <w:tab w:val="right" w:leader="dot" w:pos="8296"/>
      </w:tabs>
      <w:ind w:left="840" w:leftChars="400"/>
    </w:pPr>
    <w:rPr>
      <w:rFonts w:ascii="Times New Roman" w:hAnsi="Times New Roman" w:eastAsia="宋体" w:cs="Times New Roman"/>
      <w:szCs w:val="24"/>
    </w:rPr>
  </w:style>
  <w:style w:type="paragraph" w:styleId="7">
    <w:name w:val="Balloon Text"/>
    <w:basedOn w:val="1"/>
    <w:link w:val="24"/>
    <w:semiHidden/>
    <w:unhideWhenUsed/>
    <w:qFormat/>
    <w:uiPriority w:val="99"/>
    <w:rPr>
      <w:rFonts w:ascii="Times New Roman" w:hAnsi="Times New Roman" w:eastAsia="宋体" w:cs="Times New Roman"/>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cs="Times New Roman"/>
      <w:sz w:val="28"/>
      <w:szCs w:val="28"/>
    </w:rPr>
  </w:style>
  <w:style w:type="paragraph" w:styleId="11">
    <w:name w:val="toc 2"/>
    <w:basedOn w:val="1"/>
    <w:next w:val="1"/>
    <w:unhideWhenUsed/>
    <w:qFormat/>
    <w:uiPriority w:val="39"/>
    <w:pPr>
      <w:tabs>
        <w:tab w:val="right" w:leader="dot" w:pos="8296"/>
      </w:tabs>
      <w:ind w:left="420" w:leftChars="200"/>
    </w:pPr>
    <w:rPr>
      <w:rFonts w:ascii="Times New Roman" w:hAnsi="Times New Roman" w:eastAsia="宋体" w:cs="Times New Roman"/>
      <w:szCs w:val="24"/>
    </w:rPr>
  </w:style>
  <w:style w:type="paragraph" w:styleId="12">
    <w:name w:val="Body Text 2"/>
    <w:basedOn w:val="1"/>
    <w:link w:val="27"/>
    <w:unhideWhenUsed/>
    <w:qFormat/>
    <w:uiPriority w:val="0"/>
    <w:pPr>
      <w:spacing w:before="120" w:after="120"/>
      <w:ind w:firstLine="640"/>
      <w:jc w:val="center"/>
    </w:pPr>
    <w:rPr>
      <w:rFonts w:ascii="宋体" w:hAnsi="宋体" w:eastAsia="方正仿宋简体" w:cs="Times New Roman"/>
      <w:szCs w:val="20"/>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rPr>
  </w:style>
  <w:style w:type="character" w:styleId="18">
    <w:name w:val="page number"/>
    <w:basedOn w:val="16"/>
    <w:qFormat/>
    <w:uiPriority w:val="0"/>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标题 1 Char"/>
    <w:basedOn w:val="16"/>
    <w:link w:val="3"/>
    <w:qFormat/>
    <w:uiPriority w:val="9"/>
    <w:rPr>
      <w:rFonts w:ascii="Times New Roman" w:hAnsi="Times New Roman" w:eastAsia="宋体" w:cs="Times New Roman"/>
      <w:b/>
      <w:bCs/>
      <w:kern w:val="44"/>
      <w:sz w:val="44"/>
      <w:szCs w:val="44"/>
    </w:rPr>
  </w:style>
  <w:style w:type="character" w:customStyle="1" w:styleId="21">
    <w:name w:val="标题 2 Char"/>
    <w:basedOn w:val="16"/>
    <w:link w:val="4"/>
    <w:qFormat/>
    <w:uiPriority w:val="9"/>
    <w:rPr>
      <w:rFonts w:asciiTheme="majorHAnsi" w:hAnsiTheme="majorHAnsi" w:eastAsiaTheme="majorEastAsia" w:cstheme="majorBidi"/>
      <w:b/>
      <w:bCs/>
      <w:sz w:val="32"/>
      <w:szCs w:val="32"/>
    </w:rPr>
  </w:style>
  <w:style w:type="character" w:customStyle="1" w:styleId="22">
    <w:name w:val="标题 3 Char"/>
    <w:basedOn w:val="16"/>
    <w:link w:val="5"/>
    <w:qFormat/>
    <w:uiPriority w:val="9"/>
    <w:rPr>
      <w:rFonts w:ascii="Times New Roman" w:hAnsi="Times New Roman" w:eastAsia="宋体" w:cs="Times New Roman"/>
      <w:b/>
      <w:bCs/>
      <w:sz w:val="32"/>
      <w:szCs w:val="32"/>
    </w:rPr>
  </w:style>
  <w:style w:type="character" w:customStyle="1" w:styleId="23">
    <w:name w:val="正文文本 Char"/>
    <w:basedOn w:val="16"/>
    <w:link w:val="2"/>
    <w:qFormat/>
    <w:uiPriority w:val="99"/>
    <w:rPr>
      <w:rFonts w:ascii="仿宋_GB2312" w:hAnsi="Times New Roman" w:eastAsia="仿宋_GB2312" w:cs="Times New Roman"/>
      <w:kern w:val="0"/>
      <w:sz w:val="30"/>
      <w:szCs w:val="24"/>
    </w:rPr>
  </w:style>
  <w:style w:type="character" w:customStyle="1" w:styleId="24">
    <w:name w:val="批注框文本 Char"/>
    <w:basedOn w:val="16"/>
    <w:link w:val="7"/>
    <w:semiHidden/>
    <w:qFormat/>
    <w:uiPriority w:val="99"/>
    <w:rPr>
      <w:rFonts w:ascii="Times New Roman" w:hAnsi="Times New Roman" w:eastAsia="宋体" w:cs="Times New Roman"/>
      <w:sz w:val="18"/>
      <w:szCs w:val="18"/>
    </w:rPr>
  </w:style>
  <w:style w:type="character" w:customStyle="1" w:styleId="25">
    <w:name w:val="页脚 Char"/>
    <w:basedOn w:val="16"/>
    <w:link w:val="8"/>
    <w:qFormat/>
    <w:uiPriority w:val="99"/>
    <w:rPr>
      <w:rFonts w:ascii="Calibri" w:hAnsi="Calibri" w:eastAsia="宋体" w:cs="Times New Roman"/>
      <w:kern w:val="0"/>
      <w:sz w:val="18"/>
      <w:szCs w:val="18"/>
    </w:rPr>
  </w:style>
  <w:style w:type="character" w:customStyle="1" w:styleId="26">
    <w:name w:val="页眉 Char"/>
    <w:basedOn w:val="16"/>
    <w:link w:val="9"/>
    <w:semiHidden/>
    <w:qFormat/>
    <w:uiPriority w:val="99"/>
    <w:rPr>
      <w:rFonts w:ascii="Calibri" w:hAnsi="Calibri" w:eastAsia="宋体" w:cs="Times New Roman"/>
      <w:kern w:val="0"/>
      <w:sz w:val="18"/>
      <w:szCs w:val="18"/>
    </w:rPr>
  </w:style>
  <w:style w:type="character" w:customStyle="1" w:styleId="27">
    <w:name w:val="正文文本 2 Char"/>
    <w:basedOn w:val="16"/>
    <w:link w:val="12"/>
    <w:qFormat/>
    <w:uiPriority w:val="0"/>
    <w:rPr>
      <w:rFonts w:ascii="宋体" w:hAnsi="宋体" w:eastAsia="方正仿宋简体" w:cs="Times New Roman"/>
      <w:szCs w:val="20"/>
    </w:rPr>
  </w:style>
  <w:style w:type="character" w:customStyle="1" w:styleId="28">
    <w:name w:val="Header Char"/>
    <w:basedOn w:val="16"/>
    <w:semiHidden/>
    <w:qFormat/>
    <w:uiPriority w:val="99"/>
    <w:rPr>
      <w:rFonts w:ascii="Times New Roman" w:hAnsi="Times New Roman"/>
      <w:sz w:val="18"/>
      <w:szCs w:val="18"/>
    </w:rPr>
  </w:style>
  <w:style w:type="character" w:customStyle="1" w:styleId="29">
    <w:name w:val="Footer Char"/>
    <w:basedOn w:val="16"/>
    <w:semiHidden/>
    <w:qFormat/>
    <w:uiPriority w:val="99"/>
    <w:rPr>
      <w:rFonts w:ascii="Times New Roman" w:hAnsi="Times New Roman"/>
      <w:sz w:val="18"/>
      <w:szCs w:val="18"/>
    </w:rPr>
  </w:style>
  <w:style w:type="character" w:customStyle="1" w:styleId="30">
    <w:name w:val="Body Text Char"/>
    <w:basedOn w:val="16"/>
    <w:semiHidden/>
    <w:qFormat/>
    <w:uiPriority w:val="99"/>
    <w:rPr>
      <w:rFonts w:ascii="Times New Roman" w:hAnsi="Times New Roman"/>
      <w:szCs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rPr>
      <w:rFonts w:ascii="Times New Roman" w:hAnsi="Times New Roman" w:eastAsia="宋体" w:cs="Times New Roman"/>
      <w:szCs w:val="24"/>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Times New Roman" w:cs="Times New Roman"/>
      <w:color w:val="000000"/>
      <w:kern w:val="0"/>
      <w:sz w:val="28"/>
      <w:szCs w:val="21"/>
    </w:rPr>
  </w:style>
  <w:style w:type="character" w:customStyle="1" w:styleId="36">
    <w:name w:val="NormalCharacter"/>
    <w:qFormat/>
    <w:uiPriority w:val="0"/>
  </w:style>
  <w:style w:type="paragraph" w:customStyle="1" w:styleId="37">
    <w:name w:val="p"/>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5057736269319"/>
          <c:y val="0.192436968106259"/>
          <c:w val="0.794722260213751"/>
          <c:h val="0.685858983536149"/>
        </c:manualLayout>
      </c:layout>
      <c:barChart>
        <c:barDir val="col"/>
        <c:grouping val="clustered"/>
        <c:varyColors val="0"/>
        <c:ser>
          <c:idx val="0"/>
          <c:order val="0"/>
          <c:tx>
            <c:strRef>
              <c:f>Sheet1!$B$1</c:f>
              <c:strCache>
                <c:ptCount val="1"/>
                <c:pt idx="0">
                  <c:v>收、支决算总计（万元）</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1381.17</c:v>
                </c:pt>
                <c:pt idx="1">
                  <c:v>1377.79</c:v>
                </c:pt>
              </c:numCache>
            </c:numRef>
          </c:val>
        </c:ser>
        <c:dLbls>
          <c:showLegendKey val="0"/>
          <c:showVal val="0"/>
          <c:showCatName val="0"/>
          <c:showSerName val="0"/>
          <c:showPercent val="0"/>
          <c:showBubbleSize val="0"/>
        </c:dLbls>
        <c:gapWidth val="150"/>
        <c:axId val="346839680"/>
        <c:axId val="346861952"/>
      </c:barChart>
      <c:catAx>
        <c:axId val="34683968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46861952"/>
        <c:crosses val="autoZero"/>
        <c:auto val="1"/>
        <c:lblAlgn val="ctr"/>
        <c:lblOffset val="100"/>
        <c:noMultiLvlLbl val="0"/>
      </c:catAx>
      <c:valAx>
        <c:axId val="3468619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46839680"/>
        <c:crosses val="autoZero"/>
        <c:crossBetween val="between"/>
      </c:valAx>
      <c:spPr>
        <a:solidFill>
          <a:schemeClr val="bg1"/>
        </a:solidFill>
      </c:spPr>
    </c:plotArea>
    <c:legend>
      <c:legendPos val="r"/>
      <c:layout>
        <c:manualLayout>
          <c:xMode val="edge"/>
          <c:yMode val="edge"/>
          <c:x val="0.561414392059553"/>
          <c:y val="0.06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0"/>
              <c:layout>
                <c:manualLayout>
                  <c:x val="-0.162018048771441"/>
                  <c:y val="-0.0085328989644432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 857.73</a:t>
                    </a:r>
                    <a:r>
                      <a:rPr lang="zh-CN" altLang="en-US"/>
                      <a:t>万元</a:t>
                    </a:r>
                    <a:r>
                      <a:rPr lang="en-US" altLang="zh-CN"/>
                      <a:t>, 99.1%</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857.73</c:v>
                </c:pt>
                <c:pt idx="1">
                  <c:v>7.8</c:v>
                </c:pt>
                <c:pt idx="2">
                  <c:v>0.78</c:v>
                </c:pt>
              </c:numCache>
            </c:numRef>
          </c:val>
        </c:ser>
        <c:dLbls>
          <c:showLegendKey val="0"/>
          <c:showVal val="0"/>
          <c:showCatName val="0"/>
          <c:showSerName val="0"/>
          <c:showPercent val="0"/>
          <c:showBubbleSize val="0"/>
          <c:showLeaderLines val="1"/>
        </c:dLbls>
        <c:firstSliceAng val="307"/>
      </c:pieChart>
    </c:plotArea>
    <c:legend>
      <c:legendPos val="r"/>
      <c:layout>
        <c:manualLayout>
          <c:xMode val="edge"/>
          <c:yMode val="edge"/>
          <c:x val="0.651937793137497"/>
          <c:y val="0.091821671095364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effectLst>
      <a:outerShdw blurRad="50800" dist="50800" dir="4680000" algn="ctr" rotWithShape="0">
        <a:srgbClr val="000000">
          <a:alpha val="43000"/>
        </a:srgbClr>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spPr>
              <a:solidFill>
                <a:schemeClr val="accent2">
                  <a:lumMod val="60000"/>
                  <a:lumOff val="40000"/>
                </a:schemeClr>
              </a:solidFill>
            </c:spPr>
          </c:dPt>
          <c:dPt>
            <c:idx val="1"/>
            <c:bubble3D val="0"/>
            <c:spPr>
              <a:solidFill>
                <a:schemeClr val="accent3">
                  <a:lumMod val="40000"/>
                  <a:lumOff val="60000"/>
                </a:schemeClr>
              </a:solidFill>
            </c:spPr>
          </c:dPt>
          <c:dPt>
            <c:idx val="2"/>
            <c:bubble3D val="0"/>
          </c:dPt>
          <c:dPt>
            <c:idx val="3"/>
            <c:bubble3D val="0"/>
          </c:dPt>
          <c:dPt>
            <c:idx val="4"/>
            <c:bubble3D val="0"/>
          </c:dPt>
          <c:dLbls>
            <c:dLbl>
              <c:idx val="0"/>
              <c:layout>
                <c:manualLayout>
                  <c:x val="-0.133950720063878"/>
                  <c:y val="-0.20755195702212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 668.73</a:t>
                    </a:r>
                    <a:r>
                      <a:rPr lang="zh-CN" altLang="en-US"/>
                      <a:t>万元</a:t>
                    </a:r>
                    <a:r>
                      <a:rPr lang="en-US" altLang="zh-CN"/>
                      <a:t>, 48.54%</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624475608724967"/>
                  <c:y val="0.07068515920455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 709.06</a:t>
                    </a:r>
                    <a:r>
                      <a:rPr lang="zh-CN" altLang="en-US"/>
                      <a:t>万元</a:t>
                    </a:r>
                    <a:r>
                      <a:rPr lang="en-US" altLang="zh-CN"/>
                      <a:t>, 51.46%</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668.73</c:v>
                </c:pt>
                <c:pt idx="1">
                  <c:v>709.06</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8267498988244"/>
          <c:y val="0.26838147579497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财政拨款收、支决算总计（万元）</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1370.89</c:v>
                </c:pt>
                <c:pt idx="1">
                  <c:v>1377.79</c:v>
                </c:pt>
              </c:numCache>
            </c:numRef>
          </c:val>
        </c:ser>
        <c:dLbls>
          <c:showLegendKey val="0"/>
          <c:showVal val="0"/>
          <c:showCatName val="0"/>
          <c:showSerName val="0"/>
          <c:showPercent val="0"/>
          <c:showBubbleSize val="0"/>
        </c:dLbls>
        <c:gapWidth val="150"/>
        <c:axId val="416330496"/>
        <c:axId val="416332032"/>
      </c:barChart>
      <c:catAx>
        <c:axId val="4163304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6332032"/>
        <c:crosses val="autoZero"/>
        <c:auto val="1"/>
        <c:lblAlgn val="ctr"/>
        <c:lblOffset val="100"/>
        <c:noMultiLvlLbl val="0"/>
      </c:catAx>
      <c:valAx>
        <c:axId val="4163320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6330496"/>
        <c:crosses val="autoZero"/>
        <c:crossBetween val="between"/>
      </c:valAx>
    </c:plotArea>
    <c:legend>
      <c:legendPos val="r"/>
      <c:layout>
        <c:manualLayout>
          <c:xMode val="edge"/>
          <c:yMode val="edge"/>
          <c:x val="0.579595742136108"/>
          <c:y val="0.0576781778104335"/>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一般公共预算财政拨款支出（万元）</c:v>
                </c:pt>
              </c:strCache>
            </c:strRef>
          </c:tx>
          <c:invertIfNegative val="0"/>
          <c:dLbls>
            <c:dLbl>
              <c:idx val="0"/>
              <c:layout>
                <c:manualLayout>
                  <c:x val="0"/>
                  <c:y val="-0.0073529411764705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859.04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859.04</c:v>
                </c:pt>
                <c:pt idx="1">
                  <c:v>1369.21</c:v>
                </c:pt>
              </c:numCache>
            </c:numRef>
          </c:val>
        </c:ser>
        <c:dLbls>
          <c:showLegendKey val="0"/>
          <c:showVal val="0"/>
          <c:showCatName val="0"/>
          <c:showSerName val="0"/>
          <c:showPercent val="0"/>
          <c:showBubbleSize val="0"/>
        </c:dLbls>
        <c:gapWidth val="150"/>
        <c:axId val="416381184"/>
        <c:axId val="416382976"/>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63811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6382976"/>
        <c:crosses val="autoZero"/>
        <c:auto val="1"/>
        <c:lblAlgn val="ctr"/>
        <c:lblOffset val="100"/>
        <c:noMultiLvlLbl val="0"/>
      </c:catAx>
      <c:valAx>
        <c:axId val="4163829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6381184"/>
        <c:crosses val="autoZero"/>
        <c:crossBetween val="between"/>
      </c:valAx>
    </c:plotArea>
    <c:legend>
      <c:legendPos val="r"/>
      <c:layout>
        <c:manualLayout>
          <c:xMode val="edge"/>
          <c:yMode val="edge"/>
          <c:x val="0.894629828967827"/>
          <c:y val="0.0121234386480529"/>
          <c:w val="0.0978351871785672"/>
          <c:h val="0.90411462160176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spPr>
              <a:effectLst>
                <a:outerShdw blurRad="50800" dist="50800" dir="5400000" sx="1000" sy="1000" algn="ctr" rotWithShape="0">
                  <a:srgbClr val="000000">
                    <a:alpha val="43000"/>
                  </a:srgbClr>
                </a:outerShdw>
              </a:effectLst>
            </c:spPr>
          </c:dPt>
          <c:dPt>
            <c:idx val="1"/>
            <c:bubble3D val="0"/>
          </c:dPt>
          <c:dPt>
            <c:idx val="2"/>
            <c:bubble3D val="0"/>
          </c:dPt>
          <c:dLbls>
            <c:dLbl>
              <c:idx val="0"/>
              <c:layout>
                <c:manualLayout>
                  <c:x val="-0.00415685620961155"/>
                  <c:y val="-0.26080386823813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教育支出</a:t>
                    </a:r>
                    <a:r>
                      <a:rPr lang="en-US" altLang="zh-CN"/>
                      <a:t>, 1291.16  94.3%</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128602048106692"/>
                  <c:y val="0.2339582783205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社会保障和就业支出</a:t>
                    </a:r>
                    <a:r>
                      <a:rPr lang="en-US" altLang="zh-CN"/>
                      <a:t>, 54.05   5.7%</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27339842819719"/>
                      <c:h val="0.169263269078426"/>
                    </c:manualLayout>
                  </c15:layout>
                </c:ext>
              </c:extLst>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1291.16</c:v>
                </c:pt>
                <c:pt idx="1">
                  <c:v>54.05</c:v>
                </c:pt>
                <c:pt idx="2">
                  <c:v>24</c:v>
                </c:pt>
              </c:numCache>
            </c:numRef>
          </c:val>
        </c:ser>
        <c:dLbls>
          <c:showLegendKey val="0"/>
          <c:showVal val="0"/>
          <c:showCatName val="0"/>
          <c:showSerName val="0"/>
          <c:showPercent val="0"/>
          <c:showBubbleSize val="0"/>
          <c:showLeaderLines val="1"/>
        </c:dLbls>
        <c:firstSliceAng val="271"/>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0C231-7EC5-4791-93AB-49EB4BC3A5B2}">
  <ds:schemaRefs/>
</ds:datastoreItem>
</file>

<file path=docProps/app.xml><?xml version="1.0" encoding="utf-8"?>
<Properties xmlns="http://schemas.openxmlformats.org/officeDocument/2006/extended-properties" xmlns:vt="http://schemas.openxmlformats.org/officeDocument/2006/docPropsVTypes">
  <Template>Normal</Template>
  <Pages>47</Pages>
  <Words>20743</Words>
  <Characters>2537</Characters>
  <Lines>21</Lines>
  <Paragraphs>46</Paragraphs>
  <TotalTime>0</TotalTime>
  <ScaleCrop>false</ScaleCrop>
  <LinksUpToDate>false</LinksUpToDate>
  <CharactersWithSpaces>23234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2022-09-30T02:01:00Z</dcterms:created>
  <dc:creator>admin</dc:creator>
  <cp:lastModifiedBy>心静</cp:lastModifiedBy>
  <cp:lastPrinted>2023-10-09T04:31:00Z</cp:lastPrinted>
  <dcterms:modified xsi:type="dcterms:W3CDTF">2023-10-15T02:44:50Z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11A4290698414A39B880591FE268A697_13</vt:lpwstr>
  </property>
</Properties>
</file>