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77193"/>
      <w:bookmarkStart w:id="3" w:name="_Toc15396475"/>
      <w:bookmarkStart w:id="4" w:name="_Toc15377425"/>
      <w:bookmarkStart w:id="5" w:name="_Toc19089858"/>
      <w:bookmarkStart w:id="6" w:name="_Toc15396597"/>
      <w:r>
        <w:rPr>
          <w:rFonts w:ascii="黑体" w:hAnsi="黑体" w:eastAsia="黑体"/>
          <w:sz w:val="72"/>
          <w:szCs w:val="72"/>
        </w:rPr>
        <w:t>20</w:t>
      </w:r>
      <w:r>
        <w:rPr>
          <w:rFonts w:hint="eastAsia" w:ascii="黑体" w:hAnsi="黑体" w:eastAsia="黑体"/>
          <w:sz w:val="72"/>
          <w:szCs w:val="72"/>
        </w:rPr>
        <w:t>22</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72"/>
          <w:szCs w:val="72"/>
        </w:rPr>
      </w:pPr>
      <w:bookmarkStart w:id="7" w:name="_Toc15377194"/>
      <w:bookmarkStart w:id="8" w:name="_Toc15306268"/>
      <w:bookmarkStart w:id="9" w:name="_Toc15396476"/>
      <w:bookmarkStart w:id="10" w:name="_Toc15396598"/>
      <w:bookmarkStart w:id="11" w:name="_Toc15378442"/>
      <w:bookmarkStart w:id="12" w:name="_Toc15377426"/>
      <w:r>
        <w:rPr>
          <w:rFonts w:hint="eastAsia" w:ascii="方正小标宋简体" w:hAnsi="宋体" w:eastAsia="方正小标宋简体"/>
          <w:sz w:val="72"/>
          <w:szCs w:val="72"/>
        </w:rPr>
        <w:t>广元市利州区民族小学</w:t>
      </w:r>
    </w:p>
    <w:p>
      <w:pPr>
        <w:adjustRightInd w:val="0"/>
        <w:snapToGrid w:val="0"/>
        <w:spacing w:line="360" w:lineRule="auto"/>
        <w:jc w:val="center"/>
        <w:outlineLvl w:val="0"/>
        <w:rPr>
          <w:rFonts w:hint="eastAsia" w:ascii="方正小标宋简体" w:hAnsi="宋体" w:eastAsia="方正小标宋简体"/>
          <w:sz w:val="72"/>
          <w:szCs w:val="72"/>
        </w:rPr>
      </w:pPr>
      <w:bookmarkStart w:id="13" w:name="_Toc19089860"/>
      <w:r>
        <w:rPr>
          <w:rFonts w:hint="eastAsia" w:ascii="方正小标宋简体" w:hAnsi="宋体" w:eastAsia="方正小标宋简体"/>
          <w:sz w:val="72"/>
          <w:szCs w:val="72"/>
        </w:rPr>
        <w:t>部门决</w:t>
      </w:r>
      <w:bookmarkEnd w:id="7"/>
      <w:bookmarkEnd w:id="8"/>
      <w:bookmarkEnd w:id="9"/>
      <w:bookmarkEnd w:id="10"/>
      <w:bookmarkEnd w:id="11"/>
      <w:bookmarkEnd w:id="12"/>
      <w:bookmarkEnd w:id="13"/>
      <w:r>
        <w:rPr>
          <w:rFonts w:hint="eastAsia" w:ascii="方正小标宋简体" w:hAnsi="宋体" w:eastAsia="方正小标宋简体"/>
          <w:sz w:val="72"/>
          <w:szCs w:val="72"/>
        </w:rPr>
        <w:t>算</w:t>
      </w:r>
    </w:p>
    <w:p>
      <w:pPr>
        <w:adjustRightInd w:val="0"/>
        <w:snapToGrid w:val="0"/>
        <w:spacing w:line="360" w:lineRule="auto"/>
        <w:jc w:val="left"/>
        <w:outlineLvl w:val="0"/>
        <w:rPr>
          <w:rFonts w:hint="eastAsia" w:ascii="黑体" w:hAnsi="黑体" w:eastAsia="黑体"/>
          <w:sz w:val="44"/>
          <w:szCs w:val="28"/>
        </w:rPr>
      </w:pPr>
    </w:p>
    <w:p>
      <w:pPr>
        <w:adjustRightInd w:val="0"/>
        <w:snapToGrid w:val="0"/>
        <w:spacing w:line="360" w:lineRule="auto"/>
        <w:outlineLvl w:val="0"/>
        <w:rPr>
          <w:rFonts w:hint="eastAsia" w:ascii="方正小标宋简体" w:hAnsi="宋体" w:eastAsia="方正小标宋简体"/>
          <w:sz w:val="44"/>
          <w:szCs w:val="72"/>
          <w:u w:val="single"/>
        </w:rPr>
      </w:pPr>
      <w:r>
        <w:rPr>
          <w:rFonts w:hint="eastAsia" w:ascii="黑体" w:hAnsi="黑体" w:eastAsia="黑体"/>
          <w:sz w:val="44"/>
          <w:szCs w:val="28"/>
        </w:rPr>
        <w:t xml:space="preserve">   </w:t>
      </w:r>
    </w:p>
    <w:p>
      <w:pPr>
        <w:adjustRightInd w:val="0"/>
        <w:snapToGrid w:val="0"/>
        <w:spacing w:line="360" w:lineRule="auto"/>
        <w:jc w:val="center"/>
        <w:outlineLvl w:val="0"/>
        <w:rPr>
          <w:rFonts w:ascii="方正小标宋简体" w:hAnsi="宋体" w:eastAsia="方正小标宋简体"/>
          <w:sz w:val="72"/>
          <w:szCs w:val="72"/>
        </w:rPr>
        <w:sectPr>
          <w:footerReference r:id="rId4" w:type="default"/>
          <w:headerReference r:id="rId3" w:type="even"/>
          <w:footerReference r:id="rId5" w:type="even"/>
          <w:pgSz w:w="11906" w:h="16838"/>
          <w:pgMar w:top="1701" w:right="1474" w:bottom="1701" w:left="1587" w:header="851" w:footer="1304" w:gutter="0"/>
          <w:pgNumType w:start="2"/>
          <w:cols w:space="0" w:num="1"/>
          <w:titlePg/>
          <w:docGrid w:type="lines" w:linePitch="312" w:charSpace="0"/>
        </w:sectPr>
      </w:pPr>
      <w:r>
        <w:rPr>
          <w:rFonts w:ascii="方正小标宋简体" w:hAnsi="宋体" w:eastAsia="方正小标宋简体"/>
          <w:sz w:val="36"/>
          <w:szCs w:val="36"/>
        </w:rPr>
        <w:br w:type="page"/>
      </w:r>
    </w:p>
    <w:p>
      <w:pPr>
        <w:widowControl/>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目录</w:t>
      </w:r>
    </w:p>
    <w:p>
      <w:pPr>
        <w:pStyle w:val="10"/>
      </w:pPr>
      <w:r>
        <w:rPr>
          <w:rFonts w:hint="eastAsia"/>
        </w:rPr>
        <w:t>公开时间：2023年10月15日</w:t>
      </w:r>
    </w:p>
    <w:p/>
    <w:p>
      <w:pPr>
        <w:widowControl/>
        <w:snapToGrid w:val="0"/>
        <w:spacing w:line="520" w:lineRule="exact"/>
        <w:ind w:firstLine="560" w:firstLineChars="200"/>
        <w:jc w:val="left"/>
        <w:rPr>
          <w:rFonts w:ascii="仿宋" w:hAnsi="仿宋" w:eastAsia="仿宋"/>
          <w:sz w:val="28"/>
          <w:szCs w:val="28"/>
        </w:rPr>
      </w:pPr>
      <w:r>
        <w:rPr>
          <w:rFonts w:hint="eastAsia" w:ascii="黑体" w:hAnsi="黑体" w:eastAsia="黑体"/>
          <w:sz w:val="28"/>
          <w:szCs w:val="28"/>
        </w:rPr>
        <w:t>第一部分 部门概况</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一、主要职责</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二、机构设置</w:t>
      </w:r>
    </w:p>
    <w:p>
      <w:pPr>
        <w:widowControl/>
        <w:snapToGrid w:val="0"/>
        <w:spacing w:line="520" w:lineRule="exact"/>
        <w:ind w:firstLine="560" w:firstLineChars="200"/>
        <w:jc w:val="left"/>
        <w:rPr>
          <w:rFonts w:ascii="仿宋" w:hAnsi="仿宋" w:eastAsia="仿宋"/>
          <w:sz w:val="28"/>
          <w:szCs w:val="28"/>
        </w:rPr>
      </w:pPr>
      <w:r>
        <w:rPr>
          <w:rFonts w:hint="eastAsia" w:ascii="黑体" w:hAnsi="黑体" w:eastAsia="黑体"/>
          <w:sz w:val="28"/>
          <w:szCs w:val="28"/>
        </w:rPr>
        <w:t>第二部分 2022年度部门决算情况说明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一、收入支出决算总体情况说明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二、收入决算情况说明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四、财政拨款收入支出决算总体情况说明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五、一般公共预算财政拨款支出决算情况说明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六、一般公共预算财政拨款基本支出决算情况说明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七、财政拨款“三公”经费支出决算情况说明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八、政府性基金预算支出决算情况说明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九、 国有资本经营预算支出决算情况说明</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十、其他重要事项的情况说明</w:t>
      </w:r>
    </w:p>
    <w:p>
      <w:pPr>
        <w:widowControl/>
        <w:snapToGrid w:val="0"/>
        <w:spacing w:line="520" w:lineRule="exact"/>
        <w:ind w:firstLine="560" w:firstLineChars="200"/>
        <w:jc w:val="left"/>
        <w:rPr>
          <w:rFonts w:ascii="仿宋" w:hAnsi="仿宋" w:eastAsia="仿宋"/>
          <w:sz w:val="28"/>
          <w:szCs w:val="28"/>
        </w:rPr>
      </w:pPr>
      <w:r>
        <w:rPr>
          <w:rFonts w:hint="eastAsia" w:ascii="黑体" w:hAnsi="黑体" w:eastAsia="黑体"/>
          <w:sz w:val="28"/>
          <w:szCs w:val="28"/>
        </w:rPr>
        <w:t>第三部分 名词解释</w:t>
      </w:r>
    </w:p>
    <w:p>
      <w:pPr>
        <w:widowControl/>
        <w:snapToGrid w:val="0"/>
        <w:spacing w:line="520" w:lineRule="exact"/>
        <w:ind w:firstLine="560" w:firstLineChars="200"/>
        <w:jc w:val="left"/>
        <w:rPr>
          <w:rFonts w:hint="eastAsia" w:ascii="黑体" w:hAnsi="黑体" w:eastAsia="黑体"/>
          <w:sz w:val="28"/>
          <w:szCs w:val="28"/>
        </w:rPr>
      </w:pPr>
      <w:r>
        <w:rPr>
          <w:rFonts w:hint="eastAsia" w:ascii="黑体" w:hAnsi="黑体" w:eastAsia="黑体"/>
          <w:sz w:val="28"/>
          <w:szCs w:val="28"/>
        </w:rPr>
        <w:t>第四部分 附件</w:t>
      </w:r>
    </w:p>
    <w:p>
      <w:pPr>
        <w:widowControl/>
        <w:snapToGrid w:val="0"/>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部门预算项目支出绩效自评表（2022年度）</w:t>
      </w:r>
    </w:p>
    <w:p>
      <w:pPr>
        <w:widowControl/>
        <w:ind w:firstLine="560" w:firstLineChars="200"/>
        <w:jc w:val="left"/>
        <w:rPr>
          <w:rFonts w:ascii="黑体" w:hAnsi="黑体" w:eastAsia="黑体"/>
          <w:sz w:val="28"/>
          <w:szCs w:val="28"/>
        </w:rPr>
      </w:pPr>
      <w:r>
        <w:rPr>
          <w:rFonts w:hint="eastAsia" w:ascii="黑体" w:hAnsi="黑体" w:eastAsia="黑体"/>
          <w:sz w:val="28"/>
          <w:szCs w:val="28"/>
        </w:rPr>
        <w:t>第五部分 附表</w:t>
      </w:r>
      <w:bookmarkStart w:id="14" w:name="_Toc19089861"/>
      <w:bookmarkStart w:id="15" w:name="_Toc15377196"/>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一、收入支出决算总表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二、收入决算表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四、财政拨款收入支出决算总表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五、财政拨款支出决算明细表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六、一般公共预算财政拨款支出决算表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七、一般公共预算财政拨款支出决算明细表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八、一般公共预算财政拨款基本支出决算明细表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九、一般公共预算财政拨款项目支出决算表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十、政府性基金预算财政拨款收入支出决算表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十一、国有资本经营预算财政拨款收入支出决算表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十二、国有资本经营预算财政拨款支出决算表</w:t>
      </w:r>
    </w:p>
    <w:p>
      <w:pPr>
        <w:widowControl/>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十三、财政拨款“三公”经费支出决算表</w:t>
      </w: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widowControl/>
        <w:snapToGrid w:val="0"/>
        <w:spacing w:line="520" w:lineRule="exact"/>
        <w:ind w:firstLine="880" w:firstLineChars="200"/>
        <w:jc w:val="center"/>
        <w:rPr>
          <w:rStyle w:val="26"/>
          <w:rFonts w:ascii="方正小标宋简体" w:hAnsi="方正小标宋简体" w:eastAsia="方正小标宋简体" w:cs="方正小标宋简体"/>
          <w:b w:val="0"/>
          <w:bCs w:val="0"/>
        </w:rPr>
      </w:pPr>
      <w:r>
        <w:rPr>
          <w:rStyle w:val="26"/>
          <w:rFonts w:hint="eastAsia" w:ascii="方正小标宋简体" w:hAnsi="方正小标宋简体" w:eastAsia="方正小标宋简体" w:cs="方正小标宋简体"/>
          <w:b w:val="0"/>
          <w:bCs w:val="0"/>
        </w:rPr>
        <w:t>第一部分 部门概况</w:t>
      </w:r>
      <w:bookmarkEnd w:id="14"/>
      <w:bookmarkEnd w:id="15"/>
    </w:p>
    <w:p>
      <w:pPr>
        <w:pStyle w:val="3"/>
        <w:numPr>
          <w:ilvl w:val="0"/>
          <w:numId w:val="1"/>
        </w:numPr>
        <w:snapToGrid w:val="0"/>
        <w:spacing w:before="0" w:after="0" w:line="520" w:lineRule="exact"/>
        <w:ind w:firstLine="560" w:firstLineChars="200"/>
        <w:rPr>
          <w:rStyle w:val="32"/>
          <w:rFonts w:ascii="黑体" w:hAnsi="黑体" w:eastAsia="黑体"/>
          <w:b w:val="0"/>
          <w:bCs w:val="0"/>
          <w:sz w:val="28"/>
          <w:szCs w:val="28"/>
        </w:rPr>
      </w:pPr>
      <w:bookmarkStart w:id="16" w:name="_Toc19089863"/>
      <w:bookmarkStart w:id="17" w:name="_Toc15377200"/>
      <w:bookmarkStart w:id="18" w:name="_Toc15377204"/>
      <w:r>
        <w:rPr>
          <w:rFonts w:hint="eastAsia" w:ascii="黑体" w:hAnsi="黑体" w:eastAsia="黑体"/>
          <w:b w:val="0"/>
          <w:color w:val="000000"/>
          <w:sz w:val="28"/>
          <w:szCs w:val="28"/>
        </w:rPr>
        <w:t>主要职责</w:t>
      </w:r>
    </w:p>
    <w:p>
      <w:pPr>
        <w:snapToGrid w:val="0"/>
        <w:spacing w:line="520" w:lineRule="exact"/>
        <w:ind w:firstLine="560" w:firstLineChars="200"/>
        <w:rPr>
          <w:rFonts w:ascii="仿宋" w:hAnsi="仿宋" w:eastAsia="仿宋"/>
          <w:sz w:val="28"/>
          <w:szCs w:val="28"/>
        </w:rPr>
      </w:pPr>
      <w:bookmarkStart w:id="19" w:name="_Toc15377199"/>
      <w:bookmarkStart w:id="20" w:name="_Toc15378446"/>
      <w:r>
        <w:rPr>
          <w:rFonts w:hint="eastAsia" w:ascii="仿宋" w:hAnsi="仿宋" w:eastAsia="仿宋"/>
          <w:sz w:val="28"/>
          <w:szCs w:val="28"/>
        </w:rPr>
        <w:t>1．</w:t>
      </w:r>
      <w:r>
        <w:rPr>
          <w:rFonts w:ascii="仿宋" w:hAnsi="仿宋" w:eastAsia="仿宋"/>
          <w:sz w:val="28"/>
          <w:szCs w:val="28"/>
        </w:rPr>
        <w:t>宣传贯彻执行党和国家的教育方针、教育政策、教育法律和法规，贯彻执行上级教育行政部门的各项规章制度。</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2．严格执行上级部门关于</w:t>
      </w:r>
      <w:r>
        <w:rPr>
          <w:rFonts w:ascii="仿宋" w:hAnsi="仿宋" w:eastAsia="仿宋"/>
          <w:sz w:val="28"/>
          <w:szCs w:val="28"/>
        </w:rPr>
        <w:t>教育经费、教育拨款、教育基建投资办法和方案；贯彻执行</w:t>
      </w:r>
      <w:r>
        <w:rPr>
          <w:rFonts w:hint="eastAsia" w:ascii="仿宋" w:hAnsi="仿宋" w:eastAsia="仿宋"/>
          <w:sz w:val="28"/>
          <w:szCs w:val="28"/>
        </w:rPr>
        <w:t>上级部门</w:t>
      </w:r>
      <w:r>
        <w:rPr>
          <w:rFonts w:ascii="仿宋" w:hAnsi="仿宋" w:eastAsia="仿宋"/>
          <w:sz w:val="28"/>
          <w:szCs w:val="28"/>
        </w:rPr>
        <w:t>有关学生资助工作方针和政策，</w:t>
      </w:r>
      <w:r>
        <w:rPr>
          <w:rFonts w:hint="eastAsia" w:ascii="仿宋" w:hAnsi="仿宋" w:eastAsia="仿宋"/>
          <w:sz w:val="28"/>
          <w:szCs w:val="28"/>
        </w:rPr>
        <w:t>落实学校</w:t>
      </w:r>
      <w:r>
        <w:rPr>
          <w:rFonts w:ascii="仿宋" w:hAnsi="仿宋" w:eastAsia="仿宋"/>
          <w:sz w:val="28"/>
          <w:szCs w:val="28"/>
        </w:rPr>
        <w:t>贫困家庭学生资助工作。</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推进义务教育均衡发展和促进教育公平，全面实施素质教育；</w:t>
      </w:r>
      <w:r>
        <w:rPr>
          <w:rFonts w:hint="eastAsia" w:ascii="仿宋" w:hAnsi="仿宋" w:eastAsia="仿宋"/>
          <w:sz w:val="28"/>
          <w:szCs w:val="28"/>
        </w:rPr>
        <w:t>做好控辍保学工作</w:t>
      </w:r>
      <w:r>
        <w:rPr>
          <w:rFonts w:ascii="仿宋" w:hAnsi="仿宋" w:eastAsia="仿宋"/>
          <w:sz w:val="28"/>
          <w:szCs w:val="28"/>
        </w:rPr>
        <w:t>。</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依法治校、</w:t>
      </w:r>
      <w:r>
        <w:rPr>
          <w:rFonts w:hint="eastAsia" w:ascii="仿宋" w:hAnsi="仿宋" w:eastAsia="仿宋"/>
          <w:sz w:val="28"/>
          <w:szCs w:val="28"/>
        </w:rPr>
        <w:t>切实做好学校</w:t>
      </w:r>
      <w:r>
        <w:rPr>
          <w:rFonts w:ascii="仿宋" w:hAnsi="仿宋" w:eastAsia="仿宋"/>
          <w:sz w:val="28"/>
          <w:szCs w:val="28"/>
        </w:rPr>
        <w:t xml:space="preserve">体育、卫生与艺术教育工作。 </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5．严格执行</w:t>
      </w:r>
      <w:r>
        <w:rPr>
          <w:rFonts w:ascii="仿宋" w:hAnsi="仿宋" w:eastAsia="仿宋"/>
          <w:sz w:val="28"/>
          <w:szCs w:val="28"/>
        </w:rPr>
        <w:t>各级各类教师资格证书制度；统筹规划学校教师和管理人员队伍建设；</w:t>
      </w:r>
      <w:r>
        <w:rPr>
          <w:rFonts w:hint="eastAsia" w:ascii="仿宋" w:hAnsi="仿宋" w:eastAsia="仿宋"/>
          <w:sz w:val="28"/>
          <w:szCs w:val="28"/>
        </w:rPr>
        <w:t>做好学校</w:t>
      </w:r>
      <w:r>
        <w:rPr>
          <w:rFonts w:ascii="仿宋" w:hAnsi="仿宋" w:eastAsia="仿宋"/>
          <w:sz w:val="28"/>
          <w:szCs w:val="28"/>
        </w:rPr>
        <w:t>继续教育和课程改革新教材工作；</w:t>
      </w:r>
      <w:r>
        <w:rPr>
          <w:rFonts w:hint="eastAsia" w:ascii="仿宋" w:hAnsi="仿宋" w:eastAsia="仿宋"/>
          <w:sz w:val="28"/>
          <w:szCs w:val="28"/>
        </w:rPr>
        <w:t>加强学校教育</w:t>
      </w:r>
      <w:r>
        <w:rPr>
          <w:rFonts w:ascii="仿宋" w:hAnsi="仿宋" w:eastAsia="仿宋"/>
          <w:sz w:val="28"/>
          <w:szCs w:val="28"/>
        </w:rPr>
        <w:t xml:space="preserve">人才队伍建设。 </w:t>
      </w:r>
    </w:p>
    <w:p>
      <w:pPr>
        <w:pStyle w:val="5"/>
        <w:adjustRightInd w:val="0"/>
        <w:snapToGrid w:val="0"/>
        <w:spacing w:beforeLines="0" w:line="520" w:lineRule="exact"/>
        <w:ind w:firstLine="560" w:firstLineChars="200"/>
        <w:rPr>
          <w:bCs/>
          <w:sz w:val="28"/>
          <w:szCs w:val="28"/>
        </w:rPr>
      </w:pPr>
      <w:r>
        <w:rPr>
          <w:rFonts w:hint="eastAsia" w:ascii="仿宋" w:hAnsi="仿宋" w:eastAsia="仿宋"/>
          <w:sz w:val="28"/>
          <w:szCs w:val="28"/>
        </w:rPr>
        <w:t>6．</w:t>
      </w:r>
      <w:r>
        <w:rPr>
          <w:rFonts w:ascii="仿宋" w:hAnsi="仿宋" w:eastAsia="仿宋"/>
          <w:sz w:val="28"/>
          <w:szCs w:val="28"/>
        </w:rPr>
        <w:t>贯彻执行国家语言文字工作的方针、政策，</w:t>
      </w:r>
      <w:r>
        <w:rPr>
          <w:rFonts w:hint="eastAsia" w:ascii="仿宋" w:hAnsi="仿宋" w:eastAsia="仿宋"/>
          <w:sz w:val="28"/>
          <w:szCs w:val="28"/>
        </w:rPr>
        <w:t>组织</w:t>
      </w:r>
      <w:r>
        <w:rPr>
          <w:rFonts w:ascii="仿宋" w:hAnsi="仿宋" w:eastAsia="仿宋"/>
          <w:sz w:val="28"/>
          <w:szCs w:val="28"/>
        </w:rPr>
        <w:t>推广普通话、推行规范汉字。</w:t>
      </w:r>
    </w:p>
    <w:bookmarkEnd w:id="19"/>
    <w:bookmarkEnd w:id="20"/>
    <w:p>
      <w:pPr>
        <w:pStyle w:val="3"/>
        <w:snapToGrid w:val="0"/>
        <w:spacing w:before="0" w:after="0" w:line="520" w:lineRule="exact"/>
        <w:ind w:firstLine="560" w:firstLineChars="200"/>
        <w:rPr>
          <w:rStyle w:val="32"/>
          <w:b w:val="0"/>
          <w:bCs w:val="0"/>
          <w:sz w:val="28"/>
          <w:szCs w:val="28"/>
        </w:rPr>
      </w:pPr>
      <w:bookmarkStart w:id="21" w:name="_Toc15396601"/>
      <w:r>
        <w:rPr>
          <w:rFonts w:hint="eastAsia" w:ascii="黑体" w:eastAsia="黑体"/>
          <w:b w:val="0"/>
          <w:color w:val="000000"/>
          <w:sz w:val="28"/>
          <w:szCs w:val="28"/>
        </w:rPr>
        <w:t>二、</w:t>
      </w:r>
      <w:r>
        <w:rPr>
          <w:rFonts w:hint="eastAsia" w:ascii="黑体" w:hAnsi="黑体" w:eastAsia="黑体"/>
          <w:b w:val="0"/>
          <w:color w:val="000000"/>
          <w:sz w:val="28"/>
          <w:szCs w:val="28"/>
        </w:rPr>
        <w:t>机</w:t>
      </w:r>
      <w:r>
        <w:rPr>
          <w:rStyle w:val="32"/>
          <w:rFonts w:hint="eastAsia" w:ascii="黑体" w:hAnsi="黑体" w:eastAsia="黑体"/>
          <w:b w:val="0"/>
          <w:bCs w:val="0"/>
          <w:sz w:val="28"/>
          <w:szCs w:val="28"/>
        </w:rPr>
        <w:t>构设置</w:t>
      </w:r>
      <w:bookmarkEnd w:id="21"/>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（一）机构情况及增减变动原因</w:t>
      </w:r>
    </w:p>
    <w:p>
      <w:pPr>
        <w:snapToGri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学校共设教务处、德育处、总务处、技装室、安办五个部门，无变动原因。</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（二）人员情况及增减变动原因</w:t>
      </w:r>
    </w:p>
    <w:p>
      <w:pPr>
        <w:snapToGrid w:val="0"/>
        <w:spacing w:line="520" w:lineRule="exact"/>
        <w:ind w:firstLine="560" w:firstLineChars="200"/>
        <w:rPr>
          <w:rFonts w:ascii="黑体" w:hAnsi="黑体" w:eastAsia="黑体"/>
          <w:sz w:val="28"/>
          <w:szCs w:val="28"/>
        </w:rPr>
      </w:pPr>
      <w:r>
        <w:rPr>
          <w:rFonts w:hint="eastAsia" w:ascii="仿宋" w:hAnsi="仿宋" w:eastAsia="仿宋"/>
          <w:color w:val="000000"/>
          <w:sz w:val="28"/>
          <w:szCs w:val="28"/>
        </w:rPr>
        <w:t>学校现有在职教职工27人，1-6年级学生87人，学前幼儿28人，合计115人，与去年比较，总人数有所减少。</w:t>
      </w:r>
      <w:bookmarkEnd w:id="16"/>
      <w:bookmarkEnd w:id="17"/>
      <w:bookmarkStart w:id="22" w:name="_Toc19089864"/>
    </w:p>
    <w:p>
      <w:pPr>
        <w:pStyle w:val="2"/>
        <w:ind w:right="440"/>
        <w:jc w:val="righ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第二部分</w:t>
      </w:r>
      <w:r>
        <w:rPr>
          <w:rStyle w:val="26"/>
          <w:rFonts w:hint="eastAsia" w:ascii="方正小标宋简体" w:hAnsi="方正小标宋简体" w:eastAsia="方正小标宋简体" w:cs="方正小标宋简体"/>
          <w:b w:val="0"/>
          <w:bCs w:val="0"/>
        </w:rPr>
        <w:t>2022年度部门决算情况说明</w:t>
      </w:r>
      <w:bookmarkEnd w:id="18"/>
      <w:bookmarkEnd w:id="22"/>
    </w:p>
    <w:p>
      <w:pPr>
        <w:pStyle w:val="25"/>
        <w:numPr>
          <w:ilvl w:val="0"/>
          <w:numId w:val="2"/>
        </w:numPr>
        <w:spacing w:line="520" w:lineRule="exact"/>
        <w:ind w:firstLineChars="0"/>
        <w:outlineLvl w:val="1"/>
        <w:rPr>
          <w:rStyle w:val="27"/>
          <w:rFonts w:ascii="黑体" w:hAnsi="黑体" w:eastAsia="黑体"/>
          <w:b w:val="0"/>
          <w:sz w:val="28"/>
          <w:szCs w:val="28"/>
        </w:rPr>
      </w:pPr>
      <w:bookmarkStart w:id="23" w:name="_Toc19089865"/>
      <w:bookmarkStart w:id="24" w:name="_Toc15377205"/>
      <w:r>
        <w:rPr>
          <w:rFonts w:hint="eastAsia" w:ascii="黑体" w:hAnsi="黑体" w:eastAsia="黑体"/>
          <w:sz w:val="28"/>
          <w:szCs w:val="28"/>
        </w:rPr>
        <w:t>收</w:t>
      </w:r>
      <w:r>
        <w:rPr>
          <w:rStyle w:val="27"/>
          <w:rFonts w:hint="eastAsia" w:ascii="黑体" w:hAnsi="黑体" w:eastAsia="黑体"/>
          <w:b w:val="0"/>
          <w:sz w:val="28"/>
          <w:szCs w:val="28"/>
        </w:rPr>
        <w:t>入支出决算总体情况说明</w:t>
      </w:r>
      <w:bookmarkEnd w:id="23"/>
      <w:bookmarkEnd w:id="24"/>
    </w:p>
    <w:p>
      <w:pPr>
        <w:spacing w:line="520" w:lineRule="exact"/>
        <w:ind w:firstLine="560" w:firstLineChars="200"/>
        <w:rPr>
          <w:rFonts w:ascii="仿宋" w:hAnsi="仿宋" w:eastAsia="仿宋"/>
          <w:sz w:val="28"/>
          <w:szCs w:val="28"/>
        </w:rPr>
      </w:pPr>
      <w:r>
        <w:rPr>
          <w:rFonts w:hint="eastAsia" w:ascii="仿宋" w:hAnsi="仿宋" w:eastAsia="仿宋"/>
          <w:sz w:val="28"/>
          <w:szCs w:val="28"/>
        </w:rPr>
        <w:t>2022年度收、支总计</w:t>
      </w:r>
      <w:r>
        <w:rPr>
          <w:rFonts w:ascii="仿宋" w:hAnsi="仿宋" w:eastAsia="仿宋"/>
          <w:sz w:val="28"/>
          <w:szCs w:val="28"/>
        </w:rPr>
        <w:t>639.76</w:t>
      </w:r>
      <w:r>
        <w:rPr>
          <w:rFonts w:hint="eastAsia" w:ascii="仿宋" w:hAnsi="仿宋" w:eastAsia="仿宋"/>
          <w:sz w:val="28"/>
          <w:szCs w:val="28"/>
        </w:rPr>
        <w:t>万元。与2021年相比，收、支总计各减少83.31万元，减少11.52%。主要变动原因是校舍维修支出减少。</w:t>
      </w:r>
    </w:p>
    <w:p>
      <w:pPr>
        <w:spacing w:line="520" w:lineRule="exact"/>
        <w:ind w:firstLine="560" w:firstLineChars="200"/>
        <w:rPr>
          <w:rFonts w:ascii="仿宋" w:hAnsi="仿宋" w:eastAsia="仿宋"/>
          <w:sz w:val="28"/>
          <w:szCs w:val="28"/>
        </w:rPr>
      </w:pPr>
      <w:r>
        <w:rPr>
          <w:rFonts w:ascii="仿宋" w:hAnsi="仿宋" w:eastAsia="仿宋"/>
          <w:sz w:val="28"/>
          <w:szCs w:val="28"/>
        </w:rPr>
        <w:drawing>
          <wp:anchor distT="0" distB="0" distL="114300" distR="114300" simplePos="0" relativeHeight="251665408" behindDoc="1" locked="0" layoutInCell="1" allowOverlap="1">
            <wp:simplePos x="0" y="0"/>
            <wp:positionH relativeFrom="column">
              <wp:posOffset>156210</wp:posOffset>
            </wp:positionH>
            <wp:positionV relativeFrom="paragraph">
              <wp:posOffset>178435</wp:posOffset>
            </wp:positionV>
            <wp:extent cx="5203825" cy="2289810"/>
            <wp:effectExtent l="19050" t="0" r="15875" b="0"/>
            <wp:wrapTight wrapText="bothSides">
              <wp:wrapPolygon>
                <wp:start x="-79" y="0"/>
                <wp:lineTo x="-79" y="21564"/>
                <wp:lineTo x="21666" y="21564"/>
                <wp:lineTo x="21666" y="0"/>
                <wp:lineTo x="-79" y="0"/>
              </wp:wrapPolygon>
            </wp:wrapTight>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sz w:val="28"/>
          <w:szCs w:val="28"/>
        </w:rPr>
        <w:drawing>
          <wp:anchor distT="0" distB="0" distL="114300" distR="114300" simplePos="0" relativeHeight="251659264" behindDoc="1" locked="0" layoutInCell="1" allowOverlap="1">
            <wp:simplePos x="0" y="0"/>
            <wp:positionH relativeFrom="column">
              <wp:posOffset>156210</wp:posOffset>
            </wp:positionH>
            <wp:positionV relativeFrom="paragraph">
              <wp:posOffset>122555</wp:posOffset>
            </wp:positionV>
            <wp:extent cx="5201920" cy="2288540"/>
            <wp:effectExtent l="19050" t="0" r="17780" b="0"/>
            <wp:wrapTight wrapText="bothSides">
              <wp:wrapPolygon>
                <wp:start x="-79" y="0"/>
                <wp:lineTo x="-79" y="21576"/>
                <wp:lineTo x="21674" y="21576"/>
                <wp:lineTo x="21674" y="0"/>
                <wp:lineTo x="-79"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：收、支决算总计变动情况图）</w:t>
      </w:r>
    </w:p>
    <w:p>
      <w:pPr>
        <w:spacing w:line="600" w:lineRule="exact"/>
        <w:ind w:firstLine="560" w:firstLineChars="200"/>
        <w:jc w:val="left"/>
        <w:rPr>
          <w:rStyle w:val="27"/>
          <w:rFonts w:ascii="黑体" w:hAnsi="黑体" w:eastAsia="黑体"/>
          <w:b w:val="0"/>
          <w:sz w:val="28"/>
          <w:szCs w:val="28"/>
        </w:rPr>
      </w:pPr>
      <w:bookmarkStart w:id="25" w:name="_Toc15377206"/>
      <w:r>
        <w:rPr>
          <w:rFonts w:hint="eastAsia" w:ascii="黑体" w:hAnsi="黑体" w:eastAsia="黑体"/>
          <w:sz w:val="28"/>
          <w:szCs w:val="28"/>
        </w:rPr>
        <w:t>二、收</w:t>
      </w:r>
      <w:r>
        <w:rPr>
          <w:rStyle w:val="27"/>
          <w:rFonts w:hint="eastAsia" w:ascii="黑体" w:hAnsi="黑体" w:eastAsia="黑体"/>
          <w:b w:val="0"/>
          <w:sz w:val="28"/>
          <w:szCs w:val="28"/>
        </w:rPr>
        <w:t>入决算情况说明</w:t>
      </w:r>
      <w:bookmarkEnd w:id="25"/>
    </w:p>
    <w:p>
      <w:pPr>
        <w:spacing w:line="520" w:lineRule="exact"/>
        <w:ind w:firstLine="560" w:firstLineChars="200"/>
        <w:rPr>
          <w:rFonts w:ascii="仿宋" w:hAnsi="仿宋" w:eastAsia="仿宋"/>
          <w:sz w:val="28"/>
          <w:szCs w:val="28"/>
        </w:rPr>
      </w:pPr>
      <w:bookmarkStart w:id="26" w:name="_Toc19089866"/>
      <w:r>
        <w:rPr>
          <w:rFonts w:ascii="仿宋" w:hAnsi="仿宋" w:eastAsia="仿宋"/>
          <w:sz w:val="28"/>
          <w:szCs w:val="28"/>
        </w:rPr>
        <w:t>20</w:t>
      </w:r>
      <w:r>
        <w:rPr>
          <w:rFonts w:hint="eastAsia" w:ascii="仿宋" w:hAnsi="仿宋" w:eastAsia="仿宋"/>
          <w:sz w:val="28"/>
          <w:szCs w:val="28"/>
        </w:rPr>
        <w:t>22年本年收入合计</w:t>
      </w:r>
      <w:r>
        <w:rPr>
          <w:rFonts w:ascii="仿宋" w:hAnsi="仿宋" w:eastAsia="仿宋"/>
          <w:sz w:val="28"/>
          <w:szCs w:val="28"/>
        </w:rPr>
        <w:t>541.25</w:t>
      </w:r>
      <w:r>
        <w:rPr>
          <w:rFonts w:hint="eastAsia" w:ascii="仿宋" w:hAnsi="仿宋" w:eastAsia="仿宋"/>
          <w:sz w:val="28"/>
          <w:szCs w:val="28"/>
        </w:rPr>
        <w:t>万元，其中：一般公共预算财政拨款收入</w:t>
      </w:r>
      <w:r>
        <w:rPr>
          <w:rFonts w:ascii="仿宋" w:hAnsi="仿宋" w:eastAsia="仿宋"/>
          <w:sz w:val="28"/>
          <w:szCs w:val="28"/>
        </w:rPr>
        <w:t>539.15</w:t>
      </w:r>
      <w:r>
        <w:rPr>
          <w:rFonts w:hint="eastAsia" w:ascii="仿宋" w:hAnsi="仿宋" w:eastAsia="仿宋"/>
          <w:sz w:val="28"/>
          <w:szCs w:val="28"/>
        </w:rPr>
        <w:t>万元，占比99.61%；其他收入</w:t>
      </w:r>
      <w:r>
        <w:rPr>
          <w:rFonts w:ascii="仿宋" w:hAnsi="仿宋" w:eastAsia="仿宋"/>
          <w:sz w:val="28"/>
          <w:szCs w:val="28"/>
        </w:rPr>
        <w:t>2.1</w:t>
      </w:r>
      <w:r>
        <w:rPr>
          <w:rFonts w:hint="eastAsia" w:ascii="仿宋" w:hAnsi="仿宋" w:eastAsia="仿宋"/>
          <w:sz w:val="28"/>
          <w:szCs w:val="28"/>
        </w:rPr>
        <w:t>万元，占比0.39%。</w:t>
      </w:r>
      <w:bookmarkEnd w:id="26"/>
    </w:p>
    <w:p>
      <w:pPr>
        <w:spacing w:line="520" w:lineRule="exact"/>
        <w:ind w:firstLine="560" w:firstLineChars="200"/>
        <w:rPr>
          <w:rFonts w:ascii="仿宋" w:hAnsi="仿宋" w:eastAsia="仿宋"/>
          <w:sz w:val="28"/>
          <w:szCs w:val="28"/>
        </w:rPr>
      </w:pPr>
      <w:r>
        <w:rPr>
          <w:rFonts w:ascii="仿宋_GB2312" w:eastAsia="仿宋_GB2312"/>
          <w:sz w:val="28"/>
          <w:szCs w:val="28"/>
        </w:rPr>
        <w:drawing>
          <wp:anchor distT="0" distB="0" distL="114300" distR="114300" simplePos="0" relativeHeight="251660288" behindDoc="0" locked="0" layoutInCell="1" allowOverlap="1">
            <wp:simplePos x="0" y="0"/>
            <wp:positionH relativeFrom="column">
              <wp:posOffset>292735</wp:posOffset>
            </wp:positionH>
            <wp:positionV relativeFrom="paragraph">
              <wp:posOffset>29210</wp:posOffset>
            </wp:positionV>
            <wp:extent cx="4950460" cy="2543810"/>
            <wp:effectExtent l="4445" t="4445" r="1714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rPr>
          <w:rFonts w:ascii="仿宋" w:hAnsi="仿宋" w:eastAsia="仿宋"/>
          <w:sz w:val="28"/>
          <w:szCs w:val="28"/>
        </w:rPr>
      </w:pP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（图2：收入决算结构图）</w:t>
      </w:r>
    </w:p>
    <w:p>
      <w:pPr>
        <w:spacing w:line="600" w:lineRule="exact"/>
        <w:ind w:firstLine="560" w:firstLineChars="200"/>
        <w:rPr>
          <w:rStyle w:val="27"/>
          <w:rFonts w:ascii="黑体" w:hAnsi="黑体" w:eastAsia="黑体"/>
          <w:b w:val="0"/>
          <w:sz w:val="28"/>
          <w:szCs w:val="28"/>
        </w:rPr>
      </w:pPr>
      <w:bookmarkStart w:id="27" w:name="_Toc15377207"/>
      <w:bookmarkStart w:id="28" w:name="_Toc19089867"/>
      <w:r>
        <w:rPr>
          <w:rFonts w:hint="eastAsia" w:ascii="黑体" w:hAnsi="黑体" w:eastAsia="黑体"/>
          <w:sz w:val="28"/>
          <w:szCs w:val="28"/>
        </w:rPr>
        <w:t>三、支</w:t>
      </w:r>
      <w:r>
        <w:rPr>
          <w:rStyle w:val="27"/>
          <w:rFonts w:hint="eastAsia" w:ascii="黑体" w:hAnsi="黑体" w:eastAsia="黑体"/>
          <w:b w:val="0"/>
          <w:sz w:val="28"/>
          <w:szCs w:val="28"/>
        </w:rPr>
        <w:t>出决算情况说明</w:t>
      </w:r>
      <w:bookmarkEnd w:id="27"/>
      <w:bookmarkEnd w:id="28"/>
    </w:p>
    <w:p>
      <w:pPr>
        <w:spacing w:line="520" w:lineRule="exact"/>
        <w:ind w:firstLine="560" w:firstLineChars="200"/>
        <w:rPr>
          <w:rStyle w:val="27"/>
          <w:rFonts w:ascii="仿宋" w:hAnsi="仿宋" w:eastAsia="仿宋" w:cs="Times New Roman"/>
          <w:b w:val="0"/>
          <w:bCs w:val="0"/>
          <w:sz w:val="28"/>
          <w:szCs w:val="28"/>
        </w:rPr>
      </w:pPr>
      <w:r>
        <w:rPr>
          <w:rFonts w:ascii="仿宋" w:hAnsi="仿宋" w:eastAsia="仿宋"/>
          <w:sz w:val="28"/>
          <w:szCs w:val="28"/>
        </w:rPr>
        <w:t>20</w:t>
      </w:r>
      <w:r>
        <w:rPr>
          <w:rFonts w:hint="eastAsia" w:ascii="仿宋" w:hAnsi="仿宋" w:eastAsia="仿宋"/>
          <w:sz w:val="28"/>
          <w:szCs w:val="28"/>
        </w:rPr>
        <w:t>22年本年支出合计</w:t>
      </w:r>
      <w:r>
        <w:rPr>
          <w:rFonts w:ascii="仿宋" w:hAnsi="仿宋" w:eastAsia="仿宋"/>
          <w:sz w:val="28"/>
          <w:szCs w:val="28"/>
        </w:rPr>
        <w:t>639.76</w:t>
      </w:r>
      <w:r>
        <w:rPr>
          <w:rFonts w:hint="eastAsia" w:ascii="仿宋" w:hAnsi="仿宋" w:eastAsia="仿宋"/>
          <w:sz w:val="28"/>
          <w:szCs w:val="28"/>
        </w:rPr>
        <w:t>万元，其中：基本支出</w:t>
      </w:r>
      <w:r>
        <w:rPr>
          <w:rFonts w:ascii="仿宋" w:hAnsi="仿宋" w:eastAsia="仿宋"/>
          <w:sz w:val="28"/>
          <w:szCs w:val="28"/>
        </w:rPr>
        <w:t>535.49</w:t>
      </w:r>
      <w:r>
        <w:rPr>
          <w:rFonts w:hint="eastAsia" w:ascii="仿宋" w:hAnsi="仿宋" w:eastAsia="仿宋"/>
          <w:sz w:val="28"/>
          <w:szCs w:val="28"/>
        </w:rPr>
        <w:t>万元，占83.70%；项目支出</w:t>
      </w:r>
      <w:r>
        <w:rPr>
          <w:rFonts w:ascii="仿宋" w:hAnsi="仿宋" w:eastAsia="仿宋"/>
          <w:sz w:val="28"/>
          <w:szCs w:val="28"/>
        </w:rPr>
        <w:t>104.26</w:t>
      </w:r>
      <w:r>
        <w:rPr>
          <w:rFonts w:hint="eastAsia" w:ascii="仿宋" w:hAnsi="仿宋" w:eastAsia="仿宋"/>
          <w:sz w:val="28"/>
          <w:szCs w:val="28"/>
        </w:rPr>
        <w:t>万元，占16.30%。</w:t>
      </w:r>
    </w:p>
    <w:p>
      <w:pPr>
        <w:spacing w:line="520" w:lineRule="exact"/>
        <w:ind w:firstLine="640" w:firstLineChars="200"/>
        <w:rPr>
          <w:rFonts w:ascii="仿宋" w:hAnsi="仿宋" w:eastAsia="仿宋"/>
          <w:sz w:val="28"/>
          <w:szCs w:val="28"/>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282575</wp:posOffset>
            </wp:positionH>
            <wp:positionV relativeFrom="paragraph">
              <wp:posOffset>107315</wp:posOffset>
            </wp:positionV>
            <wp:extent cx="4808220" cy="1995805"/>
            <wp:effectExtent l="4445" t="4445" r="13335" b="635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rPr>
          <w:rFonts w:ascii="仿宋" w:hAnsi="仿宋" w:eastAsia="仿宋"/>
          <w:sz w:val="28"/>
          <w:szCs w:val="28"/>
        </w:rPr>
      </w:pPr>
    </w:p>
    <w:p>
      <w:pPr>
        <w:spacing w:line="520" w:lineRule="exact"/>
        <w:ind w:firstLine="2240" w:firstLineChars="800"/>
        <w:rPr>
          <w:rFonts w:ascii="黑体" w:hAnsi="黑体" w:eastAsia="黑体"/>
          <w:sz w:val="28"/>
          <w:szCs w:val="28"/>
        </w:rPr>
      </w:pPr>
      <w:r>
        <w:rPr>
          <w:rFonts w:hint="eastAsia" w:ascii="仿宋" w:hAnsi="仿宋" w:eastAsia="仿宋"/>
          <w:sz w:val="28"/>
          <w:szCs w:val="28"/>
        </w:rPr>
        <w:t>（图3：支出决算结构图）</w:t>
      </w:r>
      <w:bookmarkStart w:id="29" w:name="_Toc15377208"/>
      <w:bookmarkStart w:id="30" w:name="_Toc19089868"/>
    </w:p>
    <w:p>
      <w:pPr>
        <w:spacing w:line="600" w:lineRule="exact"/>
        <w:ind w:firstLine="560" w:firstLineChars="200"/>
        <w:outlineLvl w:val="1"/>
        <w:rPr>
          <w:rFonts w:ascii="黑体" w:hAnsi="黑体" w:eastAsia="黑体" w:cstheme="majorBidi"/>
          <w:bCs/>
          <w:sz w:val="28"/>
          <w:szCs w:val="28"/>
        </w:rPr>
      </w:pPr>
      <w:r>
        <w:rPr>
          <w:rFonts w:hint="eastAsia" w:ascii="黑体" w:hAnsi="黑体" w:eastAsia="黑体"/>
          <w:sz w:val="28"/>
          <w:szCs w:val="28"/>
        </w:rPr>
        <w:t>四、财</w:t>
      </w:r>
      <w:r>
        <w:rPr>
          <w:rStyle w:val="27"/>
          <w:rFonts w:hint="eastAsia" w:ascii="黑体" w:hAnsi="黑体" w:eastAsia="黑体"/>
          <w:b w:val="0"/>
          <w:sz w:val="28"/>
          <w:szCs w:val="28"/>
        </w:rPr>
        <w:t>政拨款收入支出决算总体情况说明</w:t>
      </w:r>
      <w:bookmarkEnd w:id="29"/>
      <w:bookmarkEnd w:id="30"/>
    </w:p>
    <w:p>
      <w:pPr>
        <w:spacing w:line="520" w:lineRule="exact"/>
        <w:ind w:firstLine="560" w:firstLineChars="200"/>
        <w:rPr>
          <w:rFonts w:ascii="仿宋" w:hAnsi="仿宋" w:eastAsia="仿宋"/>
          <w:sz w:val="28"/>
          <w:szCs w:val="28"/>
        </w:rPr>
      </w:pPr>
      <w:r>
        <w:rPr>
          <w:rFonts w:hint="eastAsia" w:ascii="仿宋" w:hAnsi="仿宋" w:eastAsia="仿宋"/>
          <w:sz w:val="28"/>
          <w:szCs w:val="28"/>
        </w:rPr>
        <w:t>2022年财政拨款收、支总计</w:t>
      </w:r>
      <w:r>
        <w:rPr>
          <w:rFonts w:ascii="仿宋" w:hAnsi="仿宋" w:eastAsia="仿宋"/>
          <w:sz w:val="28"/>
          <w:szCs w:val="28"/>
        </w:rPr>
        <w:t>637.66</w:t>
      </w:r>
      <w:r>
        <w:rPr>
          <w:rFonts w:hint="eastAsia" w:ascii="仿宋" w:hAnsi="仿宋" w:eastAsia="仿宋"/>
          <w:sz w:val="28"/>
          <w:szCs w:val="28"/>
        </w:rPr>
        <w:t>万元。与2021年相比，财政拨款收、支总计各减少77.50万元，减少10.84%。主要变动原因是校舍维修项目减少。</w:t>
      </w:r>
    </w:p>
    <w:p>
      <w:pPr>
        <w:spacing w:line="520" w:lineRule="exact"/>
        <w:ind w:firstLine="560" w:firstLineChars="200"/>
        <w:jc w:val="center"/>
        <w:rPr>
          <w:rFonts w:ascii="仿宋" w:hAnsi="仿宋" w:eastAsia="仿宋"/>
          <w:b/>
          <w:sz w:val="28"/>
          <w:szCs w:val="28"/>
        </w:rPr>
      </w:pPr>
      <w:r>
        <w:rPr>
          <w:rFonts w:hint="eastAsia" w:ascii="仿宋" w:hAnsi="仿宋" w:eastAsia="仿宋"/>
          <w:sz w:val="28"/>
          <w:szCs w:val="28"/>
        </w:rPr>
        <w:drawing>
          <wp:anchor distT="0" distB="0" distL="114300" distR="114300" simplePos="0" relativeHeight="251662336" behindDoc="0" locked="0" layoutInCell="1" allowOverlap="1">
            <wp:simplePos x="0" y="0"/>
            <wp:positionH relativeFrom="column">
              <wp:posOffset>267335</wp:posOffset>
            </wp:positionH>
            <wp:positionV relativeFrom="paragraph">
              <wp:posOffset>203835</wp:posOffset>
            </wp:positionV>
            <wp:extent cx="5265420" cy="2134235"/>
            <wp:effectExtent l="4445" t="4445" r="13335" b="762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28"/>
          <w:szCs w:val="28"/>
        </w:rPr>
        <w:t>（图4：财政拨款收、支决算总计变动情况）</w:t>
      </w:r>
    </w:p>
    <w:p>
      <w:pPr>
        <w:spacing w:line="600" w:lineRule="exact"/>
        <w:ind w:firstLine="560" w:firstLineChars="200"/>
        <w:outlineLvl w:val="1"/>
        <w:rPr>
          <w:rFonts w:hint="eastAsia" w:ascii="黑体" w:hAnsi="黑体" w:eastAsia="黑体"/>
          <w:sz w:val="28"/>
          <w:szCs w:val="28"/>
        </w:rPr>
      </w:pPr>
      <w:bookmarkStart w:id="31" w:name="_Toc15377209"/>
      <w:bookmarkStart w:id="32" w:name="_Toc19089869"/>
    </w:p>
    <w:p>
      <w:pPr>
        <w:spacing w:line="600" w:lineRule="exact"/>
        <w:ind w:firstLine="560" w:firstLineChars="200"/>
        <w:outlineLvl w:val="1"/>
        <w:rPr>
          <w:rStyle w:val="27"/>
          <w:rFonts w:ascii="黑体" w:hAnsi="黑体" w:eastAsia="黑体"/>
          <w:b w:val="0"/>
          <w:sz w:val="28"/>
          <w:szCs w:val="28"/>
        </w:rPr>
      </w:pPr>
      <w:r>
        <w:rPr>
          <w:rFonts w:hint="eastAsia" w:ascii="黑体" w:hAnsi="黑体" w:eastAsia="黑体"/>
          <w:sz w:val="28"/>
          <w:szCs w:val="28"/>
        </w:rPr>
        <w:t>五、</w:t>
      </w:r>
      <w:r>
        <w:rPr>
          <w:rFonts w:hint="eastAsia" w:ascii="黑体" w:hAnsi="黑体" w:eastAsia="黑体"/>
          <w:b/>
          <w:sz w:val="28"/>
          <w:szCs w:val="28"/>
        </w:rPr>
        <w:t>一</w:t>
      </w:r>
      <w:r>
        <w:rPr>
          <w:rStyle w:val="27"/>
          <w:rFonts w:hint="eastAsia" w:ascii="黑体" w:hAnsi="黑体" w:eastAsia="黑体"/>
          <w:b w:val="0"/>
          <w:sz w:val="28"/>
          <w:szCs w:val="28"/>
        </w:rPr>
        <w:t>般公共预算财政拨款支出决算情况说明</w:t>
      </w:r>
      <w:bookmarkEnd w:id="31"/>
      <w:bookmarkEnd w:id="32"/>
    </w:p>
    <w:p>
      <w:pPr>
        <w:spacing w:line="520" w:lineRule="exact"/>
        <w:ind w:firstLine="560" w:firstLineChars="200"/>
        <w:rPr>
          <w:rFonts w:ascii="楷体" w:hAnsi="楷体" w:eastAsia="楷体" w:cs="楷体"/>
          <w:sz w:val="28"/>
          <w:szCs w:val="28"/>
        </w:rPr>
      </w:pPr>
      <w:bookmarkStart w:id="33" w:name="_Toc15377210"/>
      <w:r>
        <w:rPr>
          <w:rFonts w:hint="eastAsia" w:ascii="楷体" w:hAnsi="楷体" w:eastAsia="楷体" w:cs="楷体"/>
          <w:sz w:val="28"/>
          <w:szCs w:val="28"/>
        </w:rPr>
        <w:t>（一）一般公共预算财政拨款支出决算总体情况</w:t>
      </w:r>
      <w:bookmarkEnd w:id="33"/>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22年一般公共预算财政拨款支出</w:t>
      </w:r>
      <w:r>
        <w:rPr>
          <w:rFonts w:ascii="仿宋" w:hAnsi="仿宋" w:eastAsia="仿宋"/>
          <w:sz w:val="28"/>
          <w:szCs w:val="28"/>
        </w:rPr>
        <w:t>637.66</w:t>
      </w:r>
      <w:r>
        <w:rPr>
          <w:rFonts w:hint="eastAsia" w:ascii="仿宋" w:hAnsi="仿宋" w:eastAsia="仿宋"/>
          <w:sz w:val="28"/>
          <w:szCs w:val="28"/>
        </w:rPr>
        <w:t>万元，占本年支出合计的</w:t>
      </w:r>
      <w:r>
        <w:rPr>
          <w:rFonts w:hint="eastAsia" w:ascii="仿宋" w:hAnsi="仿宋" w:eastAsia="仿宋"/>
          <w:sz w:val="28"/>
          <w:szCs w:val="28"/>
          <w:lang w:val="en-US" w:eastAsia="zh-CN"/>
        </w:rPr>
        <w:t>99.67</w:t>
      </w:r>
      <w:r>
        <w:rPr>
          <w:rFonts w:ascii="仿宋" w:hAnsi="仿宋" w:eastAsia="仿宋"/>
          <w:sz w:val="28"/>
          <w:szCs w:val="28"/>
        </w:rPr>
        <w:t>%</w:t>
      </w:r>
      <w:r>
        <w:rPr>
          <w:rFonts w:hint="eastAsia" w:ascii="仿宋" w:hAnsi="仿宋" w:eastAsia="仿宋"/>
          <w:sz w:val="28"/>
          <w:szCs w:val="28"/>
        </w:rPr>
        <w:t>。与</w:t>
      </w:r>
      <w:r>
        <w:rPr>
          <w:rFonts w:ascii="仿宋" w:hAnsi="仿宋" w:eastAsia="仿宋"/>
          <w:sz w:val="28"/>
          <w:szCs w:val="28"/>
        </w:rPr>
        <w:t>20</w:t>
      </w:r>
      <w:r>
        <w:rPr>
          <w:rFonts w:hint="eastAsia" w:ascii="仿宋" w:hAnsi="仿宋" w:eastAsia="仿宋"/>
          <w:sz w:val="28"/>
          <w:szCs w:val="28"/>
        </w:rPr>
        <w:t>21年相比，一般公共预算财政拨款支出增加21万元，增加3.40</w:t>
      </w:r>
      <w:r>
        <w:rPr>
          <w:rFonts w:ascii="仿宋" w:hAnsi="仿宋" w:eastAsia="仿宋"/>
          <w:sz w:val="28"/>
          <w:szCs w:val="28"/>
        </w:rPr>
        <w:t>%</w:t>
      </w:r>
      <w:r>
        <w:rPr>
          <w:rFonts w:hint="eastAsia" w:ascii="仿宋" w:hAnsi="仿宋" w:eastAsia="仿宋"/>
          <w:sz w:val="28"/>
          <w:szCs w:val="28"/>
        </w:rPr>
        <w:t>。主要变动原因是教职工人数增加。</w:t>
      </w:r>
    </w:p>
    <w:p>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drawing>
          <wp:anchor distT="0" distB="0" distL="114300" distR="114300" simplePos="0" relativeHeight="251664384" behindDoc="0" locked="0" layoutInCell="1" allowOverlap="1">
            <wp:simplePos x="0" y="0"/>
            <wp:positionH relativeFrom="column">
              <wp:posOffset>138430</wp:posOffset>
            </wp:positionH>
            <wp:positionV relativeFrom="paragraph">
              <wp:posOffset>128270</wp:posOffset>
            </wp:positionV>
            <wp:extent cx="5198745" cy="1861185"/>
            <wp:effectExtent l="19050" t="0" r="2095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28"/>
          <w:szCs w:val="28"/>
        </w:rPr>
        <w:t>（图5：一般公共预算财政拨款支出决算变动情况）</w:t>
      </w:r>
    </w:p>
    <w:p>
      <w:pPr>
        <w:spacing w:line="520" w:lineRule="exact"/>
        <w:ind w:firstLine="560" w:firstLineChars="200"/>
        <w:rPr>
          <w:rFonts w:ascii="楷体" w:hAnsi="楷体" w:eastAsia="楷体" w:cs="楷体"/>
          <w:sz w:val="28"/>
          <w:szCs w:val="28"/>
        </w:rPr>
      </w:pPr>
      <w:bookmarkStart w:id="34" w:name="_Toc15377211"/>
      <w:r>
        <w:rPr>
          <w:rFonts w:hint="eastAsia" w:ascii="楷体" w:hAnsi="楷体" w:eastAsia="楷体" w:cs="楷体"/>
          <w:sz w:val="28"/>
          <w:szCs w:val="28"/>
        </w:rPr>
        <w:t>（二）一般公共预算财政拨款支出决算结构情况</w:t>
      </w:r>
      <w:bookmarkEnd w:id="34"/>
    </w:p>
    <w:p>
      <w:pPr>
        <w:spacing w:line="520" w:lineRule="exact"/>
        <w:ind w:firstLine="560" w:firstLineChars="200"/>
        <w:rPr>
          <w:rFonts w:ascii="仿宋" w:hAnsi="仿宋" w:eastAsia="仿宋"/>
          <w:sz w:val="28"/>
          <w:szCs w:val="28"/>
        </w:rPr>
      </w:pPr>
      <w:r>
        <w:rPr>
          <w:rFonts w:ascii="仿宋" w:hAnsi="仿宋" w:eastAsia="仿宋"/>
          <w:sz w:val="28"/>
          <w:szCs w:val="28"/>
        </w:rPr>
        <w:drawing>
          <wp:anchor distT="0" distB="0" distL="114300" distR="114300" simplePos="0" relativeHeight="251663360" behindDoc="0" locked="0" layoutInCell="1" allowOverlap="1">
            <wp:simplePos x="0" y="0"/>
            <wp:positionH relativeFrom="column">
              <wp:posOffset>211455</wp:posOffset>
            </wp:positionH>
            <wp:positionV relativeFrom="paragraph">
              <wp:posOffset>1440180</wp:posOffset>
            </wp:positionV>
            <wp:extent cx="5495925" cy="3013075"/>
            <wp:effectExtent l="19050" t="0" r="9525"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hAnsi="仿宋" w:eastAsia="仿宋"/>
          <w:sz w:val="28"/>
          <w:szCs w:val="28"/>
        </w:rPr>
        <w:t>20</w:t>
      </w:r>
      <w:r>
        <w:rPr>
          <w:rFonts w:hint="eastAsia" w:ascii="仿宋" w:hAnsi="仿宋" w:eastAsia="仿宋"/>
          <w:sz w:val="28"/>
          <w:szCs w:val="28"/>
        </w:rPr>
        <w:t>22年一般公共预算财政拨款支出</w:t>
      </w:r>
      <w:r>
        <w:rPr>
          <w:rFonts w:ascii="仿宋" w:hAnsi="仿宋" w:eastAsia="仿宋"/>
          <w:sz w:val="28"/>
          <w:szCs w:val="28"/>
        </w:rPr>
        <w:t>637.66</w:t>
      </w:r>
      <w:r>
        <w:rPr>
          <w:rFonts w:hint="eastAsia" w:ascii="仿宋" w:hAnsi="仿宋" w:eastAsia="仿宋"/>
          <w:sz w:val="28"/>
          <w:szCs w:val="28"/>
        </w:rPr>
        <w:t>万元，主要用于以下方面</w:t>
      </w:r>
      <w:r>
        <w:rPr>
          <w:rFonts w:ascii="仿宋" w:hAnsi="仿宋" w:eastAsia="仿宋"/>
          <w:sz w:val="28"/>
          <w:szCs w:val="28"/>
        </w:rPr>
        <w:t>:</w:t>
      </w:r>
      <w:r>
        <w:rPr>
          <w:rFonts w:hint="eastAsia" w:ascii="仿宋" w:hAnsi="仿宋" w:eastAsia="仿宋"/>
          <w:sz w:val="28"/>
          <w:szCs w:val="28"/>
        </w:rPr>
        <w:t>教育支出（类）</w:t>
      </w:r>
      <w:r>
        <w:rPr>
          <w:rFonts w:ascii="仿宋" w:hAnsi="仿宋" w:eastAsia="仿宋"/>
          <w:sz w:val="28"/>
          <w:szCs w:val="28"/>
        </w:rPr>
        <w:t>567.99</w:t>
      </w:r>
      <w:r>
        <w:rPr>
          <w:rFonts w:hint="eastAsia" w:ascii="仿宋" w:hAnsi="仿宋" w:eastAsia="仿宋"/>
          <w:sz w:val="28"/>
          <w:szCs w:val="28"/>
        </w:rPr>
        <w:t>万元，占89.07%；社会保障和就业（类）支出</w:t>
      </w:r>
      <w:r>
        <w:rPr>
          <w:rFonts w:ascii="仿宋" w:hAnsi="仿宋" w:eastAsia="仿宋"/>
          <w:sz w:val="28"/>
          <w:szCs w:val="28"/>
        </w:rPr>
        <w:t>48.48</w:t>
      </w:r>
      <w:r>
        <w:rPr>
          <w:rFonts w:hint="eastAsia" w:ascii="仿宋" w:hAnsi="仿宋" w:eastAsia="仿宋"/>
          <w:sz w:val="28"/>
          <w:szCs w:val="28"/>
        </w:rPr>
        <w:t>万元，占7.60</w:t>
      </w:r>
      <w:r>
        <w:rPr>
          <w:rFonts w:ascii="仿宋" w:hAnsi="仿宋" w:eastAsia="仿宋"/>
          <w:sz w:val="28"/>
          <w:szCs w:val="28"/>
        </w:rPr>
        <w:t>%</w:t>
      </w:r>
      <w:r>
        <w:rPr>
          <w:rFonts w:hint="eastAsia" w:ascii="仿宋" w:hAnsi="仿宋" w:eastAsia="仿宋"/>
          <w:sz w:val="28"/>
          <w:szCs w:val="28"/>
        </w:rPr>
        <w:t>；卫生健康（类）支出</w:t>
      </w:r>
      <w:r>
        <w:rPr>
          <w:rFonts w:ascii="仿宋" w:hAnsi="仿宋" w:eastAsia="仿宋"/>
          <w:sz w:val="28"/>
          <w:szCs w:val="28"/>
        </w:rPr>
        <w:t>21.19</w:t>
      </w:r>
      <w:r>
        <w:rPr>
          <w:rFonts w:hint="eastAsia" w:ascii="仿宋" w:hAnsi="仿宋" w:eastAsia="仿宋"/>
          <w:sz w:val="28"/>
          <w:szCs w:val="28"/>
        </w:rPr>
        <w:t>万元，占3.32%。</w:t>
      </w:r>
    </w:p>
    <w:p>
      <w:pPr>
        <w:spacing w:line="600" w:lineRule="exact"/>
        <w:ind w:firstLine="560" w:firstLineChars="200"/>
        <w:jc w:val="center"/>
        <w:rPr>
          <w:rFonts w:ascii="仿宋" w:hAnsi="仿宋" w:eastAsia="仿宋"/>
          <w:sz w:val="28"/>
          <w:szCs w:val="28"/>
        </w:rPr>
      </w:pPr>
      <w:r>
        <w:rPr>
          <w:rFonts w:hint="eastAsia" w:ascii="仿宋" w:hAnsi="仿宋" w:eastAsia="仿宋"/>
          <w:sz w:val="28"/>
          <w:szCs w:val="28"/>
        </w:rPr>
        <w:t>（图6：一般公共预算财政拨款支出决算结构）</w:t>
      </w:r>
    </w:p>
    <w:p>
      <w:pPr>
        <w:spacing w:line="520" w:lineRule="exact"/>
        <w:ind w:firstLine="560" w:firstLineChars="200"/>
        <w:rPr>
          <w:rFonts w:ascii="楷体" w:hAnsi="楷体" w:eastAsia="楷体" w:cs="楷体"/>
          <w:sz w:val="28"/>
          <w:szCs w:val="28"/>
        </w:rPr>
      </w:pPr>
      <w:bookmarkStart w:id="35" w:name="_Toc15377212"/>
      <w:r>
        <w:rPr>
          <w:rFonts w:hint="eastAsia" w:ascii="楷体" w:hAnsi="楷体" w:eastAsia="楷体" w:cs="楷体"/>
          <w:sz w:val="28"/>
          <w:szCs w:val="28"/>
        </w:rPr>
        <w:t>（三）一般公共预算财政拨款支出决算具体情况</w:t>
      </w:r>
      <w:bookmarkEnd w:id="35"/>
    </w:p>
    <w:p>
      <w:pPr>
        <w:spacing w:line="520" w:lineRule="exact"/>
        <w:ind w:firstLine="536" w:firstLineChars="200"/>
        <w:rPr>
          <w:rFonts w:ascii="仿宋" w:hAnsi="仿宋" w:eastAsia="仿宋"/>
          <w:spacing w:val="-6"/>
          <w:sz w:val="28"/>
          <w:szCs w:val="28"/>
        </w:rPr>
      </w:pPr>
      <w:bookmarkStart w:id="36" w:name="_Toc15378460"/>
      <w:bookmarkStart w:id="37" w:name="_Toc15377213"/>
      <w:bookmarkStart w:id="38" w:name="_Toc15377444"/>
      <w:r>
        <w:rPr>
          <w:rFonts w:hint="eastAsia" w:ascii="仿宋" w:hAnsi="仿宋" w:eastAsia="仿宋"/>
          <w:spacing w:val="-6"/>
          <w:sz w:val="28"/>
          <w:szCs w:val="28"/>
        </w:rPr>
        <w:t>2022年一般公共预算支出决算数为</w:t>
      </w:r>
      <w:r>
        <w:rPr>
          <w:rFonts w:ascii="仿宋" w:hAnsi="仿宋" w:eastAsia="仿宋"/>
          <w:spacing w:val="-6"/>
          <w:sz w:val="28"/>
          <w:szCs w:val="28"/>
        </w:rPr>
        <w:t>637.66</w:t>
      </w:r>
      <w:r>
        <w:rPr>
          <w:rFonts w:hint="eastAsia" w:ascii="仿宋" w:hAnsi="仿宋" w:eastAsia="仿宋"/>
          <w:spacing w:val="-6"/>
          <w:sz w:val="28"/>
          <w:szCs w:val="28"/>
        </w:rPr>
        <w:t>万元，完成预算100</w:t>
      </w:r>
      <w:r>
        <w:rPr>
          <w:rFonts w:ascii="仿宋" w:hAnsi="仿宋" w:eastAsia="仿宋"/>
          <w:spacing w:val="-6"/>
          <w:sz w:val="28"/>
          <w:szCs w:val="28"/>
        </w:rPr>
        <w:t>%</w:t>
      </w:r>
      <w:r>
        <w:rPr>
          <w:rFonts w:hint="eastAsia" w:ascii="仿宋" w:hAnsi="仿宋" w:eastAsia="仿宋"/>
          <w:spacing w:val="-6"/>
          <w:sz w:val="28"/>
          <w:szCs w:val="28"/>
        </w:rPr>
        <w:t>。</w:t>
      </w:r>
    </w:p>
    <w:p>
      <w:pPr>
        <w:spacing w:line="520" w:lineRule="exact"/>
        <w:ind w:firstLine="536" w:firstLineChars="200"/>
        <w:rPr>
          <w:rFonts w:ascii="仿宋" w:hAnsi="仿宋" w:eastAsia="仿宋"/>
          <w:spacing w:val="-6"/>
          <w:sz w:val="28"/>
          <w:szCs w:val="28"/>
        </w:rPr>
      </w:pPr>
      <w:r>
        <w:rPr>
          <w:rFonts w:hint="eastAsia" w:ascii="仿宋" w:hAnsi="仿宋" w:eastAsia="仿宋"/>
          <w:spacing w:val="-6"/>
          <w:sz w:val="28"/>
          <w:szCs w:val="28"/>
        </w:rPr>
        <w:t>其中：</w:t>
      </w:r>
      <w:bookmarkEnd w:id="36"/>
      <w:bookmarkEnd w:id="37"/>
      <w:bookmarkEnd w:id="38"/>
    </w:p>
    <w:p>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.教育支出</w:t>
      </w:r>
      <w:r>
        <w:rPr>
          <w:rFonts w:hint="eastAsia" w:ascii="仿宋" w:hAnsi="仿宋" w:eastAsia="仿宋"/>
          <w:sz w:val="28"/>
          <w:szCs w:val="28"/>
        </w:rPr>
        <w:t>（类）普通教育（款）学前教育（项）</w:t>
      </w:r>
      <w:r>
        <w:rPr>
          <w:rFonts w:ascii="仿宋" w:hAnsi="仿宋" w:eastAsia="仿宋"/>
          <w:sz w:val="28"/>
          <w:szCs w:val="28"/>
        </w:rPr>
        <w:t xml:space="preserve">: </w:t>
      </w:r>
      <w:r>
        <w:rPr>
          <w:rFonts w:hint="eastAsia" w:ascii="仿宋" w:hAnsi="仿宋" w:eastAsia="仿宋"/>
          <w:sz w:val="28"/>
          <w:szCs w:val="28"/>
        </w:rPr>
        <w:t>支出决算数为</w:t>
      </w:r>
      <w:r>
        <w:rPr>
          <w:rFonts w:ascii="仿宋" w:hAnsi="仿宋" w:eastAsia="仿宋"/>
          <w:sz w:val="28"/>
          <w:szCs w:val="28"/>
        </w:rPr>
        <w:t>29.84</w:t>
      </w:r>
      <w:r>
        <w:rPr>
          <w:rFonts w:hint="eastAsia" w:ascii="仿宋" w:hAnsi="仿宋" w:eastAsia="仿宋"/>
          <w:sz w:val="28"/>
          <w:szCs w:val="28"/>
        </w:rPr>
        <w:t>万元，完成预算100.00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教育支出</w:t>
      </w:r>
      <w:r>
        <w:rPr>
          <w:rFonts w:hint="eastAsia" w:ascii="仿宋" w:hAnsi="仿宋" w:eastAsia="仿宋"/>
          <w:sz w:val="28"/>
          <w:szCs w:val="28"/>
        </w:rPr>
        <w:t>（类）普通教育（款）小学教育（项）</w:t>
      </w:r>
      <w:r>
        <w:rPr>
          <w:rFonts w:ascii="仿宋" w:hAnsi="仿宋" w:eastAsia="仿宋"/>
          <w:sz w:val="28"/>
          <w:szCs w:val="28"/>
        </w:rPr>
        <w:t xml:space="preserve">: </w:t>
      </w:r>
      <w:r>
        <w:rPr>
          <w:rFonts w:hint="eastAsia" w:ascii="仿宋" w:hAnsi="仿宋" w:eastAsia="仿宋"/>
          <w:sz w:val="28"/>
          <w:szCs w:val="28"/>
        </w:rPr>
        <w:t>支出决算数为</w:t>
      </w:r>
      <w:r>
        <w:rPr>
          <w:rFonts w:ascii="仿宋" w:hAnsi="仿宋" w:eastAsia="仿宋"/>
          <w:sz w:val="28"/>
          <w:szCs w:val="28"/>
        </w:rPr>
        <w:t>531.15</w:t>
      </w:r>
      <w:r>
        <w:rPr>
          <w:rFonts w:hint="eastAsia" w:ascii="仿宋" w:hAnsi="仿宋" w:eastAsia="仿宋"/>
          <w:sz w:val="28"/>
          <w:szCs w:val="28"/>
        </w:rPr>
        <w:t>万元，完成预算100.00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教育支出</w:t>
      </w:r>
      <w:r>
        <w:rPr>
          <w:rFonts w:hint="eastAsia" w:ascii="仿宋" w:hAnsi="仿宋" w:eastAsia="仿宋"/>
          <w:sz w:val="28"/>
          <w:szCs w:val="28"/>
        </w:rPr>
        <w:t>（类）普通教育（款）其他普通教育支出（项）</w:t>
      </w:r>
      <w:r>
        <w:rPr>
          <w:rFonts w:ascii="仿宋" w:hAnsi="仿宋" w:eastAsia="仿宋"/>
          <w:sz w:val="28"/>
          <w:szCs w:val="28"/>
        </w:rPr>
        <w:t xml:space="preserve">: </w:t>
      </w:r>
      <w:r>
        <w:rPr>
          <w:rFonts w:hint="eastAsia" w:ascii="仿宋" w:hAnsi="仿宋" w:eastAsia="仿宋"/>
          <w:sz w:val="28"/>
          <w:szCs w:val="28"/>
        </w:rPr>
        <w:t>支出决算数为</w:t>
      </w:r>
      <w:r>
        <w:rPr>
          <w:rFonts w:ascii="仿宋" w:hAnsi="仿宋" w:eastAsia="仿宋"/>
          <w:sz w:val="28"/>
          <w:szCs w:val="28"/>
        </w:rPr>
        <w:t>7</w:t>
      </w:r>
      <w:r>
        <w:rPr>
          <w:rFonts w:hint="eastAsia" w:ascii="仿宋" w:hAnsi="仿宋" w:eastAsia="仿宋"/>
          <w:sz w:val="28"/>
          <w:szCs w:val="28"/>
        </w:rPr>
        <w:t>万元，完成预算100.00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社会保障和就业支出</w:t>
      </w:r>
      <w:r>
        <w:rPr>
          <w:rFonts w:hint="eastAsia" w:ascii="仿宋" w:hAnsi="仿宋" w:eastAsia="仿宋"/>
          <w:sz w:val="28"/>
          <w:szCs w:val="28"/>
        </w:rPr>
        <w:t>（类）行政事业单位离退休（款）机关事业单位基本养老保险缴费支出（项）</w:t>
      </w:r>
      <w:r>
        <w:rPr>
          <w:rFonts w:ascii="仿宋" w:hAnsi="仿宋" w:eastAsia="仿宋"/>
          <w:sz w:val="28"/>
          <w:szCs w:val="28"/>
        </w:rPr>
        <w:t xml:space="preserve">: </w:t>
      </w:r>
      <w:r>
        <w:rPr>
          <w:rFonts w:hint="eastAsia" w:ascii="仿宋" w:hAnsi="仿宋" w:eastAsia="仿宋"/>
          <w:sz w:val="28"/>
          <w:szCs w:val="28"/>
        </w:rPr>
        <w:t>支出决算为</w:t>
      </w:r>
      <w:r>
        <w:rPr>
          <w:rFonts w:ascii="仿宋" w:hAnsi="仿宋" w:eastAsia="仿宋"/>
          <w:sz w:val="28"/>
          <w:szCs w:val="28"/>
        </w:rPr>
        <w:t>46.94</w:t>
      </w:r>
      <w:r>
        <w:rPr>
          <w:rFonts w:hint="eastAsia" w:ascii="仿宋" w:hAnsi="仿宋" w:eastAsia="仿宋"/>
          <w:sz w:val="28"/>
          <w:szCs w:val="28"/>
        </w:rPr>
        <w:t>万元，完成预算100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sz w:val="28"/>
          <w:szCs w:val="28"/>
        </w:rPr>
      </w:pPr>
      <w:r>
        <w:rPr>
          <w:rFonts w:hint="eastAsia" w:ascii="仿宋" w:hAnsi="仿宋" w:eastAsia="仿宋"/>
          <w:sz w:val="28"/>
          <w:szCs w:val="28"/>
        </w:rPr>
        <w:t>5</w:t>
      </w:r>
      <w:r>
        <w:rPr>
          <w:rFonts w:ascii="仿宋" w:hAnsi="仿宋" w:eastAsia="仿宋"/>
          <w:sz w:val="28"/>
          <w:szCs w:val="28"/>
        </w:rPr>
        <w:t>. 社会保障和就业支出</w:t>
      </w:r>
      <w:r>
        <w:rPr>
          <w:rFonts w:hint="eastAsia" w:ascii="仿宋" w:hAnsi="仿宋" w:eastAsia="仿宋"/>
          <w:sz w:val="28"/>
          <w:szCs w:val="28"/>
        </w:rPr>
        <w:t>（类）行政事业单位离退休（款）机关事业单位职业年金缴费支出（项）</w:t>
      </w:r>
      <w:r>
        <w:rPr>
          <w:rFonts w:ascii="仿宋" w:hAnsi="仿宋" w:eastAsia="仿宋"/>
          <w:sz w:val="28"/>
          <w:szCs w:val="28"/>
        </w:rPr>
        <w:t xml:space="preserve">: </w:t>
      </w:r>
      <w:r>
        <w:rPr>
          <w:rFonts w:hint="eastAsia" w:ascii="仿宋" w:hAnsi="仿宋" w:eastAsia="仿宋"/>
          <w:sz w:val="28"/>
          <w:szCs w:val="28"/>
        </w:rPr>
        <w:t>支出决算为</w:t>
      </w:r>
      <w:r>
        <w:rPr>
          <w:rFonts w:ascii="仿宋" w:hAnsi="仿宋" w:eastAsia="仿宋"/>
          <w:sz w:val="28"/>
          <w:szCs w:val="28"/>
        </w:rPr>
        <w:t>1.54</w:t>
      </w:r>
      <w:r>
        <w:rPr>
          <w:rFonts w:hint="eastAsia" w:ascii="仿宋" w:hAnsi="仿宋" w:eastAsia="仿宋"/>
          <w:sz w:val="28"/>
          <w:szCs w:val="28"/>
        </w:rPr>
        <w:t>万元，完成预算100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6. 卫生健康支出</w:t>
      </w:r>
      <w:r>
        <w:rPr>
          <w:rFonts w:hint="eastAsia"/>
          <w:b/>
          <w:sz w:val="28"/>
          <w:szCs w:val="28"/>
        </w:rPr>
        <w:t>（</w:t>
      </w:r>
      <w:r>
        <w:rPr>
          <w:rFonts w:hint="eastAsia" w:ascii="仿宋" w:hAnsi="仿宋" w:eastAsia="仿宋"/>
          <w:sz w:val="28"/>
          <w:szCs w:val="28"/>
        </w:rPr>
        <w:t>类）行政事业单位医疗（款）行政单位医疗（项）</w:t>
      </w:r>
      <w:r>
        <w:rPr>
          <w:rFonts w:ascii="仿宋" w:hAnsi="仿宋" w:eastAsia="仿宋"/>
          <w:sz w:val="28"/>
          <w:szCs w:val="28"/>
        </w:rPr>
        <w:t xml:space="preserve">: </w:t>
      </w:r>
      <w:r>
        <w:rPr>
          <w:rFonts w:hint="eastAsia" w:ascii="仿宋" w:hAnsi="仿宋" w:eastAsia="仿宋"/>
          <w:sz w:val="28"/>
          <w:szCs w:val="28"/>
        </w:rPr>
        <w:t>支出决算为</w:t>
      </w:r>
      <w:r>
        <w:rPr>
          <w:rFonts w:ascii="仿宋" w:hAnsi="仿宋" w:eastAsia="仿宋"/>
          <w:sz w:val="28"/>
          <w:szCs w:val="28"/>
        </w:rPr>
        <w:t>21.19</w:t>
      </w:r>
      <w:r>
        <w:rPr>
          <w:rFonts w:hint="eastAsia" w:ascii="仿宋" w:hAnsi="仿宋" w:eastAsia="仿宋"/>
          <w:sz w:val="28"/>
          <w:szCs w:val="28"/>
        </w:rPr>
        <w:t>万元，完成预算100</w:t>
      </w:r>
      <w:r>
        <w:rPr>
          <w:rFonts w:ascii="仿宋" w:hAnsi="仿宋" w:eastAsia="仿宋"/>
          <w:sz w:val="28"/>
          <w:szCs w:val="28"/>
        </w:rPr>
        <w:t>%</w:t>
      </w:r>
      <w:r>
        <w:rPr>
          <w:rFonts w:hint="eastAsia" w:ascii="仿宋" w:hAnsi="仿宋" w:eastAsia="仿宋"/>
          <w:sz w:val="28"/>
          <w:szCs w:val="28"/>
        </w:rPr>
        <w:t>。</w:t>
      </w:r>
    </w:p>
    <w:p>
      <w:pPr>
        <w:spacing w:line="600" w:lineRule="exact"/>
        <w:ind w:firstLine="640"/>
        <w:rPr>
          <w:rStyle w:val="27"/>
          <w:sz w:val="28"/>
          <w:szCs w:val="28"/>
        </w:rPr>
      </w:pPr>
      <w:bookmarkStart w:id="39" w:name="_Toc15377214"/>
      <w:r>
        <w:rPr>
          <w:rFonts w:hint="eastAsia" w:ascii="黑体" w:eastAsia="黑体"/>
          <w:sz w:val="28"/>
          <w:szCs w:val="28"/>
        </w:rPr>
        <w:t>六</w:t>
      </w:r>
      <w:r>
        <w:rPr>
          <w:rFonts w:hint="eastAsia" w:ascii="黑体" w:eastAsia="黑体"/>
          <w:b/>
          <w:sz w:val="28"/>
          <w:szCs w:val="28"/>
        </w:rPr>
        <w:t>、</w:t>
      </w:r>
      <w:r>
        <w:rPr>
          <w:rFonts w:hint="eastAsia" w:ascii="黑体" w:hAnsi="黑体" w:eastAsia="黑体"/>
          <w:b/>
          <w:sz w:val="28"/>
          <w:szCs w:val="28"/>
        </w:rPr>
        <w:t>一</w:t>
      </w:r>
      <w:r>
        <w:rPr>
          <w:rStyle w:val="27"/>
          <w:rFonts w:hint="eastAsia" w:ascii="黑体" w:hAnsi="黑体" w:eastAsia="黑体"/>
          <w:b w:val="0"/>
          <w:sz w:val="28"/>
          <w:szCs w:val="28"/>
        </w:rPr>
        <w:t>般公共预算财政拨款基本支出决算情况说明</w:t>
      </w:r>
      <w:bookmarkEnd w:id="39"/>
      <w:r>
        <w:rPr>
          <w:rStyle w:val="27"/>
          <w:rFonts w:ascii="黑体" w:hAnsi="黑体" w:eastAsia="黑体"/>
          <w:b w:val="0"/>
          <w:sz w:val="28"/>
          <w:szCs w:val="28"/>
        </w:rPr>
        <w:tab/>
      </w:r>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22年一般公共预算财政拨款基本支出</w:t>
      </w:r>
      <w:r>
        <w:rPr>
          <w:rFonts w:ascii="仿宋" w:hAnsi="仿宋" w:eastAsia="仿宋"/>
          <w:sz w:val="28"/>
          <w:szCs w:val="28"/>
        </w:rPr>
        <w:t>533.39</w:t>
      </w:r>
      <w:r>
        <w:rPr>
          <w:rFonts w:hint="eastAsia" w:ascii="仿宋" w:hAnsi="仿宋" w:eastAsia="仿宋"/>
          <w:sz w:val="28"/>
          <w:szCs w:val="28"/>
        </w:rPr>
        <w:t>万元，其中：人员经费</w:t>
      </w:r>
      <w:r>
        <w:rPr>
          <w:rFonts w:ascii="仿宋" w:hAnsi="仿宋" w:eastAsia="仿宋"/>
          <w:sz w:val="28"/>
          <w:szCs w:val="28"/>
        </w:rPr>
        <w:t>431.7</w:t>
      </w:r>
      <w:r>
        <w:rPr>
          <w:rFonts w:hint="eastAsia" w:ascii="仿宋" w:hAnsi="仿宋" w:eastAsia="仿宋"/>
          <w:sz w:val="28"/>
          <w:szCs w:val="28"/>
        </w:rPr>
        <w:t>万元，主要包括：主要包括：基本工资、津贴补贴、绩效工资、机关事业单位基本养老保险缴费、职业年金缴费、其他社会保障缴费、职工基本医疗保险缴费、其他工资福利支出、生活补助、抚恤金。</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公用经费</w:t>
      </w:r>
      <w:r>
        <w:rPr>
          <w:rFonts w:ascii="仿宋" w:hAnsi="仿宋" w:eastAsia="仿宋"/>
          <w:sz w:val="28"/>
          <w:szCs w:val="28"/>
        </w:rPr>
        <w:t>101.69</w:t>
      </w:r>
      <w:r>
        <w:rPr>
          <w:rFonts w:hint="eastAsia" w:ascii="仿宋" w:hAnsi="仿宋" w:eastAsia="仿宋"/>
          <w:sz w:val="28"/>
          <w:szCs w:val="28"/>
        </w:rPr>
        <w:t>万元，主要包括：办公费、印刷费、水费、电费、邮电费、差旅费、维修（护）费、培训费、劳务费、工会经费。</w:t>
      </w:r>
    </w:p>
    <w:p>
      <w:pPr>
        <w:numPr>
          <w:ilvl w:val="0"/>
          <w:numId w:val="3"/>
        </w:numPr>
        <w:spacing w:line="600" w:lineRule="exact"/>
        <w:ind w:firstLine="562" w:firstLineChars="200"/>
        <w:rPr>
          <w:rStyle w:val="27"/>
          <w:rFonts w:ascii="黑体" w:hAnsi="黑体" w:eastAsia="黑体"/>
          <w:b w:val="0"/>
          <w:sz w:val="28"/>
          <w:szCs w:val="28"/>
        </w:rPr>
      </w:pPr>
      <w:bookmarkStart w:id="40" w:name="_Toc15377215"/>
      <w:bookmarkStart w:id="41" w:name="_Toc19089870"/>
      <w:bookmarkStart w:id="42" w:name="_Toc19089873"/>
      <w:r>
        <w:rPr>
          <w:rStyle w:val="27"/>
          <w:rFonts w:hint="eastAsia" w:ascii="黑体" w:hAnsi="黑体" w:eastAsia="黑体"/>
          <w:sz w:val="28"/>
          <w:szCs w:val="28"/>
        </w:rPr>
        <w:t>“三公”经费财政拨款支出决算</w:t>
      </w:r>
      <w:bookmarkEnd w:id="40"/>
      <w:bookmarkEnd w:id="41"/>
      <w:bookmarkStart w:id="43" w:name="_Toc15377218"/>
      <w:r>
        <w:rPr>
          <w:rStyle w:val="27"/>
          <w:rFonts w:hint="eastAsia" w:ascii="黑体" w:hAnsi="黑体" w:eastAsia="黑体"/>
          <w:sz w:val="28"/>
          <w:szCs w:val="28"/>
        </w:rPr>
        <w:t>情况说明</w:t>
      </w:r>
    </w:p>
    <w:p>
      <w:pPr>
        <w:spacing w:line="600" w:lineRule="exact"/>
        <w:ind w:firstLine="640"/>
        <w:outlineLvl w:val="2"/>
        <w:rPr>
          <w:rFonts w:ascii="仿宋" w:hAnsi="仿宋" w:eastAsia="仿宋"/>
          <w:b/>
          <w:color w:val="auto"/>
          <w:sz w:val="32"/>
          <w:szCs w:val="32"/>
          <w:highlight w:val="none"/>
        </w:rPr>
      </w:pPr>
      <w:bookmarkStart w:id="44" w:name="_Toc15377216"/>
      <w:bookmarkStart w:id="45" w:name="_Toc19089871"/>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spacing w:line="600" w:lineRule="exact"/>
        <w:ind w:firstLine="640"/>
        <w:outlineLvl w:val="2"/>
        <w:rPr>
          <w:rFonts w:ascii="仿宋" w:hAnsi="仿宋" w:eastAsia="仿宋"/>
          <w:b/>
          <w:color w:val="auto"/>
          <w:sz w:val="32"/>
          <w:szCs w:val="32"/>
          <w:highlight w:val="none"/>
        </w:rPr>
      </w:pPr>
      <w:bookmarkStart w:id="46" w:name="_Toc15377217"/>
      <w:r>
        <w:rPr>
          <w:rFonts w:hint="eastAsia" w:ascii="仿宋" w:hAnsi="仿宋" w:eastAsia="仿宋"/>
          <w:b/>
          <w:color w:val="auto"/>
          <w:sz w:val="32"/>
          <w:szCs w:val="32"/>
          <w:highlight w:val="none"/>
        </w:rPr>
        <w:t>（二）“三公”经费财政拨款支出决算具体情况说明</w:t>
      </w:r>
      <w:bookmarkEnd w:id="4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numPr>
          <w:ilvl w:val="0"/>
          <w:numId w:val="4"/>
        </w:num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p>
    <w:p>
      <w:pPr>
        <w:numPr>
          <w:ilvl w:val="0"/>
          <w:numId w:val="0"/>
        </w:numPr>
        <w:spacing w:line="600" w:lineRule="exact"/>
        <w:ind w:firstLine="643" w:firstLineChars="200"/>
        <w:rPr>
          <w:rFonts w:hint="eastAsia" w:ascii="仿宋_GB2312" w:eastAsia="仿宋_GB2312"/>
          <w:b/>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left="0" w:leftChars="0" w:firstLine="640" w:firstLineChars="0"/>
        <w:rPr>
          <w:rFonts w:hint="eastAsia" w:ascii="仿宋_GB2312" w:eastAsia="仿宋_GB2312"/>
          <w:color w:val="auto"/>
          <w:sz w:val="32"/>
          <w:szCs w:val="32"/>
          <w:highlight w:val="none"/>
          <w:lang w:val="en-US" w:eastAsia="zh-CN"/>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较2021年持平。</w:t>
      </w:r>
    </w:p>
    <w:p>
      <w:pPr>
        <w:numPr>
          <w:ilvl w:val="0"/>
          <w:numId w:val="0"/>
        </w:numPr>
        <w:spacing w:line="600" w:lineRule="exact"/>
        <w:ind w:left="640" w:left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p>
    <w:p>
      <w:pPr>
        <w:numPr>
          <w:ilvl w:val="0"/>
          <w:numId w:val="0"/>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firstLineChars="200"/>
        <w:rPr>
          <w:rFonts w:hint="eastAsia" w:ascii="仿宋_GB2312" w:eastAsia="仿宋_GB2312"/>
          <w:color w:val="auto"/>
          <w:sz w:val="32"/>
          <w:szCs w:val="32"/>
          <w:highlight w:val="none"/>
        </w:rPr>
      </w:pPr>
    </w:p>
    <w:p>
      <w:pPr>
        <w:spacing w:line="600" w:lineRule="exact"/>
        <w:ind w:firstLine="560" w:firstLineChars="200"/>
        <w:outlineLvl w:val="1"/>
        <w:rPr>
          <w:rStyle w:val="27"/>
          <w:rFonts w:ascii="黑体" w:hAnsi="黑体" w:eastAsia="黑体"/>
          <w:sz w:val="28"/>
          <w:szCs w:val="28"/>
        </w:rPr>
      </w:pPr>
      <w:r>
        <w:rPr>
          <w:rFonts w:hint="eastAsia" w:ascii="黑体" w:eastAsia="黑体"/>
          <w:sz w:val="28"/>
          <w:szCs w:val="28"/>
        </w:rPr>
        <w:t>八、</w:t>
      </w:r>
      <w:r>
        <w:rPr>
          <w:rStyle w:val="27"/>
          <w:rFonts w:hint="eastAsia" w:ascii="黑体" w:hAnsi="黑体" w:eastAsia="黑体"/>
          <w:sz w:val="28"/>
          <w:szCs w:val="28"/>
        </w:rPr>
        <w:t>政府性基金预算支出决算情况说明</w:t>
      </w:r>
      <w:bookmarkEnd w:id="43"/>
      <w:bookmarkEnd w:id="45"/>
    </w:p>
    <w:p>
      <w:pPr>
        <w:spacing w:line="600" w:lineRule="exact"/>
        <w:ind w:firstLine="64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22年政府性基金预算拨款支出0.00万元。</w:t>
      </w:r>
    </w:p>
    <w:p>
      <w:pPr>
        <w:numPr>
          <w:ilvl w:val="0"/>
          <w:numId w:val="5"/>
        </w:numPr>
        <w:spacing w:line="600" w:lineRule="exact"/>
        <w:ind w:firstLine="640"/>
        <w:outlineLvl w:val="1"/>
        <w:rPr>
          <w:rStyle w:val="27"/>
          <w:rFonts w:ascii="黑体" w:hAnsi="黑体" w:eastAsia="黑体"/>
          <w:b w:val="0"/>
          <w:sz w:val="28"/>
          <w:szCs w:val="28"/>
        </w:rPr>
      </w:pPr>
      <w:bookmarkStart w:id="47" w:name="_Toc15377219"/>
      <w:bookmarkStart w:id="48" w:name="_Toc19089872"/>
      <w:r>
        <w:rPr>
          <w:rStyle w:val="27"/>
          <w:rFonts w:hint="eastAsia" w:ascii="黑体" w:hAnsi="黑体" w:eastAsia="黑体"/>
          <w:sz w:val="28"/>
          <w:szCs w:val="28"/>
        </w:rPr>
        <w:t>国有资本经营预算支出决算情况说明</w:t>
      </w:r>
      <w:bookmarkEnd w:id="47"/>
      <w:bookmarkEnd w:id="48"/>
    </w:p>
    <w:p>
      <w:pPr>
        <w:spacing w:line="600" w:lineRule="exact"/>
        <w:ind w:firstLine="64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22年国有资本经营预算拨款支出0.00万元。</w:t>
      </w:r>
    </w:p>
    <w:p>
      <w:pPr>
        <w:pStyle w:val="25"/>
        <w:numPr>
          <w:ilvl w:val="0"/>
          <w:numId w:val="6"/>
        </w:numPr>
        <w:spacing w:line="600" w:lineRule="exact"/>
        <w:ind w:firstLineChars="0"/>
        <w:rPr>
          <w:rStyle w:val="27"/>
          <w:rFonts w:ascii="黑体" w:hAnsi="黑体" w:eastAsia="黑体"/>
          <w:b w:val="0"/>
          <w:color w:val="000000" w:themeColor="text1"/>
          <w:sz w:val="28"/>
          <w:szCs w:val="28"/>
        </w:rPr>
      </w:pPr>
      <w:r>
        <w:rPr>
          <w:rStyle w:val="27"/>
          <w:rFonts w:hint="eastAsia" w:ascii="黑体" w:hAnsi="黑体" w:eastAsia="黑体"/>
          <w:b w:val="0"/>
          <w:color w:val="000000" w:themeColor="text1"/>
          <w:sz w:val="28"/>
          <w:szCs w:val="28"/>
        </w:rPr>
        <w:t>其他重要事项的情况说明</w:t>
      </w:r>
    </w:p>
    <w:p>
      <w:pPr>
        <w:spacing w:line="600" w:lineRule="exact"/>
        <w:ind w:left="709"/>
        <w:outlineLvl w:val="2"/>
        <w:rPr>
          <w:rFonts w:ascii="仿宋" w:hAnsi="仿宋" w:eastAsia="仿宋"/>
          <w:sz w:val="32"/>
          <w:szCs w:val="32"/>
        </w:rPr>
      </w:pPr>
      <w:bookmarkStart w:id="49" w:name="_Toc15377222"/>
      <w:r>
        <w:rPr>
          <w:rFonts w:hint="eastAsia" w:ascii="仿宋" w:hAnsi="仿宋" w:eastAsia="仿宋"/>
          <w:b/>
          <w:sz w:val="32"/>
          <w:szCs w:val="32"/>
        </w:rPr>
        <w:t>（一）机关运行经费支出情况</w:t>
      </w:r>
      <w:bookmarkEnd w:id="49"/>
    </w:p>
    <w:p>
      <w:pPr>
        <w:spacing w:line="600" w:lineRule="exact"/>
        <w:ind w:firstLine="64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22年，本</w:t>
      </w:r>
      <w:r>
        <w:rPr>
          <w:rFonts w:ascii="仿宋" w:hAnsi="仿宋" w:eastAsia="仿宋"/>
          <w:sz w:val="28"/>
          <w:szCs w:val="28"/>
        </w:rPr>
        <w:t>单位</w:t>
      </w:r>
      <w:r>
        <w:rPr>
          <w:rFonts w:hint="eastAsia" w:ascii="仿宋" w:hAnsi="仿宋" w:eastAsia="仿宋"/>
          <w:sz w:val="28"/>
          <w:szCs w:val="28"/>
        </w:rPr>
        <w:t>机关运行经费支出0.00万元，与</w:t>
      </w:r>
      <w:r>
        <w:rPr>
          <w:rFonts w:ascii="仿宋" w:hAnsi="仿宋" w:eastAsia="仿宋"/>
          <w:sz w:val="28"/>
          <w:szCs w:val="28"/>
        </w:rPr>
        <w:t>20</w:t>
      </w:r>
      <w:r>
        <w:rPr>
          <w:rFonts w:hint="eastAsia" w:ascii="仿宋" w:hAnsi="仿宋" w:eastAsia="仿宋"/>
          <w:sz w:val="28"/>
          <w:szCs w:val="28"/>
        </w:rPr>
        <w:t>21年决算数持平。</w:t>
      </w:r>
    </w:p>
    <w:p>
      <w:pPr>
        <w:autoSpaceDE w:val="0"/>
        <w:autoSpaceDN w:val="0"/>
        <w:adjustRightInd w:val="0"/>
        <w:spacing w:line="600" w:lineRule="exact"/>
        <w:ind w:left="709"/>
        <w:jc w:val="left"/>
        <w:outlineLvl w:val="2"/>
        <w:rPr>
          <w:rFonts w:ascii="仿宋" w:hAnsi="仿宋" w:eastAsia="仿宋"/>
          <w:b/>
          <w:sz w:val="32"/>
          <w:szCs w:val="32"/>
        </w:rPr>
      </w:pPr>
      <w:bookmarkStart w:id="50" w:name="_Toc15377223"/>
      <w:r>
        <w:rPr>
          <w:rFonts w:hint="eastAsia" w:ascii="仿宋" w:hAnsi="仿宋" w:eastAsia="仿宋"/>
          <w:b/>
          <w:sz w:val="32"/>
          <w:szCs w:val="32"/>
        </w:rPr>
        <w:t>（二）政府采购支出情况</w:t>
      </w:r>
      <w:bookmarkEnd w:id="50"/>
    </w:p>
    <w:p>
      <w:pPr>
        <w:spacing w:line="600" w:lineRule="exact"/>
        <w:ind w:firstLine="640"/>
        <w:rPr>
          <w:rFonts w:ascii="仿宋" w:hAnsi="仿宋" w:eastAsia="仿宋"/>
          <w:sz w:val="28"/>
          <w:szCs w:val="28"/>
        </w:rPr>
      </w:pPr>
      <w:r>
        <w:rPr>
          <w:rFonts w:hint="eastAsia" w:ascii="仿宋" w:hAnsi="仿宋" w:eastAsia="仿宋"/>
          <w:sz w:val="28"/>
          <w:szCs w:val="28"/>
        </w:rPr>
        <w:t>2022年，本单位采购支出总额0.00万元。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4"/>
      <w:r>
        <w:rPr>
          <w:rFonts w:hint="eastAsia" w:ascii="仿宋" w:hAnsi="仿宋" w:eastAsia="仿宋"/>
          <w:b/>
          <w:sz w:val="32"/>
          <w:szCs w:val="32"/>
        </w:rPr>
        <w:t>（三）国有资产占有使用情况</w:t>
      </w:r>
      <w:bookmarkEnd w:id="51"/>
    </w:p>
    <w:p>
      <w:pPr>
        <w:spacing w:line="600" w:lineRule="exact"/>
        <w:ind w:firstLine="640"/>
        <w:rPr>
          <w:rFonts w:ascii="仿宋" w:hAnsi="仿宋" w:eastAsia="仿宋"/>
          <w:sz w:val="28"/>
          <w:szCs w:val="28"/>
        </w:rPr>
      </w:pPr>
      <w:r>
        <w:rPr>
          <w:rFonts w:hint="eastAsia" w:ascii="仿宋" w:hAnsi="仿宋" w:eastAsia="仿宋"/>
          <w:sz w:val="28"/>
          <w:szCs w:val="28"/>
        </w:rPr>
        <w:t>截至2022年12月31日，本单位共有车辆0辆。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560" w:firstLineChars="200"/>
        <w:outlineLvl w:val="2"/>
        <w:rPr>
          <w:rFonts w:ascii="仿宋" w:hAnsi="仿宋" w:eastAsia="仿宋"/>
          <w:b/>
          <w:sz w:val="32"/>
          <w:szCs w:val="32"/>
        </w:rPr>
      </w:pPr>
      <w:r>
        <w:rPr>
          <w:rFonts w:hint="eastAsia" w:ascii="仿宋" w:hAnsi="仿宋" w:eastAsia="仿宋"/>
          <w:sz w:val="28"/>
          <w:szCs w:val="28"/>
        </w:rPr>
        <w:t>根据预算绩效管理要求，本单位在2022年度预算编制阶段，组织对营养改善计划配套等个</w:t>
      </w:r>
      <w:r>
        <w:rPr>
          <w:rFonts w:hint="eastAsia" w:ascii="仿宋" w:hAnsi="仿宋" w:eastAsia="仿宋"/>
          <w:sz w:val="28"/>
          <w:szCs w:val="28"/>
          <w:lang w:val="en-US" w:eastAsia="zh-CN"/>
        </w:rPr>
        <w:t>7</w:t>
      </w:r>
      <w:r>
        <w:rPr>
          <w:rFonts w:hint="eastAsia" w:ascii="仿宋" w:hAnsi="仿宋" w:eastAsia="仿宋"/>
          <w:sz w:val="28"/>
          <w:szCs w:val="28"/>
        </w:rPr>
        <w:t>项目开展了预算事前绩效评估，对</w:t>
      </w:r>
      <w:r>
        <w:rPr>
          <w:rFonts w:hint="eastAsia" w:ascii="仿宋" w:hAnsi="仿宋" w:eastAsia="仿宋"/>
          <w:sz w:val="28"/>
          <w:szCs w:val="28"/>
          <w:lang w:val="en-US" w:eastAsia="zh-CN"/>
        </w:rPr>
        <w:t>7</w:t>
      </w:r>
      <w:r>
        <w:rPr>
          <w:rFonts w:hint="eastAsia" w:ascii="仿宋" w:hAnsi="仿宋" w:eastAsia="仿宋"/>
          <w:sz w:val="28"/>
          <w:szCs w:val="28"/>
        </w:rPr>
        <w:t>个项目编制了绩效目标，预算执行过程中，选取</w:t>
      </w:r>
      <w:r>
        <w:rPr>
          <w:rFonts w:hint="eastAsia" w:ascii="仿宋" w:hAnsi="仿宋" w:eastAsia="仿宋"/>
          <w:sz w:val="28"/>
          <w:szCs w:val="28"/>
          <w:lang w:val="en-US" w:eastAsia="zh-CN"/>
        </w:rPr>
        <w:t>7</w:t>
      </w:r>
      <w:r>
        <w:rPr>
          <w:rFonts w:hint="eastAsia" w:ascii="仿宋" w:hAnsi="仿宋" w:eastAsia="仿宋"/>
          <w:sz w:val="28"/>
          <w:szCs w:val="28"/>
        </w:rPr>
        <w:t>个项目开展绩效监控，年终执行完毕后，对</w:t>
      </w:r>
      <w:r>
        <w:rPr>
          <w:rFonts w:hint="eastAsia" w:ascii="仿宋" w:hAnsi="仿宋" w:eastAsia="仿宋"/>
          <w:sz w:val="28"/>
          <w:szCs w:val="28"/>
          <w:lang w:val="en-US" w:eastAsia="zh-CN"/>
        </w:rPr>
        <w:t>7</w:t>
      </w:r>
      <w:r>
        <w:rPr>
          <w:rFonts w:hint="eastAsia" w:ascii="仿宋" w:hAnsi="仿宋" w:eastAsia="仿宋"/>
          <w:sz w:val="28"/>
          <w:szCs w:val="28"/>
        </w:rPr>
        <w:t>个项目开展了绩效自评，2022年特定目标类部门预算项目绩效目标自评表见附件</w:t>
      </w:r>
      <w:r>
        <w:rPr>
          <w:rFonts w:hint="eastAsia" w:ascii="仿宋_GB2312" w:hAnsi="仿宋_GB2312" w:eastAsia="仿宋_GB2312" w:cs="仿宋_GB2312"/>
          <w:sz w:val="32"/>
          <w:szCs w:val="32"/>
        </w:rPr>
        <w:t>。</w:t>
      </w:r>
      <w:bookmarkEnd w:id="42"/>
      <w:r>
        <w:rPr>
          <w:rFonts w:ascii="仿宋" w:hAnsi="仿宋" w:eastAsia="仿宋"/>
          <w:b/>
          <w:sz w:val="32"/>
          <w:szCs w:val="32"/>
        </w:rPr>
        <w:br w:type="page"/>
      </w:r>
    </w:p>
    <w:p>
      <w:pPr>
        <w:numPr>
          <w:ilvl w:val="0"/>
          <w:numId w:val="7"/>
        </w:numPr>
        <w:spacing w:line="600" w:lineRule="exact"/>
        <w:ind w:firstLine="660" w:firstLineChars="150"/>
        <w:jc w:val="center"/>
        <w:outlineLvl w:val="0"/>
        <w:rPr>
          <w:rFonts w:ascii="方正小标宋简体" w:hAnsi="方正小标宋简体" w:eastAsia="方正小标宋简体" w:cs="方正小标宋简体"/>
          <w:bCs/>
          <w:kern w:val="44"/>
          <w:sz w:val="44"/>
          <w:szCs w:val="44"/>
        </w:rPr>
      </w:pPr>
      <w:bookmarkStart w:id="52" w:name="_Toc15377225"/>
      <w:bookmarkStart w:id="53" w:name="_Toc19089875"/>
      <w:r>
        <w:rPr>
          <w:rFonts w:hint="eastAsia" w:ascii="方正小标宋简体" w:hAnsi="方正小标宋简体" w:eastAsia="方正小标宋简体" w:cs="方正小标宋简体"/>
          <w:bCs/>
          <w:sz w:val="44"/>
          <w:szCs w:val="44"/>
        </w:rPr>
        <w:t>名</w:t>
      </w:r>
      <w:r>
        <w:rPr>
          <w:rStyle w:val="26"/>
          <w:rFonts w:hint="eastAsia" w:ascii="方正小标宋简体" w:hAnsi="方正小标宋简体" w:eastAsia="方正小标宋简体" w:cs="方正小标宋简体"/>
          <w:b w:val="0"/>
        </w:rPr>
        <w:t>词解释</w:t>
      </w:r>
      <w:bookmarkEnd w:id="52"/>
      <w:bookmarkEnd w:id="53"/>
    </w:p>
    <w:p>
      <w:pPr>
        <w:pStyle w:val="24"/>
        <w:spacing w:line="560" w:lineRule="exact"/>
        <w:ind w:firstLine="640" w:firstLineChars="200"/>
        <w:rPr>
          <w:rFonts w:ascii="仿宋_GB2312" w:eastAsia="仿宋_GB2312"/>
          <w:color w:val="auto"/>
          <w:sz w:val="32"/>
          <w:szCs w:val="32"/>
        </w:rPr>
      </w:pP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9. 教育支出（类）普通教育（款）学前教育（项）:反映各部门举办的学前教育支出。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10. 教育支出（类）普通教育（款）小学教育（项）:反映各部门举办的小学教育支出。政府各部门对社会中介组织等举办的小学的资助，如各类捐赠、补贴等，也在本科目中反映。</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11. 社会保障和就业支出（类）行政事业单位离退休（款）机关事业单位基本养老保险缴费支出（项）: 指机关事业单位实施养老保险制度由单位缴纳的基本养老保险费支出。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12. 社会保障和就业支出（类）行政事业单位离退休（款）机关事业单位职业年金缴费支出（项）: 指机关事业单位实施养老保险制度由单位实际缴纳的职业年金支出。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13.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14.基本支出：指为保障机构正常运转、完成日常工作任务而发生的人员支出和公用支出。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15.项目支出：指在基本支出之外为完成特定行政任务和事业发展目标所发生的支出。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16.经营支出：指事业单位在专业业务活动及其辅助活动之外开展非独立核算经营活动发生的支出。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4" w:name="_Toc19089876"/>
      <w:bookmarkStart w:id="55" w:name="_Toc15377226"/>
    </w:p>
    <w:p>
      <w:pPr>
        <w:pStyle w:val="24"/>
        <w:snapToGrid w:val="0"/>
        <w:spacing w:line="520" w:lineRule="exact"/>
        <w:ind w:firstLine="560" w:firstLineChars="200"/>
        <w:rPr>
          <w:rFonts w:ascii="仿宋_GB2312" w:eastAsia="仿宋_GB2312"/>
          <w:color w:val="auto"/>
          <w:sz w:val="28"/>
          <w:szCs w:val="28"/>
        </w:rPr>
      </w:pPr>
    </w:p>
    <w:p>
      <w:pPr>
        <w:spacing w:line="600" w:lineRule="exact"/>
        <w:ind w:firstLine="3080" w:firstLineChars="700"/>
        <w:outlineLvl w:val="0"/>
        <w:rPr>
          <w:rStyle w:val="26"/>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6"/>
          <w:rFonts w:hint="eastAsia" w:ascii="方正小标宋简体" w:hAnsi="方正小标宋简体" w:eastAsia="方正小标宋简体" w:cs="方正小标宋简体"/>
          <w:b w:val="0"/>
        </w:rPr>
        <w:t>四部分 附件</w:t>
      </w:r>
    </w:p>
    <w:bookmarkEnd w:id="54"/>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bookmarkStart w:id="56" w:name="_Toc19089885"/>
      <w:r>
        <w:rPr>
          <w:rStyle w:val="27"/>
          <w:rFonts w:hint="eastAsia" w:ascii="仿宋" w:hAnsi="仿宋" w:eastAsia="仿宋"/>
          <w:b w:val="0"/>
          <w:bCs w:val="0"/>
          <w:color w:val="auto"/>
          <w:highlight w:val="none"/>
          <w:lang w:val="en-US" w:eastAsia="zh-CN" w:bidi="ar-SA"/>
        </w:rPr>
        <w:t>部门预算项目支出绩效自评表（2022年度）</w:t>
      </w: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p>
    <w:p>
      <w:pPr>
        <w:snapToGrid w:val="0"/>
        <w:spacing w:line="480" w:lineRule="exact"/>
        <w:ind w:firstLine="1920" w:firstLineChars="600"/>
        <w:rPr>
          <w:rStyle w:val="27"/>
          <w:rFonts w:hint="eastAsia" w:ascii="仿宋" w:hAnsi="仿宋" w:eastAsia="仿宋"/>
          <w:b w:val="0"/>
          <w:bCs w:val="0"/>
          <w:color w:val="auto"/>
          <w:highlight w:val="none"/>
          <w:lang w:val="en-US" w:eastAsia="zh-CN" w:bidi="ar-SA"/>
        </w:rPr>
      </w:pPr>
      <w:bookmarkStart w:id="70" w:name="_GoBack"/>
      <w:bookmarkEnd w:id="70"/>
    </w:p>
    <w:p>
      <w:pPr>
        <w:snapToGrid w:val="0"/>
        <w:spacing w:line="480" w:lineRule="exact"/>
        <w:jc w:val="center"/>
        <w:rPr>
          <w:rFonts w:ascii="仿宋" w:hAnsi="仿宋" w:eastAsia="仿宋"/>
          <w:sz w:val="28"/>
          <w:szCs w:val="28"/>
        </w:rPr>
      </w:pPr>
      <w:r>
        <w:rPr>
          <w:rFonts w:hint="eastAsia" w:ascii="方正小标宋简体" w:hAnsi="方正小标宋简体" w:eastAsia="方正小标宋简体" w:cs="方正小标宋简体"/>
          <w:sz w:val="44"/>
          <w:szCs w:val="44"/>
        </w:rPr>
        <w:t>第</w:t>
      </w:r>
      <w:r>
        <w:rPr>
          <w:rStyle w:val="26"/>
          <w:rFonts w:hint="eastAsia" w:ascii="方正小标宋简体" w:hAnsi="方正小标宋简体" w:eastAsia="方正小标宋简体" w:cs="方正小标宋简体"/>
          <w:b w:val="0"/>
        </w:rPr>
        <w:t>五部分 附表</w:t>
      </w:r>
      <w:bookmarkEnd w:id="55"/>
      <w:bookmarkEnd w:id="56"/>
      <w:bookmarkStart w:id="57" w:name="_Toc19089886"/>
    </w:p>
    <w:p>
      <w:pPr>
        <w:pStyle w:val="3"/>
        <w:snapToGrid w:val="0"/>
        <w:spacing w:before="0" w:after="0" w:line="580" w:lineRule="exact"/>
        <w:ind w:firstLine="560" w:firstLineChars="200"/>
        <w:rPr>
          <w:rFonts w:ascii="仿宋" w:hAnsi="仿宋" w:eastAsia="仿宋"/>
          <w:sz w:val="28"/>
          <w:szCs w:val="28"/>
        </w:rPr>
      </w:pPr>
      <w:r>
        <w:rPr>
          <w:rFonts w:hint="eastAsia" w:ascii="仿宋" w:hAnsi="仿宋" w:eastAsia="仿宋"/>
          <w:b w:val="0"/>
          <w:sz w:val="28"/>
          <w:szCs w:val="28"/>
        </w:rPr>
        <w:t>一、收</w:t>
      </w:r>
      <w:r>
        <w:rPr>
          <w:rStyle w:val="27"/>
          <w:rFonts w:hint="eastAsia" w:ascii="仿宋" w:hAnsi="仿宋" w:eastAsia="仿宋"/>
          <w:b w:val="0"/>
          <w:bCs w:val="0"/>
          <w:sz w:val="28"/>
          <w:szCs w:val="28"/>
        </w:rPr>
        <w:t>入支出决算总表</w:t>
      </w:r>
      <w:bookmarkEnd w:id="57"/>
    </w:p>
    <w:p>
      <w:pPr>
        <w:pStyle w:val="3"/>
        <w:snapToGrid w:val="0"/>
        <w:spacing w:before="0" w:after="0" w:line="580" w:lineRule="exact"/>
        <w:ind w:firstLine="560" w:firstLineChars="200"/>
        <w:rPr>
          <w:rFonts w:ascii="仿宋" w:hAnsi="仿宋" w:eastAsia="仿宋"/>
          <w:sz w:val="28"/>
          <w:szCs w:val="28"/>
        </w:rPr>
      </w:pPr>
      <w:bookmarkStart w:id="58" w:name="_Toc19089887"/>
      <w:r>
        <w:rPr>
          <w:rFonts w:hint="eastAsia" w:ascii="仿宋" w:hAnsi="仿宋" w:eastAsia="仿宋"/>
          <w:b w:val="0"/>
          <w:sz w:val="28"/>
          <w:szCs w:val="28"/>
        </w:rPr>
        <w:t>二、收</w:t>
      </w:r>
      <w:r>
        <w:rPr>
          <w:rStyle w:val="27"/>
          <w:rFonts w:hint="eastAsia" w:ascii="仿宋" w:hAnsi="仿宋" w:eastAsia="仿宋"/>
          <w:b w:val="0"/>
          <w:bCs w:val="0"/>
          <w:sz w:val="28"/>
          <w:szCs w:val="28"/>
        </w:rPr>
        <w:t>入总表</w:t>
      </w:r>
      <w:bookmarkEnd w:id="58"/>
    </w:p>
    <w:p>
      <w:pPr>
        <w:pStyle w:val="3"/>
        <w:snapToGrid w:val="0"/>
        <w:spacing w:before="0" w:after="0" w:line="580" w:lineRule="exact"/>
        <w:ind w:firstLine="560" w:firstLineChars="200"/>
        <w:rPr>
          <w:rFonts w:ascii="仿宋" w:hAnsi="仿宋" w:eastAsia="仿宋"/>
          <w:sz w:val="28"/>
          <w:szCs w:val="28"/>
        </w:rPr>
      </w:pPr>
      <w:bookmarkStart w:id="59" w:name="_Toc19089888"/>
      <w:r>
        <w:rPr>
          <w:rStyle w:val="27"/>
          <w:rFonts w:hint="eastAsia" w:ascii="仿宋" w:hAnsi="仿宋" w:eastAsia="仿宋"/>
          <w:b w:val="0"/>
          <w:bCs w:val="0"/>
          <w:sz w:val="28"/>
          <w:szCs w:val="28"/>
        </w:rPr>
        <w:t>三、</w:t>
      </w:r>
      <w:r>
        <w:rPr>
          <w:rFonts w:hint="eastAsia" w:ascii="仿宋" w:hAnsi="仿宋" w:eastAsia="仿宋"/>
          <w:b w:val="0"/>
          <w:sz w:val="28"/>
          <w:szCs w:val="28"/>
        </w:rPr>
        <w:t>支</w:t>
      </w:r>
      <w:r>
        <w:rPr>
          <w:rStyle w:val="27"/>
          <w:rFonts w:hint="eastAsia" w:ascii="仿宋" w:hAnsi="仿宋" w:eastAsia="仿宋"/>
          <w:b w:val="0"/>
          <w:bCs w:val="0"/>
          <w:sz w:val="28"/>
          <w:szCs w:val="28"/>
        </w:rPr>
        <w:t>出总表</w:t>
      </w:r>
      <w:bookmarkEnd w:id="59"/>
    </w:p>
    <w:p>
      <w:pPr>
        <w:pStyle w:val="3"/>
        <w:snapToGrid w:val="0"/>
        <w:spacing w:before="0" w:after="0" w:line="580" w:lineRule="exact"/>
        <w:ind w:firstLine="560" w:firstLineChars="200"/>
        <w:rPr>
          <w:rFonts w:ascii="仿宋" w:hAnsi="仿宋" w:eastAsia="仿宋"/>
          <w:b w:val="0"/>
          <w:sz w:val="28"/>
          <w:szCs w:val="28"/>
        </w:rPr>
      </w:pPr>
      <w:bookmarkStart w:id="60" w:name="_Toc19089889"/>
      <w:r>
        <w:rPr>
          <w:rStyle w:val="27"/>
          <w:rFonts w:hint="eastAsia" w:ascii="仿宋" w:hAnsi="仿宋" w:eastAsia="仿宋"/>
          <w:b w:val="0"/>
          <w:bCs w:val="0"/>
          <w:sz w:val="28"/>
          <w:szCs w:val="28"/>
        </w:rPr>
        <w:t>四、</w:t>
      </w:r>
      <w:r>
        <w:rPr>
          <w:rFonts w:hint="eastAsia" w:ascii="仿宋" w:hAnsi="仿宋" w:eastAsia="仿宋"/>
          <w:b w:val="0"/>
          <w:sz w:val="28"/>
          <w:szCs w:val="28"/>
        </w:rPr>
        <w:t>财</w:t>
      </w:r>
      <w:r>
        <w:rPr>
          <w:rStyle w:val="27"/>
          <w:rFonts w:hint="eastAsia" w:ascii="仿宋" w:hAnsi="仿宋" w:eastAsia="仿宋"/>
          <w:b w:val="0"/>
          <w:bCs w:val="0"/>
          <w:sz w:val="28"/>
          <w:szCs w:val="28"/>
        </w:rPr>
        <w:t>政拨款收入支出决算总表</w:t>
      </w:r>
      <w:bookmarkEnd w:id="60"/>
    </w:p>
    <w:p>
      <w:pPr>
        <w:pStyle w:val="3"/>
        <w:snapToGrid w:val="0"/>
        <w:spacing w:before="0" w:after="0" w:line="580" w:lineRule="exact"/>
        <w:ind w:firstLine="560" w:firstLineChars="200"/>
        <w:rPr>
          <w:rFonts w:ascii="仿宋" w:hAnsi="仿宋" w:eastAsia="仿宋"/>
          <w:sz w:val="28"/>
          <w:szCs w:val="28"/>
        </w:rPr>
      </w:pPr>
      <w:bookmarkStart w:id="61" w:name="_Toc19089890"/>
      <w:r>
        <w:rPr>
          <w:rStyle w:val="27"/>
          <w:rFonts w:hint="eastAsia" w:ascii="仿宋" w:hAnsi="仿宋" w:eastAsia="仿宋"/>
          <w:b w:val="0"/>
          <w:bCs w:val="0"/>
          <w:sz w:val="28"/>
          <w:szCs w:val="28"/>
        </w:rPr>
        <w:t>五、</w:t>
      </w:r>
      <w:r>
        <w:rPr>
          <w:rFonts w:hint="eastAsia" w:ascii="仿宋" w:hAnsi="仿宋" w:eastAsia="仿宋"/>
          <w:b w:val="0"/>
          <w:sz w:val="28"/>
          <w:szCs w:val="28"/>
        </w:rPr>
        <w:t>财</w:t>
      </w:r>
      <w:r>
        <w:rPr>
          <w:rStyle w:val="27"/>
          <w:rFonts w:hint="eastAsia" w:ascii="仿宋" w:hAnsi="仿宋" w:eastAsia="仿宋"/>
          <w:b w:val="0"/>
          <w:bCs w:val="0"/>
          <w:sz w:val="28"/>
          <w:szCs w:val="28"/>
        </w:rPr>
        <w:t>政拨款支出决算明细表（政府经济分类科目）</w:t>
      </w:r>
      <w:bookmarkEnd w:id="61"/>
    </w:p>
    <w:p>
      <w:pPr>
        <w:pStyle w:val="3"/>
        <w:snapToGrid w:val="0"/>
        <w:spacing w:before="0" w:after="0" w:line="580" w:lineRule="exact"/>
        <w:ind w:firstLine="560" w:firstLineChars="200"/>
        <w:rPr>
          <w:rFonts w:ascii="仿宋" w:hAnsi="仿宋" w:eastAsia="仿宋"/>
          <w:sz w:val="28"/>
          <w:szCs w:val="28"/>
        </w:rPr>
      </w:pPr>
      <w:bookmarkStart w:id="62" w:name="_Toc19089891"/>
      <w:r>
        <w:rPr>
          <w:rStyle w:val="27"/>
          <w:rFonts w:hint="eastAsia" w:ascii="仿宋" w:hAnsi="仿宋" w:eastAsia="仿宋"/>
          <w:b w:val="0"/>
          <w:bCs w:val="0"/>
          <w:sz w:val="28"/>
          <w:szCs w:val="28"/>
        </w:rPr>
        <w:t>六、</w:t>
      </w:r>
      <w:r>
        <w:rPr>
          <w:rFonts w:hint="eastAsia" w:ascii="仿宋" w:hAnsi="仿宋" w:eastAsia="仿宋"/>
          <w:b w:val="0"/>
          <w:sz w:val="28"/>
          <w:szCs w:val="28"/>
        </w:rPr>
        <w:t>一</w:t>
      </w:r>
      <w:r>
        <w:rPr>
          <w:rStyle w:val="27"/>
          <w:rFonts w:hint="eastAsia" w:ascii="仿宋" w:hAnsi="仿宋" w:eastAsia="仿宋"/>
          <w:b w:val="0"/>
          <w:bCs w:val="0"/>
          <w:sz w:val="28"/>
          <w:szCs w:val="28"/>
        </w:rPr>
        <w:t>般公共预算财政拨款支出决算表</w:t>
      </w:r>
      <w:bookmarkEnd w:id="62"/>
    </w:p>
    <w:p>
      <w:pPr>
        <w:pStyle w:val="3"/>
        <w:snapToGrid w:val="0"/>
        <w:spacing w:before="0" w:after="0" w:line="580" w:lineRule="exact"/>
        <w:ind w:firstLine="560" w:firstLineChars="200"/>
        <w:rPr>
          <w:rFonts w:ascii="仿宋" w:hAnsi="仿宋" w:eastAsia="仿宋"/>
          <w:sz w:val="28"/>
          <w:szCs w:val="28"/>
        </w:rPr>
      </w:pPr>
      <w:bookmarkStart w:id="63" w:name="_Toc19089892"/>
      <w:r>
        <w:rPr>
          <w:rStyle w:val="27"/>
          <w:rFonts w:hint="eastAsia" w:ascii="仿宋" w:hAnsi="仿宋" w:eastAsia="仿宋"/>
          <w:b w:val="0"/>
          <w:bCs w:val="0"/>
          <w:sz w:val="28"/>
          <w:szCs w:val="28"/>
        </w:rPr>
        <w:t>七、</w:t>
      </w:r>
      <w:r>
        <w:rPr>
          <w:rFonts w:hint="eastAsia" w:ascii="仿宋" w:hAnsi="仿宋" w:eastAsia="仿宋"/>
          <w:b w:val="0"/>
          <w:sz w:val="28"/>
          <w:szCs w:val="28"/>
        </w:rPr>
        <w:t>一</w:t>
      </w:r>
      <w:r>
        <w:rPr>
          <w:rStyle w:val="27"/>
          <w:rFonts w:hint="eastAsia" w:ascii="仿宋" w:hAnsi="仿宋" w:eastAsia="仿宋"/>
          <w:b w:val="0"/>
          <w:bCs w:val="0"/>
          <w:sz w:val="28"/>
          <w:szCs w:val="28"/>
        </w:rPr>
        <w:t>般公共预算财政拨款支出决算明细表</w:t>
      </w:r>
      <w:bookmarkEnd w:id="63"/>
    </w:p>
    <w:p>
      <w:pPr>
        <w:pStyle w:val="3"/>
        <w:snapToGrid w:val="0"/>
        <w:spacing w:before="0" w:after="0" w:line="580" w:lineRule="exact"/>
        <w:ind w:firstLine="560" w:firstLineChars="200"/>
        <w:rPr>
          <w:rFonts w:ascii="仿宋" w:hAnsi="仿宋" w:eastAsia="仿宋"/>
          <w:sz w:val="28"/>
          <w:szCs w:val="28"/>
        </w:rPr>
      </w:pPr>
      <w:bookmarkStart w:id="64" w:name="_Toc19089893"/>
      <w:r>
        <w:rPr>
          <w:rStyle w:val="27"/>
          <w:rFonts w:hint="eastAsia" w:ascii="仿宋" w:hAnsi="仿宋" w:eastAsia="仿宋"/>
          <w:b w:val="0"/>
          <w:bCs w:val="0"/>
          <w:sz w:val="28"/>
          <w:szCs w:val="28"/>
        </w:rPr>
        <w:t>八、</w:t>
      </w:r>
      <w:r>
        <w:rPr>
          <w:rFonts w:hint="eastAsia" w:ascii="仿宋" w:hAnsi="仿宋" w:eastAsia="仿宋"/>
          <w:b w:val="0"/>
          <w:sz w:val="28"/>
          <w:szCs w:val="28"/>
        </w:rPr>
        <w:t>一</w:t>
      </w:r>
      <w:r>
        <w:rPr>
          <w:rStyle w:val="27"/>
          <w:rFonts w:hint="eastAsia" w:ascii="仿宋" w:hAnsi="仿宋" w:eastAsia="仿宋"/>
          <w:b w:val="0"/>
          <w:bCs w:val="0"/>
          <w:sz w:val="28"/>
          <w:szCs w:val="28"/>
        </w:rPr>
        <w:t>般公共预算财政拨款基本支出决算表</w:t>
      </w:r>
      <w:bookmarkEnd w:id="64"/>
    </w:p>
    <w:p>
      <w:pPr>
        <w:pStyle w:val="3"/>
        <w:snapToGrid w:val="0"/>
        <w:spacing w:before="0" w:after="0" w:line="580" w:lineRule="exact"/>
        <w:ind w:firstLine="560" w:firstLineChars="200"/>
        <w:rPr>
          <w:rFonts w:ascii="仿宋" w:hAnsi="仿宋" w:eastAsia="仿宋"/>
          <w:sz w:val="28"/>
          <w:szCs w:val="28"/>
        </w:rPr>
      </w:pPr>
      <w:bookmarkStart w:id="65" w:name="_Toc19089894"/>
      <w:r>
        <w:rPr>
          <w:rStyle w:val="27"/>
          <w:rFonts w:hint="eastAsia" w:ascii="仿宋" w:hAnsi="仿宋" w:eastAsia="仿宋"/>
          <w:b w:val="0"/>
          <w:bCs w:val="0"/>
          <w:sz w:val="28"/>
          <w:szCs w:val="28"/>
        </w:rPr>
        <w:t>九、</w:t>
      </w:r>
      <w:r>
        <w:rPr>
          <w:rFonts w:hint="eastAsia" w:ascii="仿宋" w:hAnsi="仿宋" w:eastAsia="仿宋"/>
          <w:b w:val="0"/>
          <w:sz w:val="28"/>
          <w:szCs w:val="28"/>
        </w:rPr>
        <w:t>一</w:t>
      </w:r>
      <w:r>
        <w:rPr>
          <w:rStyle w:val="27"/>
          <w:rFonts w:hint="eastAsia" w:ascii="仿宋" w:hAnsi="仿宋" w:eastAsia="仿宋"/>
          <w:b w:val="0"/>
          <w:bCs w:val="0"/>
          <w:sz w:val="28"/>
          <w:szCs w:val="28"/>
        </w:rPr>
        <w:t>般公共预算财政拨款项目支出决算表</w:t>
      </w:r>
      <w:bookmarkEnd w:id="65"/>
    </w:p>
    <w:p>
      <w:pPr>
        <w:pStyle w:val="3"/>
        <w:snapToGrid w:val="0"/>
        <w:spacing w:before="0" w:after="0" w:line="580" w:lineRule="exact"/>
        <w:ind w:firstLine="560" w:firstLineChars="200"/>
      </w:pPr>
      <w:bookmarkStart w:id="66" w:name="_Toc19089895"/>
      <w:r>
        <w:rPr>
          <w:rStyle w:val="27"/>
          <w:rFonts w:hint="eastAsia" w:ascii="仿宋" w:hAnsi="仿宋" w:eastAsia="仿宋"/>
          <w:b w:val="0"/>
          <w:bCs w:val="0"/>
          <w:sz w:val="28"/>
          <w:szCs w:val="28"/>
        </w:rPr>
        <w:t>十、</w:t>
      </w:r>
      <w:r>
        <w:rPr>
          <w:rFonts w:hint="eastAsia" w:ascii="仿宋" w:hAnsi="仿宋" w:eastAsia="仿宋"/>
          <w:b w:val="0"/>
          <w:sz w:val="28"/>
          <w:szCs w:val="28"/>
        </w:rPr>
        <w:t>一</w:t>
      </w:r>
      <w:r>
        <w:rPr>
          <w:rStyle w:val="27"/>
          <w:rFonts w:hint="eastAsia" w:ascii="仿宋" w:hAnsi="仿宋" w:eastAsia="仿宋"/>
          <w:b w:val="0"/>
          <w:bCs w:val="0"/>
          <w:sz w:val="28"/>
          <w:szCs w:val="28"/>
        </w:rPr>
        <w:t>般公共预算财政拨款“三公”经费支出决算表</w:t>
      </w:r>
      <w:bookmarkEnd w:id="66"/>
    </w:p>
    <w:p>
      <w:pPr>
        <w:pStyle w:val="3"/>
        <w:snapToGrid w:val="0"/>
        <w:spacing w:before="0" w:after="0" w:line="580" w:lineRule="exact"/>
        <w:ind w:firstLine="560" w:firstLineChars="200"/>
        <w:rPr>
          <w:rStyle w:val="27"/>
          <w:rFonts w:ascii="仿宋" w:hAnsi="仿宋" w:eastAsia="仿宋"/>
          <w:b w:val="0"/>
          <w:bCs w:val="0"/>
          <w:sz w:val="28"/>
          <w:szCs w:val="28"/>
        </w:rPr>
      </w:pPr>
      <w:bookmarkStart w:id="67" w:name="_Toc19089896"/>
      <w:r>
        <w:rPr>
          <w:rStyle w:val="27"/>
          <w:rFonts w:hint="eastAsia" w:ascii="仿宋" w:hAnsi="仿宋" w:eastAsia="仿宋"/>
          <w:b w:val="0"/>
          <w:bCs w:val="0"/>
          <w:sz w:val="28"/>
          <w:szCs w:val="28"/>
        </w:rPr>
        <w:t>十一、</w:t>
      </w:r>
      <w:r>
        <w:rPr>
          <w:rFonts w:hint="eastAsia" w:ascii="仿宋" w:hAnsi="仿宋" w:eastAsia="仿宋"/>
          <w:b w:val="0"/>
          <w:sz w:val="28"/>
          <w:szCs w:val="28"/>
        </w:rPr>
        <w:t>政</w:t>
      </w:r>
      <w:r>
        <w:rPr>
          <w:rStyle w:val="27"/>
          <w:rFonts w:hint="eastAsia" w:ascii="仿宋" w:hAnsi="仿宋" w:eastAsia="仿宋"/>
          <w:b w:val="0"/>
          <w:bCs w:val="0"/>
          <w:sz w:val="28"/>
          <w:szCs w:val="28"/>
        </w:rPr>
        <w:t>府性基金预算财政拨款收入支出决算表</w:t>
      </w:r>
      <w:bookmarkEnd w:id="67"/>
    </w:p>
    <w:p>
      <w:pPr>
        <w:pStyle w:val="3"/>
        <w:snapToGrid w:val="0"/>
        <w:spacing w:before="0" w:after="0" w:line="580" w:lineRule="exact"/>
        <w:ind w:firstLine="560" w:firstLineChars="200"/>
        <w:rPr>
          <w:rStyle w:val="27"/>
          <w:rFonts w:ascii="仿宋" w:hAnsi="仿宋" w:eastAsia="仿宋"/>
          <w:b w:val="0"/>
          <w:bCs w:val="0"/>
          <w:sz w:val="28"/>
          <w:szCs w:val="28"/>
        </w:rPr>
      </w:pPr>
      <w:bookmarkStart w:id="68" w:name="_Toc19089897"/>
      <w:r>
        <w:rPr>
          <w:rStyle w:val="27"/>
          <w:rFonts w:hint="eastAsia" w:ascii="仿宋" w:hAnsi="仿宋" w:eastAsia="仿宋"/>
          <w:b w:val="0"/>
          <w:bCs w:val="0"/>
          <w:sz w:val="28"/>
          <w:szCs w:val="28"/>
        </w:rPr>
        <w:t>十二、</w:t>
      </w:r>
      <w:r>
        <w:rPr>
          <w:rFonts w:hint="eastAsia" w:ascii="仿宋" w:hAnsi="仿宋" w:eastAsia="仿宋"/>
          <w:b w:val="0"/>
          <w:sz w:val="28"/>
          <w:szCs w:val="28"/>
        </w:rPr>
        <w:t>政</w:t>
      </w:r>
      <w:r>
        <w:rPr>
          <w:rStyle w:val="27"/>
          <w:rFonts w:hint="eastAsia" w:ascii="仿宋" w:hAnsi="仿宋" w:eastAsia="仿宋"/>
          <w:b w:val="0"/>
          <w:bCs w:val="0"/>
          <w:sz w:val="28"/>
          <w:szCs w:val="28"/>
        </w:rPr>
        <w:t>府性基金预算财政拨款“三公”经费支出决算表</w:t>
      </w:r>
      <w:bookmarkEnd w:id="68"/>
    </w:p>
    <w:p>
      <w:pPr>
        <w:pStyle w:val="3"/>
        <w:snapToGrid w:val="0"/>
        <w:spacing w:before="0" w:after="0" w:line="580" w:lineRule="exact"/>
        <w:ind w:firstLine="560" w:firstLineChars="200"/>
        <w:rPr>
          <w:rStyle w:val="27"/>
          <w:rFonts w:ascii="仿宋" w:hAnsi="仿宋" w:eastAsia="仿宋"/>
          <w:b w:val="0"/>
          <w:bCs w:val="0"/>
          <w:sz w:val="28"/>
          <w:szCs w:val="28"/>
        </w:rPr>
      </w:pPr>
      <w:bookmarkStart w:id="69" w:name="_Toc19089898"/>
      <w:r>
        <w:rPr>
          <w:rStyle w:val="27"/>
          <w:rFonts w:hint="eastAsia" w:ascii="仿宋" w:hAnsi="仿宋" w:eastAsia="仿宋"/>
          <w:b w:val="0"/>
          <w:bCs w:val="0"/>
          <w:sz w:val="28"/>
          <w:szCs w:val="28"/>
        </w:rPr>
        <w:t>十三、</w:t>
      </w:r>
      <w:r>
        <w:rPr>
          <w:rFonts w:hint="eastAsia" w:ascii="仿宋" w:hAnsi="仿宋" w:eastAsia="仿宋"/>
          <w:b w:val="0"/>
          <w:sz w:val="28"/>
          <w:szCs w:val="28"/>
        </w:rPr>
        <w:t>国</w:t>
      </w:r>
      <w:r>
        <w:rPr>
          <w:rStyle w:val="27"/>
          <w:rFonts w:hint="eastAsia" w:ascii="仿宋" w:hAnsi="仿宋" w:eastAsia="仿宋"/>
          <w:b w:val="0"/>
          <w:bCs w:val="0"/>
          <w:sz w:val="28"/>
          <w:szCs w:val="28"/>
        </w:rPr>
        <w:t>有资本经营预算支出决算表</w:t>
      </w:r>
      <w:bookmarkEnd w:id="69"/>
    </w:p>
    <w:p>
      <w:pPr>
        <w:ind w:firstLine="1134" w:firstLineChars="540"/>
      </w:pPr>
    </w:p>
    <w:sectPr>
      <w:footerReference r:id="rId7" w:type="first"/>
      <w:footerReference r:id="rId6" w:type="default"/>
      <w:pgSz w:w="11906" w:h="16838"/>
      <w:pgMar w:top="1701" w:right="1474" w:bottom="1701" w:left="1587" w:header="851" w:footer="1304"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3282"/>
      <w:docPartObj>
        <w:docPartGallery w:val="autotext"/>
      </w:docPartObj>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103247E"/>
    <w:multiLevelType w:val="singleLevel"/>
    <w:tmpl w:val="0103247E"/>
    <w:lvl w:ilvl="0" w:tentative="0">
      <w:start w:val="1"/>
      <w:numFmt w:val="chineseCounting"/>
      <w:suff w:val="nothing"/>
      <w:lvlText w:val="%1、"/>
      <w:lvlJc w:val="left"/>
      <w:rPr>
        <w:rFonts w:hint="eastAsia"/>
      </w:rPr>
    </w:lvl>
  </w:abstractNum>
  <w:abstractNum w:abstractNumId="4">
    <w:nsid w:val="08B4BEE6"/>
    <w:multiLevelType w:val="singleLevel"/>
    <w:tmpl w:val="08B4BEE6"/>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287"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lang w:val="en-U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jZTBmYmZhMjYwMTI1OWZhNWY2NjQ0YTYyMDNmYTAifQ=="/>
  </w:docVars>
  <w:rsids>
    <w:rsidRoot w:val="00F1361C"/>
    <w:rsid w:val="00003BEA"/>
    <w:rsid w:val="00006917"/>
    <w:rsid w:val="000078F9"/>
    <w:rsid w:val="000222C6"/>
    <w:rsid w:val="0002280F"/>
    <w:rsid w:val="0002549F"/>
    <w:rsid w:val="00041FD9"/>
    <w:rsid w:val="0006487A"/>
    <w:rsid w:val="00065F8F"/>
    <w:rsid w:val="00071B65"/>
    <w:rsid w:val="000768F2"/>
    <w:rsid w:val="00086799"/>
    <w:rsid w:val="0009184B"/>
    <w:rsid w:val="00094044"/>
    <w:rsid w:val="0009593C"/>
    <w:rsid w:val="000A54C6"/>
    <w:rsid w:val="000B047F"/>
    <w:rsid w:val="000B074B"/>
    <w:rsid w:val="000B30C6"/>
    <w:rsid w:val="000B37D2"/>
    <w:rsid w:val="000B48C7"/>
    <w:rsid w:val="000B5923"/>
    <w:rsid w:val="000B5A48"/>
    <w:rsid w:val="000B6FF3"/>
    <w:rsid w:val="000C3467"/>
    <w:rsid w:val="000C3CA6"/>
    <w:rsid w:val="000D1267"/>
    <w:rsid w:val="000D1D50"/>
    <w:rsid w:val="000D1FF5"/>
    <w:rsid w:val="000D302D"/>
    <w:rsid w:val="000D5782"/>
    <w:rsid w:val="000E4F6B"/>
    <w:rsid w:val="000E5CD3"/>
    <w:rsid w:val="000E6613"/>
    <w:rsid w:val="000E7119"/>
    <w:rsid w:val="000F5654"/>
    <w:rsid w:val="000F5CE9"/>
    <w:rsid w:val="00102A6C"/>
    <w:rsid w:val="00114E9B"/>
    <w:rsid w:val="0012756B"/>
    <w:rsid w:val="00137357"/>
    <w:rsid w:val="00145580"/>
    <w:rsid w:val="0014729F"/>
    <w:rsid w:val="00156427"/>
    <w:rsid w:val="00157BAB"/>
    <w:rsid w:val="001614F6"/>
    <w:rsid w:val="001652ED"/>
    <w:rsid w:val="001654D1"/>
    <w:rsid w:val="0017485A"/>
    <w:rsid w:val="0018106D"/>
    <w:rsid w:val="00182771"/>
    <w:rsid w:val="0018301D"/>
    <w:rsid w:val="00184AF1"/>
    <w:rsid w:val="001877A7"/>
    <w:rsid w:val="00191536"/>
    <w:rsid w:val="00196687"/>
    <w:rsid w:val="001A351C"/>
    <w:rsid w:val="001B73A2"/>
    <w:rsid w:val="001C0962"/>
    <w:rsid w:val="001D7531"/>
    <w:rsid w:val="001E2A01"/>
    <w:rsid w:val="001E737D"/>
    <w:rsid w:val="001F0592"/>
    <w:rsid w:val="001F7506"/>
    <w:rsid w:val="002006CD"/>
    <w:rsid w:val="002011DB"/>
    <w:rsid w:val="00202B36"/>
    <w:rsid w:val="00202E7A"/>
    <w:rsid w:val="00204B7A"/>
    <w:rsid w:val="0020697A"/>
    <w:rsid w:val="0021101A"/>
    <w:rsid w:val="002127F3"/>
    <w:rsid w:val="00215551"/>
    <w:rsid w:val="00220536"/>
    <w:rsid w:val="002326BA"/>
    <w:rsid w:val="00235629"/>
    <w:rsid w:val="002405B8"/>
    <w:rsid w:val="002431D7"/>
    <w:rsid w:val="0024598B"/>
    <w:rsid w:val="00260C38"/>
    <w:rsid w:val="002616C0"/>
    <w:rsid w:val="0026332E"/>
    <w:rsid w:val="0026553A"/>
    <w:rsid w:val="002662AA"/>
    <w:rsid w:val="00267B36"/>
    <w:rsid w:val="00280496"/>
    <w:rsid w:val="00295495"/>
    <w:rsid w:val="002A00A3"/>
    <w:rsid w:val="002A7963"/>
    <w:rsid w:val="002B2613"/>
    <w:rsid w:val="002C5302"/>
    <w:rsid w:val="002C5F0F"/>
    <w:rsid w:val="002D3677"/>
    <w:rsid w:val="002E14B1"/>
    <w:rsid w:val="002E1C32"/>
    <w:rsid w:val="002E5336"/>
    <w:rsid w:val="002F1818"/>
    <w:rsid w:val="002F567B"/>
    <w:rsid w:val="002F64FB"/>
    <w:rsid w:val="00300F0B"/>
    <w:rsid w:val="00303037"/>
    <w:rsid w:val="0030648C"/>
    <w:rsid w:val="003216A9"/>
    <w:rsid w:val="00324C77"/>
    <w:rsid w:val="003311FC"/>
    <w:rsid w:val="0033741C"/>
    <w:rsid w:val="003518A6"/>
    <w:rsid w:val="00356B7F"/>
    <w:rsid w:val="0037013F"/>
    <w:rsid w:val="00380C92"/>
    <w:rsid w:val="00386D29"/>
    <w:rsid w:val="003937D9"/>
    <w:rsid w:val="003A484F"/>
    <w:rsid w:val="003B0BE0"/>
    <w:rsid w:val="003B0C1B"/>
    <w:rsid w:val="003B0ED3"/>
    <w:rsid w:val="003B688C"/>
    <w:rsid w:val="003B6D0C"/>
    <w:rsid w:val="003C0291"/>
    <w:rsid w:val="003C08E4"/>
    <w:rsid w:val="003C39AE"/>
    <w:rsid w:val="003C7B60"/>
    <w:rsid w:val="003D1FB2"/>
    <w:rsid w:val="003D66DA"/>
    <w:rsid w:val="003E1310"/>
    <w:rsid w:val="003E6F55"/>
    <w:rsid w:val="00403C86"/>
    <w:rsid w:val="00406254"/>
    <w:rsid w:val="004223DE"/>
    <w:rsid w:val="00431580"/>
    <w:rsid w:val="00434489"/>
    <w:rsid w:val="00437085"/>
    <w:rsid w:val="00443880"/>
    <w:rsid w:val="004464F4"/>
    <w:rsid w:val="00450718"/>
    <w:rsid w:val="00463339"/>
    <w:rsid w:val="00471401"/>
    <w:rsid w:val="0047387D"/>
    <w:rsid w:val="00473F31"/>
    <w:rsid w:val="004819D3"/>
    <w:rsid w:val="0048263A"/>
    <w:rsid w:val="00487E5D"/>
    <w:rsid w:val="004962D7"/>
    <w:rsid w:val="004A5081"/>
    <w:rsid w:val="004A55C6"/>
    <w:rsid w:val="004A711F"/>
    <w:rsid w:val="004B199D"/>
    <w:rsid w:val="004B4690"/>
    <w:rsid w:val="004B5F6B"/>
    <w:rsid w:val="004D18BB"/>
    <w:rsid w:val="004D5782"/>
    <w:rsid w:val="004D66A9"/>
    <w:rsid w:val="004E0A2D"/>
    <w:rsid w:val="004E206B"/>
    <w:rsid w:val="004E6DF7"/>
    <w:rsid w:val="004F0FBD"/>
    <w:rsid w:val="005012AF"/>
    <w:rsid w:val="00505A47"/>
    <w:rsid w:val="0051087F"/>
    <w:rsid w:val="00512FDA"/>
    <w:rsid w:val="00520DA0"/>
    <w:rsid w:val="0052156B"/>
    <w:rsid w:val="00521C62"/>
    <w:rsid w:val="00526119"/>
    <w:rsid w:val="005269E3"/>
    <w:rsid w:val="00537A56"/>
    <w:rsid w:val="00545096"/>
    <w:rsid w:val="00546C5C"/>
    <w:rsid w:val="00552C2F"/>
    <w:rsid w:val="00566334"/>
    <w:rsid w:val="005664BB"/>
    <w:rsid w:val="0057481D"/>
    <w:rsid w:val="0058486E"/>
    <w:rsid w:val="005851C5"/>
    <w:rsid w:val="00590F30"/>
    <w:rsid w:val="00594D8C"/>
    <w:rsid w:val="005B05F7"/>
    <w:rsid w:val="005B5AB0"/>
    <w:rsid w:val="005D1C8B"/>
    <w:rsid w:val="005D55F1"/>
    <w:rsid w:val="005D5A0B"/>
    <w:rsid w:val="005D5CED"/>
    <w:rsid w:val="005E7C80"/>
    <w:rsid w:val="005F07EF"/>
    <w:rsid w:val="005F1A4C"/>
    <w:rsid w:val="005F1DDE"/>
    <w:rsid w:val="005F4E6B"/>
    <w:rsid w:val="00605688"/>
    <w:rsid w:val="006070AF"/>
    <w:rsid w:val="00607E6C"/>
    <w:rsid w:val="006101B1"/>
    <w:rsid w:val="006145E1"/>
    <w:rsid w:val="00614E44"/>
    <w:rsid w:val="006223AD"/>
    <w:rsid w:val="00622830"/>
    <w:rsid w:val="00630AEF"/>
    <w:rsid w:val="006325F8"/>
    <w:rsid w:val="00634C9A"/>
    <w:rsid w:val="00637090"/>
    <w:rsid w:val="006440E4"/>
    <w:rsid w:val="00656EF8"/>
    <w:rsid w:val="0066343B"/>
    <w:rsid w:val="00664777"/>
    <w:rsid w:val="00664BB6"/>
    <w:rsid w:val="00665EC9"/>
    <w:rsid w:val="006748A4"/>
    <w:rsid w:val="00683E73"/>
    <w:rsid w:val="006858FC"/>
    <w:rsid w:val="0068716E"/>
    <w:rsid w:val="006A3141"/>
    <w:rsid w:val="006A5E34"/>
    <w:rsid w:val="006B2422"/>
    <w:rsid w:val="006B2B9A"/>
    <w:rsid w:val="006B3EDE"/>
    <w:rsid w:val="006B43BB"/>
    <w:rsid w:val="006C1937"/>
    <w:rsid w:val="006C2699"/>
    <w:rsid w:val="006D20DC"/>
    <w:rsid w:val="006E754A"/>
    <w:rsid w:val="006F020C"/>
    <w:rsid w:val="006F0FBD"/>
    <w:rsid w:val="0070105D"/>
    <w:rsid w:val="007104B1"/>
    <w:rsid w:val="007127B7"/>
    <w:rsid w:val="007147FA"/>
    <w:rsid w:val="007150DE"/>
    <w:rsid w:val="00726E76"/>
    <w:rsid w:val="007276BB"/>
    <w:rsid w:val="007402BC"/>
    <w:rsid w:val="007416B6"/>
    <w:rsid w:val="00746F48"/>
    <w:rsid w:val="00751534"/>
    <w:rsid w:val="00753D1D"/>
    <w:rsid w:val="0075404D"/>
    <w:rsid w:val="0076182A"/>
    <w:rsid w:val="0076670D"/>
    <w:rsid w:val="00767B7E"/>
    <w:rsid w:val="007770C3"/>
    <w:rsid w:val="00784D24"/>
    <w:rsid w:val="00785FBA"/>
    <w:rsid w:val="00786190"/>
    <w:rsid w:val="00786E4A"/>
    <w:rsid w:val="007875EB"/>
    <w:rsid w:val="0079426B"/>
    <w:rsid w:val="0079759C"/>
    <w:rsid w:val="007A66D4"/>
    <w:rsid w:val="007B51A9"/>
    <w:rsid w:val="007C36DB"/>
    <w:rsid w:val="007D312A"/>
    <w:rsid w:val="007D3F19"/>
    <w:rsid w:val="007E23B0"/>
    <w:rsid w:val="007E4CFC"/>
    <w:rsid w:val="007E6385"/>
    <w:rsid w:val="007F1991"/>
    <w:rsid w:val="007F2C2F"/>
    <w:rsid w:val="007F55FC"/>
    <w:rsid w:val="007F5665"/>
    <w:rsid w:val="00800112"/>
    <w:rsid w:val="008253BB"/>
    <w:rsid w:val="00827D18"/>
    <w:rsid w:val="008334FF"/>
    <w:rsid w:val="00833B71"/>
    <w:rsid w:val="0083706E"/>
    <w:rsid w:val="00837E2B"/>
    <w:rsid w:val="008423A5"/>
    <w:rsid w:val="00850625"/>
    <w:rsid w:val="00853718"/>
    <w:rsid w:val="00855221"/>
    <w:rsid w:val="0085794D"/>
    <w:rsid w:val="00860645"/>
    <w:rsid w:val="00871F71"/>
    <w:rsid w:val="008770E7"/>
    <w:rsid w:val="00883FD9"/>
    <w:rsid w:val="00885AF4"/>
    <w:rsid w:val="00887D51"/>
    <w:rsid w:val="0089274D"/>
    <w:rsid w:val="008939CD"/>
    <w:rsid w:val="008A6C89"/>
    <w:rsid w:val="008B768C"/>
    <w:rsid w:val="008C4DB1"/>
    <w:rsid w:val="008C4EAF"/>
    <w:rsid w:val="008C5176"/>
    <w:rsid w:val="008C7FD0"/>
    <w:rsid w:val="008D105F"/>
    <w:rsid w:val="008D19EB"/>
    <w:rsid w:val="008D4EFE"/>
    <w:rsid w:val="008E0CE3"/>
    <w:rsid w:val="008E1DE7"/>
    <w:rsid w:val="008E5491"/>
    <w:rsid w:val="008E707C"/>
    <w:rsid w:val="008F4458"/>
    <w:rsid w:val="008F71D2"/>
    <w:rsid w:val="00900B08"/>
    <w:rsid w:val="00902155"/>
    <w:rsid w:val="00902FA3"/>
    <w:rsid w:val="00912EAE"/>
    <w:rsid w:val="00920912"/>
    <w:rsid w:val="00922641"/>
    <w:rsid w:val="00923564"/>
    <w:rsid w:val="0092392E"/>
    <w:rsid w:val="009263AB"/>
    <w:rsid w:val="009315F9"/>
    <w:rsid w:val="00932E48"/>
    <w:rsid w:val="009350E1"/>
    <w:rsid w:val="00943E15"/>
    <w:rsid w:val="00944A8E"/>
    <w:rsid w:val="00946945"/>
    <w:rsid w:val="00951248"/>
    <w:rsid w:val="0095152F"/>
    <w:rsid w:val="00954C49"/>
    <w:rsid w:val="00965E2F"/>
    <w:rsid w:val="009666CE"/>
    <w:rsid w:val="0097099F"/>
    <w:rsid w:val="00971997"/>
    <w:rsid w:val="00971FFC"/>
    <w:rsid w:val="0098660A"/>
    <w:rsid w:val="00987125"/>
    <w:rsid w:val="009931C3"/>
    <w:rsid w:val="009A1F5B"/>
    <w:rsid w:val="009B2C43"/>
    <w:rsid w:val="009B4605"/>
    <w:rsid w:val="009B4EAE"/>
    <w:rsid w:val="009B7573"/>
    <w:rsid w:val="009C13FF"/>
    <w:rsid w:val="009C22F4"/>
    <w:rsid w:val="009C2E98"/>
    <w:rsid w:val="009D0F63"/>
    <w:rsid w:val="009D3447"/>
    <w:rsid w:val="009D4711"/>
    <w:rsid w:val="009E529C"/>
    <w:rsid w:val="009F1185"/>
    <w:rsid w:val="009F18CD"/>
    <w:rsid w:val="009F2A13"/>
    <w:rsid w:val="00A00D54"/>
    <w:rsid w:val="00A0499B"/>
    <w:rsid w:val="00A04EB0"/>
    <w:rsid w:val="00A051D1"/>
    <w:rsid w:val="00A11484"/>
    <w:rsid w:val="00A11B6E"/>
    <w:rsid w:val="00A13CC1"/>
    <w:rsid w:val="00A16847"/>
    <w:rsid w:val="00A237D8"/>
    <w:rsid w:val="00A247E4"/>
    <w:rsid w:val="00A268C4"/>
    <w:rsid w:val="00A307CD"/>
    <w:rsid w:val="00A3350E"/>
    <w:rsid w:val="00A40A00"/>
    <w:rsid w:val="00A4142F"/>
    <w:rsid w:val="00A45015"/>
    <w:rsid w:val="00A56DF2"/>
    <w:rsid w:val="00A67AB5"/>
    <w:rsid w:val="00A81234"/>
    <w:rsid w:val="00A85A7C"/>
    <w:rsid w:val="00A91760"/>
    <w:rsid w:val="00A93B00"/>
    <w:rsid w:val="00A93C21"/>
    <w:rsid w:val="00A96DD4"/>
    <w:rsid w:val="00AA4B2D"/>
    <w:rsid w:val="00AB0CE4"/>
    <w:rsid w:val="00AB434E"/>
    <w:rsid w:val="00AB7EDD"/>
    <w:rsid w:val="00AC3C6A"/>
    <w:rsid w:val="00AD3709"/>
    <w:rsid w:val="00AD482B"/>
    <w:rsid w:val="00AD5620"/>
    <w:rsid w:val="00AD7C1B"/>
    <w:rsid w:val="00AE16BA"/>
    <w:rsid w:val="00AE1EBE"/>
    <w:rsid w:val="00B03847"/>
    <w:rsid w:val="00B03C9D"/>
    <w:rsid w:val="00B05CCB"/>
    <w:rsid w:val="00B060AE"/>
    <w:rsid w:val="00B10517"/>
    <w:rsid w:val="00B14E76"/>
    <w:rsid w:val="00B161B8"/>
    <w:rsid w:val="00B2048C"/>
    <w:rsid w:val="00B310B9"/>
    <w:rsid w:val="00B35F3F"/>
    <w:rsid w:val="00B36CBB"/>
    <w:rsid w:val="00B3701C"/>
    <w:rsid w:val="00B37FAD"/>
    <w:rsid w:val="00B425E0"/>
    <w:rsid w:val="00B440AA"/>
    <w:rsid w:val="00B44B70"/>
    <w:rsid w:val="00B44F83"/>
    <w:rsid w:val="00B51798"/>
    <w:rsid w:val="00B5370D"/>
    <w:rsid w:val="00B53C56"/>
    <w:rsid w:val="00B7422F"/>
    <w:rsid w:val="00B74D63"/>
    <w:rsid w:val="00B77EA6"/>
    <w:rsid w:val="00B81598"/>
    <w:rsid w:val="00B841F1"/>
    <w:rsid w:val="00B944D6"/>
    <w:rsid w:val="00BA4E57"/>
    <w:rsid w:val="00BB4DF0"/>
    <w:rsid w:val="00BC289F"/>
    <w:rsid w:val="00BC5361"/>
    <w:rsid w:val="00BC5460"/>
    <w:rsid w:val="00BC6B50"/>
    <w:rsid w:val="00BD0E25"/>
    <w:rsid w:val="00BD3172"/>
    <w:rsid w:val="00BE7BC6"/>
    <w:rsid w:val="00BF37BF"/>
    <w:rsid w:val="00BF5BD6"/>
    <w:rsid w:val="00C03E31"/>
    <w:rsid w:val="00C26F95"/>
    <w:rsid w:val="00C30BD6"/>
    <w:rsid w:val="00C33E72"/>
    <w:rsid w:val="00C3445D"/>
    <w:rsid w:val="00C354B2"/>
    <w:rsid w:val="00C35554"/>
    <w:rsid w:val="00C42709"/>
    <w:rsid w:val="00C52A73"/>
    <w:rsid w:val="00C533CC"/>
    <w:rsid w:val="00C56C1B"/>
    <w:rsid w:val="00C5751C"/>
    <w:rsid w:val="00C61BFC"/>
    <w:rsid w:val="00C62B85"/>
    <w:rsid w:val="00C65438"/>
    <w:rsid w:val="00C668C5"/>
    <w:rsid w:val="00C91CBB"/>
    <w:rsid w:val="00C92932"/>
    <w:rsid w:val="00CA74DE"/>
    <w:rsid w:val="00CB07C5"/>
    <w:rsid w:val="00CB0BF3"/>
    <w:rsid w:val="00CB5517"/>
    <w:rsid w:val="00CC09B6"/>
    <w:rsid w:val="00CC666F"/>
    <w:rsid w:val="00CD1E3F"/>
    <w:rsid w:val="00CE052C"/>
    <w:rsid w:val="00CE44F6"/>
    <w:rsid w:val="00CE49DA"/>
    <w:rsid w:val="00CE7B61"/>
    <w:rsid w:val="00CE7EC1"/>
    <w:rsid w:val="00CF4414"/>
    <w:rsid w:val="00CF6E7D"/>
    <w:rsid w:val="00D00095"/>
    <w:rsid w:val="00D07A89"/>
    <w:rsid w:val="00D15BEC"/>
    <w:rsid w:val="00D20620"/>
    <w:rsid w:val="00D26091"/>
    <w:rsid w:val="00D3354C"/>
    <w:rsid w:val="00D34E7C"/>
    <w:rsid w:val="00D35489"/>
    <w:rsid w:val="00D51276"/>
    <w:rsid w:val="00D65988"/>
    <w:rsid w:val="00D7035F"/>
    <w:rsid w:val="00D71F85"/>
    <w:rsid w:val="00D97C7A"/>
    <w:rsid w:val="00DA5916"/>
    <w:rsid w:val="00DA5B0A"/>
    <w:rsid w:val="00DA65AC"/>
    <w:rsid w:val="00DA7CA9"/>
    <w:rsid w:val="00DB06AD"/>
    <w:rsid w:val="00DB1913"/>
    <w:rsid w:val="00DC410D"/>
    <w:rsid w:val="00DC68CA"/>
    <w:rsid w:val="00DC7CBA"/>
    <w:rsid w:val="00DD2338"/>
    <w:rsid w:val="00DD2F25"/>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336C"/>
    <w:rsid w:val="00E64269"/>
    <w:rsid w:val="00E75C05"/>
    <w:rsid w:val="00E76AAF"/>
    <w:rsid w:val="00E82267"/>
    <w:rsid w:val="00E90486"/>
    <w:rsid w:val="00E9257C"/>
    <w:rsid w:val="00EA010F"/>
    <w:rsid w:val="00EA1DBA"/>
    <w:rsid w:val="00EA1E54"/>
    <w:rsid w:val="00EB4C34"/>
    <w:rsid w:val="00ED1B63"/>
    <w:rsid w:val="00ED3C1F"/>
    <w:rsid w:val="00ED4085"/>
    <w:rsid w:val="00ED420E"/>
    <w:rsid w:val="00ED7024"/>
    <w:rsid w:val="00EE2F57"/>
    <w:rsid w:val="00EE34D4"/>
    <w:rsid w:val="00EF3A7B"/>
    <w:rsid w:val="00EF4C34"/>
    <w:rsid w:val="00EF77C6"/>
    <w:rsid w:val="00F05438"/>
    <w:rsid w:val="00F1361C"/>
    <w:rsid w:val="00F160C7"/>
    <w:rsid w:val="00F222A1"/>
    <w:rsid w:val="00F2259E"/>
    <w:rsid w:val="00F2401A"/>
    <w:rsid w:val="00F32E9D"/>
    <w:rsid w:val="00F36D8F"/>
    <w:rsid w:val="00F417B1"/>
    <w:rsid w:val="00F42D86"/>
    <w:rsid w:val="00F53DF3"/>
    <w:rsid w:val="00F602DF"/>
    <w:rsid w:val="00F739F6"/>
    <w:rsid w:val="00F81FD9"/>
    <w:rsid w:val="00F841AA"/>
    <w:rsid w:val="00FA23E8"/>
    <w:rsid w:val="00FB526A"/>
    <w:rsid w:val="00FB7536"/>
    <w:rsid w:val="00FC0D7B"/>
    <w:rsid w:val="00FC458D"/>
    <w:rsid w:val="00FD3CC1"/>
    <w:rsid w:val="00FD4A6A"/>
    <w:rsid w:val="00FD72DA"/>
    <w:rsid w:val="00FE34BB"/>
    <w:rsid w:val="00FF1E02"/>
    <w:rsid w:val="00FF30B4"/>
    <w:rsid w:val="00FF7FEA"/>
    <w:rsid w:val="019D3511"/>
    <w:rsid w:val="06681FA5"/>
    <w:rsid w:val="0BC413C2"/>
    <w:rsid w:val="10C055FF"/>
    <w:rsid w:val="12B30A7C"/>
    <w:rsid w:val="165A18E1"/>
    <w:rsid w:val="16BB723D"/>
    <w:rsid w:val="1BF15163"/>
    <w:rsid w:val="1E147BE1"/>
    <w:rsid w:val="240371BF"/>
    <w:rsid w:val="29FD04D3"/>
    <w:rsid w:val="319F7F4E"/>
    <w:rsid w:val="39233B37"/>
    <w:rsid w:val="409501C5"/>
    <w:rsid w:val="445318C7"/>
    <w:rsid w:val="48384D73"/>
    <w:rsid w:val="50841002"/>
    <w:rsid w:val="53C52CC6"/>
    <w:rsid w:val="540E52BD"/>
    <w:rsid w:val="541B7BD3"/>
    <w:rsid w:val="5F432E27"/>
    <w:rsid w:val="64F40025"/>
    <w:rsid w:val="6BE84376"/>
    <w:rsid w:val="765D1473"/>
    <w:rsid w:val="784F7F24"/>
    <w:rsid w:val="7E4A26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jc w:val="left"/>
    </w:pPr>
    <w:rPr>
      <w:kern w:val="0"/>
      <w:sz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character" w:customStyle="1" w:styleId="31">
    <w:name w:val="标题 1 Char1"/>
    <w:basedOn w:val="15"/>
    <w:link w:val="2"/>
    <w:qFormat/>
    <w:locked/>
    <w:uiPriority w:val="9"/>
    <w:rPr>
      <w:rFonts w:ascii="Times New Roman" w:hAnsi="Times New Roman" w:cs="Times New Roman"/>
      <w:b/>
      <w:bCs/>
      <w:kern w:val="44"/>
      <w:sz w:val="44"/>
      <w:szCs w:val="44"/>
    </w:rPr>
  </w:style>
  <w:style w:type="character" w:customStyle="1" w:styleId="32">
    <w:name w:val="标题 2 Char1"/>
    <w:basedOn w:val="15"/>
    <w:link w:val="3"/>
    <w:qFormat/>
    <w:locked/>
    <w:uiPriority w:val="9"/>
    <w:rPr>
      <w:rFonts w:ascii="Cambria" w:hAnsi="Cambria" w:eastAsia="宋体" w:cs="Times New Roman"/>
      <w:b/>
      <w:bCs/>
      <w:kern w:val="2"/>
      <w:sz w:val="32"/>
      <w:szCs w:val="32"/>
    </w:rPr>
  </w:style>
  <w:style w:type="paragraph" w:customStyle="1" w:styleId="33">
    <w:name w:val="四号正文"/>
    <w:basedOn w:val="1"/>
    <w:qFormat/>
    <w:uiPriority w:val="0"/>
    <w:pPr>
      <w:spacing w:line="360" w:lineRule="auto"/>
    </w:pPr>
    <w:rPr>
      <w:rFonts w:ascii="??" w:hAnsi="??" w:eastAsia="Times New Roman"/>
      <w:color w:val="000000"/>
      <w:kern w:val="0"/>
      <w:sz w:val="28"/>
      <w:szCs w:val="21"/>
    </w:rPr>
  </w:style>
  <w:style w:type="character" w:customStyle="1" w:styleId="34">
    <w:name w:val="正文文本_"/>
    <w:basedOn w:val="15"/>
    <w:link w:val="35"/>
    <w:uiPriority w:val="0"/>
    <w:rPr>
      <w:rFonts w:ascii="宋体" w:hAnsi="宋体" w:eastAsia="宋体" w:cs="宋体"/>
      <w:sz w:val="30"/>
      <w:szCs w:val="30"/>
      <w:lang w:val="zh-CN" w:bidi="zh-CN"/>
    </w:rPr>
  </w:style>
  <w:style w:type="paragraph" w:customStyle="1" w:styleId="35">
    <w:name w:val="正文文本1"/>
    <w:basedOn w:val="1"/>
    <w:link w:val="34"/>
    <w:qFormat/>
    <w:uiPriority w:val="0"/>
    <w:pPr>
      <w:spacing w:line="336" w:lineRule="auto"/>
      <w:ind w:firstLine="400"/>
      <w:jc w:val="left"/>
    </w:pPr>
    <w:rPr>
      <w:rFonts w:ascii="宋体" w:hAnsi="宋体" w:eastAsia="宋体" w:cs="宋体"/>
      <w:kern w:val="0"/>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8913693218958"/>
          <c:y val="0.0339217528917334"/>
          <c:w val="0.829021784264272"/>
          <c:h val="0.850392389907972"/>
        </c:manualLayout>
      </c:layout>
      <c:barChart>
        <c:barDir val="col"/>
        <c:grouping val="clustered"/>
        <c:varyColors val="0"/>
        <c:ser>
          <c:idx val="0"/>
          <c:order val="0"/>
          <c:tx>
            <c:strRef>
              <c:f>Sheet1!$B$1</c:f>
              <c:strCache>
                <c:ptCount val="1"/>
                <c:pt idx="0">
                  <c:v>总收入、支出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723.07</c:v>
                </c:pt>
                <c:pt idx="1">
                  <c:v>639.76</c:v>
                </c:pt>
              </c:numCache>
            </c:numRef>
          </c:val>
        </c:ser>
        <c:dLbls>
          <c:showLegendKey val="0"/>
          <c:showVal val="1"/>
          <c:showCatName val="0"/>
          <c:showSerName val="0"/>
          <c:showPercent val="0"/>
          <c:showBubbleSize val="0"/>
        </c:dLbls>
        <c:gapWidth val="150"/>
        <c:axId val="148977152"/>
        <c:axId val="227502720"/>
      </c:barChart>
      <c:catAx>
        <c:axId val="1489771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502720"/>
        <c:crosses val="autoZero"/>
        <c:auto val="1"/>
        <c:lblAlgn val="ctr"/>
        <c:lblOffset val="100"/>
        <c:noMultiLvlLbl val="0"/>
      </c:catAx>
      <c:valAx>
        <c:axId val="227502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977152"/>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8914095266843"/>
          <c:y val="0.0339217325460777"/>
          <c:w val="0.829021784264272"/>
          <c:h val="0.850392389907972"/>
        </c:manualLayout>
      </c:layout>
      <c:barChart>
        <c:barDir val="col"/>
        <c:grouping val="clustered"/>
        <c:varyColors val="0"/>
        <c:dLbls>
          <c:showLegendKey val="0"/>
          <c:showVal val="1"/>
          <c:showCatName val="0"/>
          <c:showSerName val="0"/>
          <c:showPercent val="0"/>
          <c:showBubbleSize val="0"/>
        </c:dLbls>
        <c:gapWidth val="150"/>
        <c:axId val="48626304"/>
        <c:axId val="49484160"/>
      </c:barChart>
      <c:catAx>
        <c:axId val="486263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484160"/>
        <c:crosses val="autoZero"/>
        <c:auto val="1"/>
        <c:lblAlgn val="ctr"/>
        <c:lblOffset val="100"/>
        <c:noMultiLvlLbl val="0"/>
      </c:catAx>
      <c:valAx>
        <c:axId val="4948416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626304"/>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539.15</c:v>
                </c:pt>
                <c:pt idx="1">
                  <c:v>2.1</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500" b="0"/>
              <a:t>支出数（万元）</a:t>
            </a:r>
            <a:endParaRPr sz="1500" b="0"/>
          </a:p>
        </c:rich>
      </c:tx>
      <c:layout/>
      <c:overlay val="0"/>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18"/>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535.49</c:v>
                </c:pt>
                <c:pt idx="1">
                  <c:v>104.26</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2637107402185"/>
          <c:y val="0.0251909997318447"/>
          <c:w val="0.898817142374615"/>
          <c:h val="0.847475195631507"/>
        </c:manualLayout>
      </c:layout>
      <c:barChart>
        <c:barDir val="col"/>
        <c:grouping val="clustered"/>
        <c:varyColors val="0"/>
        <c:ser>
          <c:idx val="0"/>
          <c:order val="0"/>
          <c:tx>
            <c:strRef>
              <c:f>Sheet1!$B$1</c:f>
              <c:strCache>
                <c:ptCount val="1"/>
                <c:pt idx="0">
                  <c:v>财政拨款收入、支出总额</c:v>
                </c:pt>
              </c:strCache>
            </c:strRef>
          </c:tx>
          <c:invertIfNegative val="0"/>
          <c:dLbls>
            <c:dLbl>
              <c:idx val="0"/>
              <c:layout>
                <c:manualLayout>
                  <c:x val="2.20615181077614e-17"/>
                  <c:y val="0.016528925619834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715.16</c:v>
                </c:pt>
                <c:pt idx="1">
                  <c:v>637.66</c:v>
                </c:pt>
              </c:numCache>
            </c:numRef>
          </c:val>
        </c:ser>
        <c:dLbls>
          <c:showLegendKey val="0"/>
          <c:showVal val="1"/>
          <c:showCatName val="0"/>
          <c:showSerName val="1"/>
          <c:showPercent val="0"/>
          <c:showBubbleSize val="0"/>
        </c:dLbls>
        <c:gapWidth val="150"/>
        <c:axId val="49648384"/>
        <c:axId val="49649920"/>
      </c:barChart>
      <c:catAx>
        <c:axId val="49648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649920"/>
        <c:crosses val="autoZero"/>
        <c:auto val="1"/>
        <c:lblAlgn val="ctr"/>
        <c:lblOffset val="100"/>
        <c:noMultiLvlLbl val="0"/>
      </c:catAx>
      <c:valAx>
        <c:axId val="49649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6483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4"/>
          <c:w val="0.800284188614354"/>
          <c:h val="0.788862092238476"/>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616.66</c:v>
                </c:pt>
                <c:pt idx="1">
                  <c:v>637.66</c:v>
                </c:pt>
              </c:numCache>
            </c:numRef>
          </c:val>
        </c:ser>
        <c:dLbls>
          <c:showLegendKey val="0"/>
          <c:showVal val="1"/>
          <c:showCatName val="0"/>
          <c:showSerName val="1"/>
          <c:showPercent val="0"/>
          <c:showBubbleSize val="0"/>
        </c:dLbls>
        <c:gapWidth val="150"/>
        <c:axId val="50288896"/>
        <c:axId val="50307072"/>
      </c:barChart>
      <c:catAx>
        <c:axId val="502888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307072"/>
        <c:crosses val="autoZero"/>
        <c:auto val="1"/>
        <c:lblAlgn val="ctr"/>
        <c:lblOffset val="100"/>
        <c:noMultiLvlLbl val="0"/>
      </c:catAx>
      <c:valAx>
        <c:axId val="503070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2888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Lbls>
            <c:dLbl>
              <c:idx val="0"/>
              <c:delete val="1"/>
            </c:dLbl>
            <c:dLbl>
              <c:idx val="1"/>
              <c:layout>
                <c:manualLayout>
                  <c:x val="-0.0628465804066543"/>
                  <c:y val="-0.2336034114929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567.99</c:v>
                </c:pt>
                <c:pt idx="1">
                  <c:v>48.48</c:v>
                </c:pt>
                <c:pt idx="2">
                  <c:v>21.19</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6FC2-9C03-49E7-8A75-D8FF5C1062C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13159</Words>
  <Characters>13664</Characters>
  <Lines>101</Lines>
  <Paragraphs>28</Paragraphs>
  <TotalTime>0</TotalTime>
  <ScaleCrop>false</ScaleCrop>
  <LinksUpToDate>false</LinksUpToDate>
  <CharactersWithSpaces>13747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2023-09-19T08:29:00Z</dcterms:created>
  <dc:creator>张彬茜</dc:creator>
  <cp:lastModifiedBy>凝望</cp:lastModifiedBy>
  <cp:lastPrinted>2023-10-11T07:18:00Z</cp:lastPrinted>
  <dcterms:modified xsi:type="dcterms:W3CDTF">2023-10-15T06:02:39Z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D863DAE1E9A54D87B38780F9D1DA5861</vt:lpwstr>
  </property>
</Properties>
</file>