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597"/>
      <w:bookmarkStart w:id="3" w:name="_Toc15396475"/>
      <w:bookmarkStart w:id="4" w:name="_Toc15377425"/>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7426"/>
      <w:bookmarkStart w:id="8" w:name="_Toc15396598"/>
      <w:bookmarkStart w:id="9" w:name="_Toc15378442"/>
      <w:bookmarkStart w:id="10" w:name="_Toc1539647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广元市利州区北街小学单位决算</w:t>
      </w:r>
      <w:bookmarkEnd w:id="6"/>
      <w:bookmarkEnd w:id="7"/>
      <w:bookmarkEnd w:id="8"/>
      <w:bookmarkEnd w:id="9"/>
      <w:bookmarkEnd w:id="10"/>
      <w:bookmarkEnd w:id="11"/>
    </w:p>
    <w:p>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w:t>
      </w:r>
      <w:r>
        <w:t>10</w:t>
      </w:r>
      <w:r>
        <w:rPr>
          <w:rFonts w:hint="eastAsia"/>
        </w:rPr>
        <w:t>月1</w:t>
      </w:r>
      <w:r>
        <w:t>5</w:t>
      </w:r>
      <w:r>
        <w:rPr>
          <w:rFonts w:hint="eastAsia"/>
        </w:rPr>
        <w:t xml:space="preserve"> 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jc w:val="left"/>
        <w:rPr>
          <w:sz w:val="24"/>
        </w:rPr>
      </w:pPr>
      <w:r>
        <w:rPr>
          <w:rFonts w:hint="eastAsia"/>
          <w:sz w:val="24"/>
        </w:rPr>
        <w:t>一、主要职责</w:t>
      </w:r>
    </w:p>
    <w:p>
      <w:pPr>
        <w:pStyle w:val="11"/>
        <w:adjustRightInd w:val="0"/>
        <w:snapToGrid w:val="0"/>
        <w:spacing w:line="440" w:lineRule="exact"/>
        <w:jc w:val="left"/>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2022年度单位决算情况说明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jc w:val="left"/>
        <w:rPr>
          <w:sz w:val="24"/>
        </w:rPr>
      </w:pPr>
      <w:r>
        <w:rPr>
          <w:rFonts w:hint="eastAsia"/>
          <w:sz w:val="24"/>
        </w:rPr>
        <w:t>九、国有</w:t>
      </w:r>
      <w:r>
        <w:rPr>
          <w:rFonts w:hint="eastAsia"/>
          <w:b w:val="0"/>
          <w:bCs w:val="0"/>
          <w:sz w:val="24"/>
        </w:rPr>
        <w:t>资本经营预算支出</w:t>
      </w:r>
      <w:r>
        <w:rPr>
          <w:rFonts w:hint="eastAsia"/>
          <w:sz w:val="24"/>
        </w:rPr>
        <w:t>决算情况说明</w:t>
      </w:r>
    </w:p>
    <w:p>
      <w:pPr>
        <w:pStyle w:val="11"/>
        <w:adjustRightInd w:val="0"/>
        <w:snapToGrid w:val="0"/>
        <w:spacing w:line="440" w:lineRule="exact"/>
        <w:jc w:val="left"/>
        <w:rPr>
          <w:sz w:val="24"/>
        </w:rPr>
      </w:pPr>
      <w:r>
        <w:rPr>
          <w:rFonts w:hint="eastAsia"/>
          <w:sz w:val="24"/>
        </w:rPr>
        <w:t>十、其他重要事项的情况说明</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hint="eastAsia"/>
          <w:sz w:val="24"/>
        </w:rPr>
      </w:pPr>
      <w:r>
        <w:rPr>
          <w:rFonts w:hint="eastAsia"/>
          <w:sz w:val="24"/>
        </w:rPr>
        <w:t>第四部分</w:t>
      </w:r>
      <w:r>
        <w:rPr>
          <w:sz w:val="24"/>
        </w:rPr>
        <w:t xml:space="preserve"> </w:t>
      </w:r>
      <w:r>
        <w:rPr>
          <w:rFonts w:hint="eastAsia"/>
          <w:sz w:val="24"/>
        </w:rPr>
        <w:t>附件</w:t>
      </w:r>
    </w:p>
    <w:p>
      <w:pPr>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部门预算项目支出绩效自评表（2022年度）</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八、一般公共预算财政拨款基本支出决算明细表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十、政府性基金预算财政拨款收入支出决算表</w:t>
      </w:r>
    </w:p>
    <w:p>
      <w:pPr>
        <w:pStyle w:val="11"/>
        <w:adjustRightInd w:val="0"/>
        <w:snapToGrid w:val="0"/>
        <w:spacing w:line="440" w:lineRule="exact"/>
        <w:jc w:val="left"/>
        <w:rPr>
          <w:sz w:val="24"/>
        </w:rPr>
      </w:pPr>
      <w:r>
        <w:rPr>
          <w:rFonts w:hint="eastAsia"/>
          <w:sz w:val="24"/>
        </w:rPr>
        <w:t>十一、国有资本经营预算财政拨款收入支出决算表</w:t>
      </w:r>
    </w:p>
    <w:p>
      <w:pPr>
        <w:pStyle w:val="11"/>
        <w:adjustRightInd w:val="0"/>
        <w:snapToGrid w:val="0"/>
        <w:spacing w:line="440" w:lineRule="exact"/>
        <w:jc w:val="left"/>
        <w:rPr>
          <w:sz w:val="24"/>
        </w:rPr>
      </w:pPr>
      <w:r>
        <w:rPr>
          <w:rFonts w:hint="eastAsia"/>
          <w:sz w:val="24"/>
        </w:rPr>
        <w:t>十二、国有资本经营预算财政拨款支出决算表</w:t>
      </w:r>
    </w:p>
    <w:p>
      <w:pPr>
        <w:pStyle w:val="11"/>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Fonts w:ascii="黑体" w:hAnsi="黑体" w:eastAsia="黑体"/>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pStyle w:val="4"/>
        <w:numPr>
          <w:ilvl w:val="0"/>
          <w:numId w:val="1"/>
        </w:numPr>
        <w:rPr>
          <w:rStyle w:val="25"/>
          <w:rFonts w:ascii="黑体" w:hAnsi="黑体" w:eastAsia="黑体"/>
          <w:b w:val="0"/>
          <w:bCs w:val="0"/>
        </w:rPr>
      </w:pPr>
      <w:bookmarkStart w:id="14" w:name="_Toc15377197"/>
      <w:bookmarkStart w:id="15" w:name="_Toc15396600"/>
      <w:r>
        <w:rPr>
          <w:rStyle w:val="25"/>
          <w:rFonts w:hint="eastAsia" w:ascii="黑体" w:hAnsi="黑体" w:eastAsia="黑体"/>
          <w:b w:val="0"/>
          <w:bCs w:val="0"/>
        </w:rPr>
        <w:t>主要职责</w:t>
      </w:r>
    </w:p>
    <w:p>
      <w:pPr>
        <w:pStyle w:val="2"/>
        <w:numPr>
          <w:ilvl w:val="0"/>
          <w:numId w:val="0"/>
        </w:numPr>
        <w:adjustRightInd w:val="0"/>
        <w:spacing w:beforeLines="0" w:line="500" w:lineRule="exact"/>
        <w:ind w:firstLine="600" w:firstLineChars="200"/>
        <w:outlineLvl w:val="2"/>
        <w:rPr>
          <w:rFonts w:ascii="仿宋" w:hAnsi="仿宋" w:eastAsia="仿宋"/>
          <w:bCs/>
          <w:szCs w:val="30"/>
        </w:rPr>
      </w:pPr>
      <w:bookmarkStart w:id="16" w:name="_Toc15378446"/>
      <w:bookmarkStart w:id="17" w:name="_Toc15377199"/>
      <w:r>
        <w:rPr>
          <w:rFonts w:ascii="仿宋" w:hAnsi="仿宋" w:eastAsia="仿宋"/>
          <w:bCs/>
          <w:szCs w:val="30"/>
        </w:rPr>
        <w:t>1</w:t>
      </w:r>
      <w:r>
        <w:rPr>
          <w:rFonts w:hint="eastAsia" w:ascii="仿宋" w:hAnsi="仿宋" w:eastAsia="仿宋"/>
          <w:bCs/>
          <w:szCs w:val="30"/>
        </w:rPr>
        <w:t>.贯彻党的教育方针，坚持社会主义办学方向，实行教育与生产劳动相结合，对学生进行德育、智育、体育、美育和劳动等方面的教育。</w:t>
      </w:r>
    </w:p>
    <w:p>
      <w:pPr>
        <w:pStyle w:val="2"/>
        <w:numPr>
          <w:ilvl w:val="0"/>
          <w:numId w:val="0"/>
        </w:numPr>
        <w:adjustRightInd w:val="0"/>
        <w:spacing w:beforeLines="0" w:line="500" w:lineRule="exact"/>
        <w:ind w:firstLine="600" w:firstLineChars="200"/>
        <w:outlineLvl w:val="2"/>
        <w:rPr>
          <w:rFonts w:ascii="仿宋" w:hAnsi="仿宋" w:eastAsia="仿宋"/>
          <w:bCs/>
          <w:szCs w:val="30"/>
        </w:rPr>
      </w:pPr>
      <w:r>
        <w:rPr>
          <w:rFonts w:ascii="仿宋" w:hAnsi="仿宋" w:eastAsia="仿宋"/>
          <w:bCs/>
          <w:szCs w:val="30"/>
        </w:rPr>
        <w:t>2</w:t>
      </w:r>
      <w:r>
        <w:rPr>
          <w:rFonts w:hint="eastAsia" w:ascii="仿宋" w:hAnsi="仿宋" w:eastAsia="仿宋"/>
          <w:bCs/>
          <w:szCs w:val="30"/>
        </w:rPr>
        <w:t>.用科</w:t>
      </w:r>
      <w:r>
        <w:rPr>
          <w:rFonts w:hint="eastAsia" w:ascii="仿宋" w:hAnsi="仿宋" w:eastAsia="仿宋"/>
          <w:bCs/>
          <w:spacing w:val="-6"/>
          <w:szCs w:val="30"/>
        </w:rPr>
        <w:t>学的发展观指导教育教学工作。加强教育科研工作，推动校本教育的健康发展。加强教学管理，不断推进新课程改革，全面提高教学质量。</w:t>
      </w:r>
    </w:p>
    <w:p>
      <w:pPr>
        <w:pStyle w:val="2"/>
        <w:numPr>
          <w:ilvl w:val="0"/>
          <w:numId w:val="0"/>
        </w:numPr>
        <w:adjustRightInd w:val="0"/>
        <w:spacing w:beforeLines="0" w:line="500" w:lineRule="exact"/>
        <w:ind w:firstLine="600" w:firstLineChars="200"/>
        <w:outlineLvl w:val="2"/>
        <w:rPr>
          <w:rFonts w:ascii="仿宋" w:hAnsi="仿宋" w:eastAsia="仿宋"/>
          <w:bCs/>
          <w:szCs w:val="30"/>
        </w:rPr>
      </w:pPr>
      <w:r>
        <w:rPr>
          <w:rFonts w:ascii="仿宋" w:hAnsi="仿宋" w:eastAsia="仿宋"/>
          <w:bCs/>
          <w:szCs w:val="30"/>
        </w:rPr>
        <w:t>3</w:t>
      </w:r>
      <w:r>
        <w:rPr>
          <w:rFonts w:hint="eastAsia" w:ascii="仿宋" w:hAnsi="仿宋" w:eastAsia="仿宋"/>
          <w:bCs/>
          <w:szCs w:val="30"/>
        </w:rPr>
        <w:t>.负责配合各级人民政府依法动员、组织适龄儿童、少年入学，严格控制学生辍学，依法保证适龄儿童、少年接受九年义务教育。</w:t>
      </w:r>
    </w:p>
    <w:p>
      <w:pPr>
        <w:pStyle w:val="2"/>
        <w:numPr>
          <w:ilvl w:val="0"/>
          <w:numId w:val="0"/>
        </w:numPr>
        <w:adjustRightInd w:val="0"/>
        <w:spacing w:beforeLines="0" w:line="500" w:lineRule="exact"/>
        <w:ind w:firstLine="600" w:firstLineChars="200"/>
        <w:outlineLvl w:val="2"/>
        <w:rPr>
          <w:rFonts w:ascii="仿宋" w:hAnsi="仿宋" w:eastAsia="仿宋"/>
          <w:bCs/>
          <w:szCs w:val="30"/>
        </w:rPr>
      </w:pPr>
      <w:r>
        <w:rPr>
          <w:rFonts w:ascii="仿宋" w:hAnsi="仿宋" w:eastAsia="仿宋"/>
          <w:bCs/>
          <w:szCs w:val="30"/>
        </w:rPr>
        <w:t>4</w:t>
      </w:r>
      <w:r>
        <w:rPr>
          <w:rFonts w:hint="eastAsia" w:ascii="仿宋" w:hAnsi="仿宋" w:eastAsia="仿宋"/>
          <w:bCs/>
          <w:szCs w:val="30"/>
        </w:rPr>
        <w:t>.继续深化人事制度改革，完善学校内部管理，做好后勤保障工作。</w:t>
      </w:r>
    </w:p>
    <w:p>
      <w:pPr>
        <w:pStyle w:val="2"/>
        <w:numPr>
          <w:ilvl w:val="0"/>
          <w:numId w:val="0"/>
        </w:numPr>
        <w:adjustRightInd w:val="0"/>
        <w:spacing w:beforeLines="0" w:line="500" w:lineRule="exact"/>
        <w:ind w:firstLine="600" w:firstLineChars="200"/>
        <w:outlineLvl w:val="2"/>
        <w:rPr>
          <w:rFonts w:ascii="仿宋" w:hAnsi="仿宋" w:eastAsia="仿宋"/>
          <w:bCs/>
          <w:szCs w:val="30"/>
        </w:rPr>
      </w:pPr>
      <w:r>
        <w:rPr>
          <w:rFonts w:ascii="仿宋" w:hAnsi="仿宋" w:eastAsia="仿宋"/>
          <w:bCs/>
          <w:szCs w:val="30"/>
        </w:rPr>
        <w:t>5</w:t>
      </w:r>
      <w:r>
        <w:rPr>
          <w:rFonts w:hint="eastAsia" w:ascii="仿宋" w:hAnsi="仿宋" w:eastAsia="仿宋"/>
          <w:bCs/>
          <w:szCs w:val="30"/>
        </w:rPr>
        <w:t>.负责科学管理、合理使用学校的设施和经费，并积极筹措资金，改善办学条件。</w:t>
      </w:r>
    </w:p>
    <w:p>
      <w:pPr>
        <w:pStyle w:val="2"/>
        <w:numPr>
          <w:ilvl w:val="0"/>
          <w:numId w:val="0"/>
        </w:numPr>
        <w:adjustRightInd w:val="0"/>
        <w:spacing w:beforeLines="0" w:line="500" w:lineRule="exact"/>
        <w:ind w:firstLine="600" w:firstLineChars="200"/>
        <w:outlineLvl w:val="2"/>
        <w:rPr>
          <w:rFonts w:ascii="仿宋" w:hAnsi="仿宋" w:eastAsia="仿宋"/>
          <w:bCs/>
          <w:szCs w:val="30"/>
        </w:rPr>
      </w:pPr>
      <w:r>
        <w:rPr>
          <w:rFonts w:ascii="仿宋" w:hAnsi="仿宋" w:eastAsia="仿宋"/>
          <w:bCs/>
          <w:szCs w:val="30"/>
        </w:rPr>
        <w:t>6</w:t>
      </w:r>
      <w:r>
        <w:rPr>
          <w:rFonts w:hint="eastAsia" w:ascii="仿宋" w:hAnsi="仿宋" w:eastAsia="仿宋"/>
          <w:bCs/>
          <w:szCs w:val="30"/>
        </w:rPr>
        <w:t>.负责维护学校、师生的合法权益，有权拒绝任何组织和个人对教育教学活动进行非法干扰。</w:t>
      </w:r>
    </w:p>
    <w:p>
      <w:pPr>
        <w:pStyle w:val="2"/>
        <w:numPr>
          <w:ilvl w:val="0"/>
          <w:numId w:val="0"/>
        </w:numPr>
        <w:adjustRightInd w:val="0"/>
        <w:spacing w:beforeLines="0" w:line="500" w:lineRule="exact"/>
        <w:ind w:firstLine="600" w:firstLineChars="200"/>
        <w:outlineLvl w:val="2"/>
        <w:rPr>
          <w:rFonts w:ascii="仿宋" w:hAnsi="仿宋" w:eastAsia="仿宋"/>
          <w:bCs/>
          <w:szCs w:val="30"/>
        </w:rPr>
      </w:pPr>
      <w:r>
        <w:rPr>
          <w:rFonts w:ascii="仿宋" w:hAnsi="仿宋" w:eastAsia="仿宋"/>
          <w:bCs/>
          <w:szCs w:val="30"/>
        </w:rPr>
        <w:t>7</w:t>
      </w:r>
      <w:r>
        <w:rPr>
          <w:rFonts w:hint="eastAsia" w:ascii="仿宋" w:hAnsi="仿宋" w:eastAsia="仿宋"/>
          <w:bCs/>
          <w:szCs w:val="30"/>
        </w:rPr>
        <w:t>.负责创建绿色校园、文明校园和平安校园。</w:t>
      </w:r>
    </w:p>
    <w:p>
      <w:pPr>
        <w:pStyle w:val="2"/>
        <w:numPr>
          <w:ilvl w:val="0"/>
          <w:numId w:val="0"/>
        </w:numPr>
        <w:adjustRightInd w:val="0"/>
        <w:spacing w:beforeLines="0" w:line="500" w:lineRule="exact"/>
        <w:ind w:firstLine="600" w:firstLineChars="200"/>
        <w:outlineLvl w:val="2"/>
        <w:rPr>
          <w:rFonts w:ascii="仿宋" w:hAnsi="仿宋" w:eastAsia="仿宋"/>
          <w:bCs/>
          <w:szCs w:val="30"/>
        </w:rPr>
      </w:pPr>
      <w:r>
        <w:rPr>
          <w:rFonts w:ascii="仿宋" w:hAnsi="仿宋" w:eastAsia="仿宋"/>
          <w:bCs/>
          <w:szCs w:val="30"/>
        </w:rPr>
        <w:t>8</w:t>
      </w:r>
      <w:r>
        <w:rPr>
          <w:rFonts w:hint="eastAsia" w:ascii="仿宋" w:hAnsi="仿宋" w:eastAsia="仿宋"/>
          <w:bCs/>
          <w:szCs w:val="30"/>
        </w:rPr>
        <w:t>.负责关心教职工生活，发挥教代会职能作用。依法制定本校教师及其他职工聘任办法并对教师及其他员工实施包括奖励、处分在内的具体管理活动。</w:t>
      </w:r>
    </w:p>
    <w:p>
      <w:pPr>
        <w:pStyle w:val="2"/>
        <w:numPr>
          <w:ilvl w:val="0"/>
          <w:numId w:val="0"/>
        </w:numPr>
        <w:adjustRightInd w:val="0"/>
        <w:spacing w:beforeLines="0" w:line="500" w:lineRule="exact"/>
        <w:ind w:firstLine="600" w:firstLineChars="200"/>
        <w:outlineLvl w:val="2"/>
        <w:rPr>
          <w:rFonts w:ascii="仿宋" w:hAnsi="仿宋" w:eastAsia="仿宋"/>
          <w:bCs/>
          <w:szCs w:val="30"/>
        </w:rPr>
      </w:pPr>
      <w:r>
        <w:rPr>
          <w:rFonts w:ascii="仿宋" w:hAnsi="仿宋" w:eastAsia="仿宋"/>
          <w:bCs/>
          <w:szCs w:val="30"/>
        </w:rPr>
        <w:t>9</w:t>
      </w:r>
      <w:r>
        <w:rPr>
          <w:rFonts w:hint="eastAsia" w:ascii="仿宋" w:hAnsi="仿宋" w:eastAsia="仿宋"/>
          <w:bCs/>
          <w:szCs w:val="30"/>
        </w:rPr>
        <w:t>.承办上级交办的其他事项。</w:t>
      </w:r>
    </w:p>
    <w:bookmarkEnd w:id="16"/>
    <w:bookmarkEnd w:id="17"/>
    <w:p/>
    <w:p>
      <w:pPr>
        <w:pStyle w:val="4"/>
        <w:numPr>
          <w:ilvl w:val="0"/>
          <w:numId w:val="2"/>
        </w:numPr>
        <w:rPr>
          <w:rFonts w:ascii="黑体" w:hAnsi="黑体" w:eastAsia="黑体"/>
          <w:b w:val="0"/>
        </w:rPr>
      </w:pPr>
      <w:r>
        <w:rPr>
          <w:rFonts w:hint="eastAsia" w:ascii="黑体" w:hAnsi="黑体" w:eastAsia="黑体"/>
          <w:b w:val="0"/>
        </w:rPr>
        <w:t>机构设置</w:t>
      </w:r>
    </w:p>
    <w:bookmarkEnd w:id="14"/>
    <w:bookmarkEnd w:id="15"/>
    <w:p>
      <w:pPr>
        <w:pStyle w:val="2"/>
        <w:adjustRightInd w:val="0"/>
        <w:spacing w:beforeLines="0" w:line="500" w:lineRule="exact"/>
        <w:ind w:firstLine="900" w:firstLineChars="300"/>
        <w:rPr>
          <w:rFonts w:ascii="仿宋" w:hAnsi="仿宋" w:eastAsia="仿宋"/>
          <w:sz w:val="28"/>
          <w:szCs w:val="28"/>
        </w:rPr>
      </w:pPr>
      <w:r>
        <w:rPr>
          <w:rFonts w:hint="eastAsia" w:ascii="仿宋" w:hAnsi="仿宋" w:eastAsia="仿宋"/>
          <w:szCs w:val="30"/>
        </w:rPr>
        <w:t>广元市利州区北街小学是纳入利州区教育局20</w:t>
      </w:r>
      <w:r>
        <w:rPr>
          <w:rFonts w:ascii="仿宋" w:hAnsi="仿宋" w:eastAsia="仿宋"/>
          <w:szCs w:val="30"/>
        </w:rPr>
        <w:t>22</w:t>
      </w:r>
      <w:r>
        <w:rPr>
          <w:rFonts w:hint="eastAsia" w:ascii="仿宋" w:hAnsi="仿宋" w:eastAsia="仿宋"/>
          <w:szCs w:val="30"/>
        </w:rPr>
        <w:t>年度部门决算编制范围的二级预算单位，学校设有校长室、办公室、教导处、总务处、技装室、德育处，2</w:t>
      </w:r>
      <w:r>
        <w:rPr>
          <w:rFonts w:ascii="仿宋" w:hAnsi="仿宋" w:eastAsia="仿宋"/>
          <w:szCs w:val="30"/>
        </w:rPr>
        <w:t>022</w:t>
      </w:r>
      <w:r>
        <w:rPr>
          <w:rFonts w:hint="eastAsia" w:ascii="仿宋" w:hAnsi="仿宋" w:eastAsia="仿宋"/>
          <w:szCs w:val="30"/>
        </w:rPr>
        <w:t>年末共有学生</w:t>
      </w:r>
      <w:r>
        <w:rPr>
          <w:rFonts w:ascii="仿宋" w:hAnsi="仿宋" w:eastAsia="仿宋"/>
          <w:szCs w:val="30"/>
        </w:rPr>
        <w:t>4442</w:t>
      </w:r>
      <w:r>
        <w:rPr>
          <w:rFonts w:hint="eastAsia" w:ascii="仿宋" w:hAnsi="仿宋" w:eastAsia="仿宋"/>
          <w:szCs w:val="30"/>
        </w:rPr>
        <w:t>人，在职教职工1</w:t>
      </w:r>
      <w:r>
        <w:rPr>
          <w:rFonts w:ascii="仿宋" w:hAnsi="仿宋" w:eastAsia="仿宋"/>
          <w:szCs w:val="30"/>
        </w:rPr>
        <w:t>46</w:t>
      </w:r>
      <w:r>
        <w:rPr>
          <w:rFonts w:hint="eastAsia" w:ascii="仿宋" w:hAnsi="仿宋" w:eastAsia="仿宋"/>
          <w:szCs w:val="30"/>
        </w:rPr>
        <w:t>人，离退休教师1</w:t>
      </w:r>
      <w:r>
        <w:rPr>
          <w:rFonts w:ascii="仿宋" w:hAnsi="仿宋" w:eastAsia="仿宋"/>
          <w:szCs w:val="30"/>
        </w:rPr>
        <w:t>52</w:t>
      </w:r>
      <w:r>
        <w:rPr>
          <w:rFonts w:hint="eastAsia" w:ascii="仿宋" w:hAnsi="仿宋" w:eastAsia="仿宋"/>
          <w:szCs w:val="30"/>
        </w:rPr>
        <w:t>人</w:t>
      </w:r>
      <w:r>
        <w:rPr>
          <w:rFonts w:hint="eastAsia"/>
          <w:sz w:val="28"/>
          <w:szCs w:val="28"/>
        </w:rPr>
        <w:t>。</w:t>
      </w:r>
    </w:p>
    <w:p>
      <w:pPr>
        <w:widowControl/>
        <w:jc w:val="left"/>
        <w:rPr>
          <w:rFonts w:ascii="仿宋" w:hAnsi="仿宋" w:eastAsia="仿宋"/>
          <w:kern w:val="0"/>
          <w:sz w:val="32"/>
          <w:szCs w:val="32"/>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ind w:right="440"/>
        <w:jc w:val="center"/>
        <w:rPr>
          <w:rFonts w:ascii="黑体" w:hAnsi="黑体" w:eastAsia="黑体"/>
          <w:b w:val="0"/>
        </w:rPr>
      </w:pPr>
      <w:bookmarkStart w:id="18" w:name="_Toc15377204"/>
      <w:bookmarkStart w:id="19" w:name="_Toc15396602"/>
      <w:r>
        <w:rPr>
          <w:rFonts w:hint="eastAsia" w:ascii="黑体" w:hAnsi="黑体" w:eastAsia="黑体"/>
          <w:b w:val="0"/>
        </w:rPr>
        <w:t>第二部分 2022年度</w:t>
      </w:r>
      <w:r>
        <w:rPr>
          <w:rStyle w:val="24"/>
          <w:rFonts w:hint="eastAsia" w:ascii="黑体" w:hAnsi="黑体" w:eastAsia="黑体"/>
          <w:b w:val="0"/>
          <w:bCs/>
        </w:rPr>
        <w:t>单位决算情况说明</w:t>
      </w:r>
      <w:bookmarkEnd w:id="18"/>
      <w:bookmarkEnd w:id="19"/>
    </w:p>
    <w:p>
      <w:pPr>
        <w:pStyle w:val="23"/>
        <w:numPr>
          <w:ilvl w:val="0"/>
          <w:numId w:val="3"/>
        </w:numPr>
        <w:spacing w:line="600" w:lineRule="exact"/>
        <w:ind w:firstLineChars="0"/>
        <w:outlineLvl w:val="1"/>
        <w:rPr>
          <w:rStyle w:val="25"/>
          <w:rFonts w:ascii="黑体" w:hAnsi="黑体" w:eastAsia="黑体"/>
          <w:b w:val="0"/>
        </w:rPr>
      </w:pPr>
      <w:bookmarkStart w:id="20" w:name="_Toc15396603"/>
      <w:bookmarkStart w:id="21"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sz w:val="32"/>
          <w:szCs w:val="32"/>
        </w:rPr>
      </w:pPr>
      <w:r>
        <w:rPr>
          <w:rFonts w:hint="eastAsia" w:ascii="仿宋" w:hAnsi="仿宋" w:eastAsia="仿宋"/>
          <w:sz w:val="32"/>
          <w:szCs w:val="32"/>
          <w:lang w:val="zh-CN"/>
        </w:rPr>
        <w:drawing>
          <wp:anchor distT="0" distB="0" distL="114300" distR="114300" simplePos="0" relativeHeight="251659264" behindDoc="0" locked="0" layoutInCell="1" allowOverlap="1">
            <wp:simplePos x="0" y="0"/>
            <wp:positionH relativeFrom="column">
              <wp:posOffset>304800</wp:posOffset>
            </wp:positionH>
            <wp:positionV relativeFrom="paragraph">
              <wp:posOffset>1685925</wp:posOffset>
            </wp:positionV>
            <wp:extent cx="4657725" cy="1762760"/>
            <wp:effectExtent l="4445" t="5080" r="11430" b="1016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2022年度收、支总计</w:t>
      </w:r>
      <w:r>
        <w:rPr>
          <w:rFonts w:ascii="仿宋" w:hAnsi="仿宋" w:eastAsia="仿宋"/>
          <w:sz w:val="32"/>
          <w:szCs w:val="32"/>
        </w:rPr>
        <w:t>3,308.82</w:t>
      </w:r>
      <w:r>
        <w:rPr>
          <w:rFonts w:hint="eastAsia" w:ascii="仿宋" w:hAnsi="仿宋" w:eastAsia="仿宋"/>
          <w:sz w:val="32"/>
          <w:szCs w:val="32"/>
        </w:rPr>
        <w:t>万元。与2021年相比，收、支总计各减少</w:t>
      </w:r>
      <w:r>
        <w:rPr>
          <w:rFonts w:ascii="仿宋" w:hAnsi="仿宋" w:eastAsia="仿宋"/>
          <w:sz w:val="32"/>
          <w:szCs w:val="32"/>
        </w:rPr>
        <w:t>112.33</w:t>
      </w:r>
      <w:r>
        <w:rPr>
          <w:rFonts w:hint="eastAsia" w:ascii="仿宋" w:hAnsi="仿宋" w:eastAsia="仿宋"/>
          <w:sz w:val="32"/>
          <w:szCs w:val="32"/>
        </w:rPr>
        <w:t>万元，下降</w:t>
      </w:r>
      <w:r>
        <w:rPr>
          <w:rFonts w:ascii="仿宋" w:hAnsi="仿宋" w:eastAsia="仿宋"/>
          <w:sz w:val="32"/>
          <w:szCs w:val="32"/>
        </w:rPr>
        <w:t>3.2%</w:t>
      </w:r>
      <w:r>
        <w:rPr>
          <w:rFonts w:hint="eastAsia" w:ascii="仿宋" w:hAnsi="仿宋" w:eastAsia="仿宋"/>
          <w:sz w:val="32"/>
          <w:szCs w:val="32"/>
        </w:rPr>
        <w:t>。主要变动原因主要变动原因是下半年受疫情影响，学生2个多月未到校正常行课，各项开支减少。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3"/>
        <w:numPr>
          <w:ilvl w:val="0"/>
          <w:numId w:val="3"/>
        </w:numPr>
        <w:spacing w:line="600" w:lineRule="exact"/>
        <w:ind w:firstLineChars="0"/>
        <w:outlineLvl w:val="1"/>
        <w:rPr>
          <w:rStyle w:val="25"/>
          <w:rFonts w:ascii="黑体" w:hAnsi="黑体" w:eastAsia="黑体"/>
          <w:b w:val="0"/>
        </w:rPr>
      </w:pPr>
      <w:bookmarkStart w:id="22" w:name="_Toc15396604"/>
      <w:bookmarkStart w:id="23" w:name="_Toc15377206"/>
      <w:r>
        <w:rPr>
          <w:rFonts w:hint="eastAsia" w:ascii="黑体" w:hAnsi="黑体" w:eastAsia="黑体"/>
          <w:sz w:val="32"/>
          <w:szCs w:val="32"/>
        </w:rPr>
        <w:t>收</w:t>
      </w:r>
      <w:r>
        <w:rPr>
          <w:rStyle w:val="25"/>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2,868.61</w:t>
      </w:r>
      <w:r>
        <w:rPr>
          <w:rFonts w:hint="eastAsia" w:ascii="仿宋" w:hAnsi="仿宋" w:eastAsia="仿宋"/>
          <w:sz w:val="32"/>
          <w:szCs w:val="32"/>
        </w:rPr>
        <w:t>万元，其中：一般公共预算财政拨款收入</w:t>
      </w:r>
      <w:r>
        <w:rPr>
          <w:rFonts w:ascii="仿宋" w:hAnsi="仿宋" w:eastAsia="仿宋"/>
          <w:sz w:val="32"/>
          <w:szCs w:val="32"/>
        </w:rPr>
        <w:t>2,842.84</w:t>
      </w:r>
      <w:r>
        <w:rPr>
          <w:rFonts w:hint="eastAsia" w:ascii="仿宋" w:hAnsi="仿宋" w:eastAsia="仿宋"/>
          <w:sz w:val="32"/>
          <w:szCs w:val="32"/>
        </w:rPr>
        <w:t>万元，占</w:t>
      </w:r>
      <w:r>
        <w:rPr>
          <w:rFonts w:ascii="仿宋" w:hAnsi="仿宋" w:eastAsia="仿宋"/>
          <w:sz w:val="32"/>
          <w:szCs w:val="32"/>
        </w:rPr>
        <w:t>99.11%</w:t>
      </w:r>
      <w:r>
        <w:rPr>
          <w:rFonts w:hint="eastAsia" w:ascii="仿宋" w:hAnsi="仿宋" w:eastAsia="仿宋"/>
          <w:sz w:val="32"/>
          <w:szCs w:val="32"/>
        </w:rPr>
        <w:t>；事业收入</w:t>
      </w:r>
      <w:r>
        <w:rPr>
          <w:rFonts w:ascii="仿宋" w:hAnsi="仿宋" w:eastAsia="仿宋"/>
          <w:sz w:val="32"/>
          <w:szCs w:val="32"/>
        </w:rPr>
        <w:t>24.29</w:t>
      </w:r>
      <w:r>
        <w:rPr>
          <w:rFonts w:hint="eastAsia" w:ascii="仿宋" w:hAnsi="仿宋" w:eastAsia="仿宋"/>
          <w:sz w:val="32"/>
          <w:szCs w:val="32"/>
        </w:rPr>
        <w:t>万元，占</w:t>
      </w:r>
      <w:r>
        <w:rPr>
          <w:rFonts w:ascii="仿宋" w:hAnsi="仿宋" w:eastAsia="仿宋"/>
          <w:sz w:val="32"/>
          <w:szCs w:val="32"/>
        </w:rPr>
        <w:t>0.84%</w:t>
      </w:r>
      <w:r>
        <w:rPr>
          <w:rFonts w:hint="eastAsia" w:ascii="仿宋" w:hAnsi="仿宋" w:eastAsia="仿宋"/>
          <w:sz w:val="32"/>
          <w:szCs w:val="32"/>
        </w:rPr>
        <w:t>；其他收入</w:t>
      </w:r>
      <w:r>
        <w:rPr>
          <w:rFonts w:ascii="仿宋" w:hAnsi="仿宋" w:eastAsia="仿宋"/>
          <w:sz w:val="32"/>
          <w:szCs w:val="32"/>
        </w:rPr>
        <w:t>1.48</w:t>
      </w:r>
      <w:r>
        <w:rPr>
          <w:rFonts w:hint="eastAsia" w:ascii="仿宋" w:hAnsi="仿宋" w:eastAsia="仿宋"/>
          <w:sz w:val="32"/>
          <w:szCs w:val="32"/>
        </w:rPr>
        <w:t>万元，占0</w:t>
      </w:r>
      <w:r>
        <w:rPr>
          <w:rFonts w:ascii="仿宋" w:hAnsi="仿宋" w:eastAsia="仿宋"/>
          <w:sz w:val="32"/>
          <w:szCs w:val="32"/>
        </w:rPr>
        <w:t>.05%</w:t>
      </w:r>
      <w:r>
        <w:rPr>
          <w:rFonts w:hint="eastAsia" w:ascii="仿宋" w:hAnsi="仿宋" w:eastAsia="仿宋"/>
          <w:sz w:val="32"/>
          <w:szCs w:val="32"/>
        </w:rPr>
        <w:t>。</w:t>
      </w: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266700</wp:posOffset>
            </wp:positionH>
            <wp:positionV relativeFrom="paragraph">
              <wp:posOffset>295275</wp:posOffset>
            </wp:positionV>
            <wp:extent cx="5343525" cy="1732915"/>
            <wp:effectExtent l="4445" t="4445" r="11430" b="1524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3"/>
        <w:numPr>
          <w:ilvl w:val="0"/>
          <w:numId w:val="3"/>
        </w:numPr>
        <w:spacing w:line="600" w:lineRule="exact"/>
        <w:ind w:firstLineChars="0"/>
        <w:outlineLvl w:val="1"/>
        <w:rPr>
          <w:rStyle w:val="25"/>
          <w:rFonts w:ascii="黑体" w:hAnsi="黑体" w:eastAsia="黑体"/>
          <w:b w:val="0"/>
        </w:rPr>
      </w:pPr>
      <w:bookmarkStart w:id="24" w:name="_Toc15396605"/>
      <w:bookmarkStart w:id="25" w:name="_Toc15377207"/>
      <w:r>
        <w:rPr>
          <w:rFonts w:hint="eastAsia" w:ascii="黑体" w:hAnsi="黑体" w:eastAsia="黑体"/>
          <w:sz w:val="32"/>
          <w:szCs w:val="32"/>
        </w:rPr>
        <w:t>支</w:t>
      </w:r>
      <w:r>
        <w:rPr>
          <w:rStyle w:val="25"/>
          <w:rFonts w:hint="eastAsia" w:ascii="黑体" w:hAnsi="黑体" w:eastAsia="黑体"/>
          <w:b w:val="0"/>
        </w:rPr>
        <w:t>出决算情况说明</w:t>
      </w:r>
      <w:bookmarkEnd w:id="24"/>
      <w:bookmarkEnd w:id="25"/>
    </w:p>
    <w:p>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3,308.82</w:t>
      </w:r>
      <w:r>
        <w:rPr>
          <w:rFonts w:hint="eastAsia" w:ascii="仿宋" w:hAnsi="仿宋" w:eastAsia="仿宋"/>
          <w:sz w:val="32"/>
          <w:szCs w:val="32"/>
        </w:rPr>
        <w:t>万元，其中：基本支出</w:t>
      </w:r>
      <w:r>
        <w:rPr>
          <w:rFonts w:ascii="仿宋" w:hAnsi="仿宋" w:eastAsia="仿宋"/>
          <w:sz w:val="32"/>
          <w:szCs w:val="32"/>
        </w:rPr>
        <w:t>2866.81</w:t>
      </w:r>
      <w:r>
        <w:rPr>
          <w:rFonts w:hint="eastAsia" w:ascii="仿宋" w:hAnsi="仿宋" w:eastAsia="仿宋"/>
          <w:sz w:val="32"/>
          <w:szCs w:val="32"/>
        </w:rPr>
        <w:t>万元，占</w:t>
      </w:r>
      <w:r>
        <w:rPr>
          <w:rFonts w:ascii="仿宋" w:hAnsi="仿宋" w:eastAsia="仿宋"/>
          <w:sz w:val="32"/>
          <w:szCs w:val="32"/>
        </w:rPr>
        <w:t>86.6%</w:t>
      </w:r>
      <w:r>
        <w:rPr>
          <w:rFonts w:hint="eastAsia" w:ascii="仿宋" w:hAnsi="仿宋" w:eastAsia="仿宋"/>
          <w:sz w:val="32"/>
          <w:szCs w:val="32"/>
        </w:rPr>
        <w:t>；项目支出</w:t>
      </w:r>
      <w:r>
        <w:rPr>
          <w:rFonts w:ascii="仿宋" w:hAnsi="仿宋" w:eastAsia="仿宋"/>
          <w:sz w:val="32"/>
          <w:szCs w:val="32"/>
        </w:rPr>
        <w:t>442.01</w:t>
      </w:r>
      <w:r>
        <w:rPr>
          <w:rFonts w:hint="eastAsia" w:ascii="仿宋" w:hAnsi="仿宋" w:eastAsia="仿宋"/>
          <w:sz w:val="32"/>
          <w:szCs w:val="32"/>
        </w:rPr>
        <w:t>万元，占</w:t>
      </w:r>
      <w:r>
        <w:rPr>
          <w:rFonts w:ascii="仿宋" w:hAnsi="仿宋" w:eastAsia="仿宋"/>
          <w:sz w:val="32"/>
          <w:szCs w:val="32"/>
        </w:rPr>
        <w:t>13.4%</w:t>
      </w:r>
      <w:r>
        <w:rPr>
          <w:rFonts w:hint="eastAsia" w:ascii="仿宋" w:hAnsi="仿宋" w:eastAsia="仿宋"/>
          <w:sz w:val="32"/>
          <w:szCs w:val="32"/>
        </w:rPr>
        <w:t>；。</w:t>
      </w:r>
      <w:r>
        <w:rPr>
          <w:rFonts w:ascii="仿宋" w:hAnsi="仿宋" w:eastAsia="仿宋"/>
          <w:sz w:val="32"/>
          <w:szCs w:val="32"/>
        </w:rPr>
        <w:t xml:space="preserve"> </w:t>
      </w: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384810</wp:posOffset>
            </wp:positionV>
            <wp:extent cx="5298440" cy="1828800"/>
            <wp:effectExtent l="4445" t="4445" r="5715" b="825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5"/>
          <w:rFonts w:ascii="黑体" w:hAnsi="黑体" w:eastAsia="黑体"/>
          <w:b w:val="0"/>
        </w:rPr>
      </w:pPr>
      <w:bookmarkStart w:id="26" w:name="_Toc15396606"/>
      <w:bookmarkStart w:id="27"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6"/>
      <w:bookmarkEnd w:id="2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22年财政拨款收、支总计3283.05万元。与</w:t>
      </w:r>
      <w:r>
        <w:rPr>
          <w:rFonts w:ascii="仿宋" w:hAnsi="仿宋" w:eastAsia="仿宋"/>
          <w:sz w:val="32"/>
          <w:szCs w:val="32"/>
        </w:rPr>
        <w:t>20</w:t>
      </w:r>
      <w:r>
        <w:rPr>
          <w:rFonts w:hint="eastAsia" w:ascii="仿宋" w:hAnsi="仿宋" w:eastAsia="仿宋"/>
          <w:sz w:val="32"/>
          <w:szCs w:val="32"/>
        </w:rPr>
        <w:t>21年（</w:t>
      </w:r>
      <w:r>
        <w:rPr>
          <w:rFonts w:ascii="仿宋" w:hAnsi="仿宋" w:eastAsia="仿宋"/>
          <w:sz w:val="32"/>
          <w:szCs w:val="32"/>
        </w:rPr>
        <w:t>2873.4</w:t>
      </w:r>
      <w:r>
        <w:rPr>
          <w:rFonts w:hint="eastAsia" w:ascii="仿宋" w:hAnsi="仿宋" w:eastAsia="仿宋"/>
          <w:sz w:val="32"/>
          <w:szCs w:val="32"/>
        </w:rPr>
        <w:t>万元）相比，财政拨款收、支总计各</w:t>
      </w:r>
      <w:r>
        <w:rPr>
          <w:rFonts w:hint="eastAsia" w:ascii="仿宋" w:hAnsi="仿宋" w:eastAsia="仿宋"/>
          <w:sz w:val="32"/>
          <w:szCs w:val="32"/>
          <w:lang w:val="en-US" w:eastAsia="zh-CN"/>
        </w:rPr>
        <w:t>增加409.65</w:t>
      </w:r>
      <w:r>
        <w:rPr>
          <w:rFonts w:hint="eastAsia" w:ascii="仿宋" w:hAnsi="仿宋" w:eastAsia="仿宋"/>
          <w:sz w:val="32"/>
          <w:szCs w:val="32"/>
        </w:rPr>
        <w:t>万元，增长</w:t>
      </w:r>
      <w:r>
        <w:rPr>
          <w:rFonts w:hint="eastAsia" w:ascii="仿宋" w:hAnsi="仿宋" w:eastAsia="仿宋"/>
          <w:sz w:val="32"/>
          <w:szCs w:val="32"/>
          <w:lang w:val="en-US" w:eastAsia="zh-CN"/>
        </w:rPr>
        <w:t>14.26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学生人数增加，改善办学条件项目资金增加</w:t>
      </w:r>
      <w:r>
        <w:rPr>
          <w:rFonts w:hint="eastAsia" w:ascii="仿宋" w:hAnsi="仿宋" w:eastAsia="仿宋"/>
          <w:sz w:val="32"/>
          <w:szCs w:val="32"/>
        </w:rPr>
        <w:t>。</w:t>
      </w:r>
    </w:p>
    <w:p>
      <w:pPr>
        <w:spacing w:line="600" w:lineRule="exact"/>
        <w:ind w:firstLine="640"/>
        <w:rPr>
          <w:rFonts w:hint="eastAsia" w:ascii="仿宋" w:hAnsi="仿宋" w:eastAsia="仿宋"/>
          <w:b/>
          <w:sz w:val="32"/>
          <w:szCs w:val="32"/>
        </w:rPr>
      </w:pPr>
      <w:r>
        <w:rPr>
          <w:rFonts w:hint="eastAsia" w:ascii="仿宋" w:hAnsi="仿宋" w:eastAsia="仿宋"/>
          <w:sz w:val="32"/>
          <w:szCs w:val="32"/>
          <w:lang w:val="zh-CN"/>
        </w:rPr>
        <w:drawing>
          <wp:anchor distT="0" distB="0" distL="114300" distR="114300" simplePos="0" relativeHeight="251662336" behindDoc="0" locked="0" layoutInCell="1" allowOverlap="1">
            <wp:simplePos x="0" y="0"/>
            <wp:positionH relativeFrom="column">
              <wp:posOffset>0</wp:posOffset>
            </wp:positionH>
            <wp:positionV relativeFrom="paragraph">
              <wp:posOffset>380365</wp:posOffset>
            </wp:positionV>
            <wp:extent cx="4657725" cy="2152650"/>
            <wp:effectExtent l="0" t="0" r="9525"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5"/>
          <w:rFonts w:ascii="黑体" w:hAnsi="黑体" w:eastAsia="黑体"/>
          <w:b w:val="0"/>
        </w:rPr>
      </w:pPr>
      <w:bookmarkStart w:id="28" w:name="_Toc15377209"/>
      <w:bookmarkStart w:id="29"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3,283.05</w:t>
      </w:r>
      <w:r>
        <w:rPr>
          <w:rFonts w:hint="eastAsia" w:ascii="仿宋" w:hAnsi="仿宋" w:eastAsia="仿宋"/>
          <w:sz w:val="32"/>
          <w:szCs w:val="32"/>
        </w:rPr>
        <w:t>万元，占本年支出合计的</w:t>
      </w:r>
      <w:r>
        <w:rPr>
          <w:rFonts w:ascii="仿宋" w:hAnsi="仿宋" w:eastAsia="仿宋"/>
          <w:sz w:val="32"/>
          <w:szCs w:val="32"/>
        </w:rPr>
        <w:t>99.2%</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w:t>
      </w:r>
      <w:r>
        <w:rPr>
          <w:rFonts w:ascii="仿宋" w:hAnsi="仿宋" w:eastAsia="仿宋"/>
          <w:sz w:val="32"/>
          <w:szCs w:val="32"/>
        </w:rPr>
        <w:t>2,766.88</w:t>
      </w:r>
      <w:r>
        <w:rPr>
          <w:rFonts w:hint="eastAsia" w:ascii="仿宋" w:hAnsi="仿宋" w:eastAsia="仿宋"/>
          <w:sz w:val="32"/>
          <w:szCs w:val="32"/>
        </w:rPr>
        <w:t>万元）相比，一般公共预算财政拨款支出增加</w:t>
      </w:r>
      <w:r>
        <w:rPr>
          <w:rFonts w:ascii="仿宋" w:hAnsi="仿宋" w:eastAsia="仿宋"/>
          <w:sz w:val="32"/>
          <w:szCs w:val="32"/>
        </w:rPr>
        <w:t>516.17</w:t>
      </w:r>
      <w:r>
        <w:rPr>
          <w:rFonts w:hint="eastAsia" w:ascii="仿宋" w:hAnsi="仿宋" w:eastAsia="仿宋"/>
          <w:sz w:val="32"/>
          <w:szCs w:val="32"/>
        </w:rPr>
        <w:t>万元，增长</w:t>
      </w:r>
      <w:r>
        <w:rPr>
          <w:rFonts w:ascii="仿宋" w:hAnsi="仿宋" w:eastAsia="仿宋"/>
          <w:sz w:val="32"/>
          <w:szCs w:val="32"/>
        </w:rPr>
        <w:t>18.6%</w:t>
      </w:r>
      <w:r>
        <w:rPr>
          <w:rFonts w:hint="eastAsia" w:ascii="仿宋" w:hAnsi="仿宋" w:eastAsia="仿宋"/>
          <w:sz w:val="32"/>
          <w:szCs w:val="32"/>
        </w:rPr>
        <w:t>。主要变动原因是将军桥教学维修改造项目的开展及学生人数的增加</w:t>
      </w:r>
      <w:r>
        <w:rPr>
          <w:rFonts w:hint="eastAsia" w:ascii="仿宋" w:hAnsi="仿宋" w:eastAsia="仿宋"/>
          <w:sz w:val="32"/>
          <w:szCs w:val="32"/>
          <w:lang w:eastAsia="zh-CN"/>
        </w:rPr>
        <w:t>。</w:t>
      </w:r>
    </w:p>
    <w:p>
      <w:pPr>
        <w:spacing w:line="600" w:lineRule="exact"/>
        <w:ind w:firstLine="643"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3,283.05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ascii="仿宋" w:hAnsi="仿宋" w:eastAsia="仿宋"/>
          <w:sz w:val="32"/>
          <w:szCs w:val="32"/>
        </w:rPr>
        <w:t>2,880.84</w:t>
      </w:r>
      <w:r>
        <w:rPr>
          <w:rFonts w:hint="eastAsia" w:ascii="仿宋" w:hAnsi="仿宋" w:eastAsia="仿宋"/>
          <w:sz w:val="32"/>
          <w:szCs w:val="32"/>
        </w:rPr>
        <w:t>万元，占</w:t>
      </w:r>
      <w:r>
        <w:rPr>
          <w:rFonts w:ascii="仿宋" w:hAnsi="仿宋" w:eastAsia="仿宋"/>
          <w:sz w:val="32"/>
          <w:szCs w:val="32"/>
        </w:rPr>
        <w:t>87.8%</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17.04</w:t>
      </w:r>
      <w:r>
        <w:rPr>
          <w:rFonts w:hint="eastAsia" w:ascii="仿宋" w:hAnsi="仿宋" w:eastAsia="仿宋"/>
          <w:sz w:val="32"/>
          <w:szCs w:val="32"/>
        </w:rPr>
        <w:t>万元，占</w:t>
      </w:r>
      <w:r>
        <w:rPr>
          <w:rFonts w:ascii="仿宋" w:hAnsi="仿宋" w:eastAsia="仿宋"/>
          <w:sz w:val="32"/>
          <w:szCs w:val="32"/>
        </w:rPr>
        <w:t>0.5%</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122.34</w:t>
      </w:r>
      <w:r>
        <w:rPr>
          <w:rFonts w:hint="eastAsia" w:ascii="仿宋" w:hAnsi="仿宋" w:eastAsia="仿宋"/>
          <w:sz w:val="32"/>
          <w:szCs w:val="32"/>
        </w:rPr>
        <w:t>万元，占</w:t>
      </w:r>
      <w:r>
        <w:rPr>
          <w:rFonts w:ascii="仿宋" w:hAnsi="仿宋" w:eastAsia="仿宋"/>
          <w:sz w:val="32"/>
          <w:szCs w:val="32"/>
        </w:rPr>
        <w:t>3.7%</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262.83</w:t>
      </w:r>
      <w:r>
        <w:rPr>
          <w:rFonts w:hint="eastAsia" w:ascii="仿宋" w:hAnsi="仿宋" w:eastAsia="仿宋"/>
          <w:sz w:val="32"/>
          <w:szCs w:val="32"/>
        </w:rPr>
        <w:t>万元，占</w:t>
      </w:r>
      <w:r>
        <w:rPr>
          <w:rFonts w:ascii="仿宋" w:hAnsi="仿宋" w:eastAsia="仿宋"/>
          <w:sz w:val="32"/>
          <w:szCs w:val="32"/>
        </w:rPr>
        <w:t>8%</w:t>
      </w:r>
      <w:r>
        <w:rPr>
          <w:rFonts w:hint="eastAsia" w:ascii="仿宋" w:hAnsi="仿宋" w:eastAsia="仿宋"/>
          <w:sz w:val="32"/>
          <w:szCs w:val="32"/>
        </w:rPr>
        <w:t>。</w:t>
      </w:r>
    </w:p>
    <w:p>
      <w:pPr>
        <w:spacing w:line="600" w:lineRule="exact"/>
        <w:ind w:firstLine="643"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3" w:firstLineChars="200"/>
        <w:outlineLvl w:val="2"/>
        <w:rPr>
          <w:rFonts w:ascii="仿宋" w:hAnsi="仿宋" w:eastAsia="仿宋"/>
          <w:sz w:val="32"/>
          <w:szCs w:val="32"/>
        </w:rPr>
      </w:pPr>
      <w:bookmarkStart w:id="33" w:name="_Toc15378460"/>
      <w:bookmarkStart w:id="34" w:name="_Toc15377444"/>
      <w:bookmarkStart w:id="35" w:name="_Toc15377213"/>
      <w:r>
        <w:rPr>
          <w:rFonts w:hint="eastAsia" w:ascii="仿宋" w:hAnsi="仿宋" w:eastAsia="仿宋"/>
          <w:b/>
          <w:sz w:val="32"/>
          <w:szCs w:val="32"/>
        </w:rPr>
        <w:t>2022年一般公共预算支出决算数为</w:t>
      </w:r>
      <w:r>
        <w:rPr>
          <w:rFonts w:ascii="仿宋" w:hAnsi="仿宋" w:eastAsia="仿宋"/>
          <w:b/>
          <w:sz w:val="32"/>
          <w:szCs w:val="32"/>
        </w:rPr>
        <w:t>3,283.05</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ascii="仿宋" w:hAnsi="仿宋" w:eastAsia="仿宋"/>
          <w:bCs/>
          <w:sz w:val="32"/>
          <w:szCs w:val="32"/>
        </w:rPr>
        <w:t>100%</w:t>
      </w:r>
      <w:r>
        <w:rPr>
          <w:rStyle w:val="14"/>
          <w:rFonts w:hint="eastAsia" w:ascii="仿宋" w:hAnsi="仿宋" w:eastAsia="仿宋"/>
          <w:bCs/>
          <w:sz w:val="32"/>
          <w:szCs w:val="32"/>
        </w:rPr>
        <w:t>。其中：</w:t>
      </w:r>
      <w:bookmarkEnd w:id="33"/>
      <w:bookmarkEnd w:id="34"/>
      <w:bookmarkEnd w:id="35"/>
    </w:p>
    <w:p>
      <w:pPr>
        <w:spacing w:line="600" w:lineRule="exact"/>
        <w:ind w:firstLine="643" w:firstLineChars="200"/>
        <w:rPr>
          <w:rStyle w:val="14"/>
          <w:rFonts w:ascii="仿宋" w:hAnsi="仿宋" w:eastAsia="仿宋"/>
          <w:sz w:val="32"/>
          <w:szCs w:val="32"/>
        </w:rPr>
      </w:pPr>
      <w:r>
        <w:rPr>
          <w:rStyle w:val="14"/>
          <w:rFonts w:ascii="仿宋" w:hAnsi="仿宋" w:eastAsia="仿宋"/>
          <w:bCs/>
          <w:sz w:val="32"/>
          <w:szCs w:val="32"/>
        </w:rPr>
        <w:t>1.</w:t>
      </w:r>
      <w:r>
        <w:rPr>
          <w:rStyle w:val="16"/>
          <w:rFonts w:hint="eastAsia" w:ascii="仿宋" w:hAnsi="仿宋" w:eastAsia="仿宋" w:cstheme="minorBidi"/>
          <w:bCs/>
          <w:sz w:val="32"/>
          <w:szCs w:val="32"/>
        </w:rPr>
        <w:t xml:space="preserve"> </w:t>
      </w:r>
      <w:r>
        <w:rPr>
          <w:rStyle w:val="14"/>
          <w:rFonts w:hint="eastAsia" w:ascii="仿宋" w:hAnsi="仿宋" w:eastAsia="仿宋" w:cstheme="minorBidi"/>
          <w:bCs/>
          <w:sz w:val="32"/>
          <w:szCs w:val="32"/>
        </w:rPr>
        <w:t>教育支出（类）普通教育（款）学前教育（项）</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243.56</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，决算数等于预算数的主要原因是年初预算根据实际编列，项目实施中及时根据支出情况调整预算。</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6"/>
          <w:rFonts w:hint="eastAsia" w:ascii="仿宋" w:hAnsi="仿宋" w:eastAsia="仿宋" w:cstheme="minorBidi"/>
          <w:bCs/>
          <w:sz w:val="32"/>
          <w:szCs w:val="32"/>
        </w:rPr>
        <w:t xml:space="preserve"> </w:t>
      </w:r>
      <w:r>
        <w:rPr>
          <w:rStyle w:val="14"/>
          <w:rFonts w:hint="eastAsia" w:ascii="仿宋" w:hAnsi="仿宋" w:eastAsia="仿宋" w:cstheme="minorBidi"/>
          <w:bCs/>
          <w:sz w:val="32"/>
          <w:szCs w:val="32"/>
        </w:rPr>
        <w:t>教育支出（类）普通教育（款）小学教育（项）</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2637.28</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，决算数等于预算数的主要原因是年初预算根据实际编列，项目实施中及时根据支出情况调整预算。</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3.</w:t>
      </w:r>
      <w:r>
        <w:rPr>
          <w:rStyle w:val="16"/>
          <w:rFonts w:hint="eastAsia" w:ascii="仿宋" w:hAnsi="仿宋" w:eastAsia="仿宋"/>
          <w:bCs/>
          <w:sz w:val="32"/>
          <w:szCs w:val="32"/>
        </w:rPr>
        <w:t xml:space="preserve"> </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17.04</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，决算数等于预算数的主要原因是年初预算根据实际编列，项目实施中及时根据支出情况调整预算。</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4.</w:t>
      </w:r>
      <w:r>
        <w:rPr>
          <w:rFonts w:hint="eastAsia" w:ascii="仿宋" w:hAnsi="仿宋" w:eastAsia="仿宋"/>
          <w:b/>
          <w:bCs/>
          <w:sz w:val="32"/>
          <w:szCs w:val="32"/>
        </w:rPr>
        <w:t xml:space="preserve"> 卫生健康</w:t>
      </w:r>
      <w:r>
        <w:rPr>
          <w:rStyle w:val="14"/>
          <w:rFonts w:hint="eastAsia" w:ascii="仿宋" w:hAnsi="仿宋" w:eastAsia="仿宋"/>
          <w:bCs/>
          <w:sz w:val="32"/>
          <w:szCs w:val="32"/>
        </w:rPr>
        <w:t>（类）卫生健康支出（款）事业单位医疗（项）：</w:t>
      </w:r>
      <w:r>
        <w:rPr>
          <w:rStyle w:val="14"/>
          <w:rFonts w:hint="eastAsia" w:ascii="仿宋" w:hAnsi="仿宋" w:eastAsia="仿宋"/>
          <w:b w:val="0"/>
          <w:sz w:val="32"/>
          <w:szCs w:val="32"/>
        </w:rPr>
        <w:t>支</w:t>
      </w:r>
      <w:r>
        <w:rPr>
          <w:rStyle w:val="14"/>
          <w:rFonts w:hint="eastAsia" w:ascii="仿宋" w:hAnsi="仿宋" w:eastAsia="仿宋"/>
          <w:b w:val="0"/>
          <w:bCs/>
          <w:sz w:val="32"/>
          <w:szCs w:val="32"/>
        </w:rPr>
        <w:t>出决算为</w:t>
      </w:r>
      <w:r>
        <w:rPr>
          <w:rStyle w:val="14"/>
          <w:rFonts w:ascii="仿宋" w:hAnsi="仿宋" w:eastAsia="仿宋"/>
          <w:b w:val="0"/>
          <w:bCs/>
          <w:sz w:val="32"/>
          <w:szCs w:val="32"/>
        </w:rPr>
        <w:t>122.34</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，决算数等于预算数的主要原因是年初预算根据实际编列，项目实施中及时根据支出情况调整预算。</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5.</w:t>
      </w:r>
      <w:r>
        <w:rPr>
          <w:rFonts w:hint="eastAsia" w:ascii="仿宋" w:hAnsi="仿宋" w:eastAsia="仿宋"/>
          <w:b/>
          <w:bCs/>
          <w:sz w:val="32"/>
          <w:szCs w:val="32"/>
        </w:rPr>
        <w:t xml:space="preserve"> 住房保障支出</w:t>
      </w:r>
      <w:r>
        <w:rPr>
          <w:rStyle w:val="14"/>
          <w:rFonts w:hint="eastAsia" w:ascii="仿宋" w:hAnsi="仿宋" w:eastAsia="仿宋"/>
          <w:bCs/>
          <w:sz w:val="32"/>
          <w:szCs w:val="32"/>
        </w:rPr>
        <w:t>（类）住房改革支出（款）住房公积金（项）：</w:t>
      </w:r>
      <w:r>
        <w:rPr>
          <w:rStyle w:val="14"/>
          <w:rFonts w:hint="eastAsia" w:ascii="仿宋" w:hAnsi="仿宋" w:eastAsia="仿宋"/>
          <w:b w:val="0"/>
          <w:sz w:val="32"/>
          <w:szCs w:val="32"/>
        </w:rPr>
        <w:t>支</w:t>
      </w:r>
      <w:r>
        <w:rPr>
          <w:rStyle w:val="14"/>
          <w:rFonts w:hint="eastAsia" w:ascii="仿宋" w:hAnsi="仿宋" w:eastAsia="仿宋"/>
          <w:b w:val="0"/>
          <w:bCs/>
          <w:sz w:val="32"/>
          <w:szCs w:val="32"/>
        </w:rPr>
        <w:t>出决算为</w:t>
      </w:r>
      <w:r>
        <w:rPr>
          <w:rStyle w:val="14"/>
          <w:rFonts w:ascii="仿宋" w:hAnsi="仿宋" w:eastAsia="仿宋"/>
          <w:b w:val="0"/>
          <w:bCs/>
          <w:sz w:val="32"/>
          <w:szCs w:val="32"/>
        </w:rPr>
        <w:t>262.83</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，决算数等于预算数的主要原因是年初预算根据实际编列，项目实施中及时根据支出情况调整预算。</w:t>
      </w:r>
    </w:p>
    <w:p>
      <w:pPr>
        <w:tabs>
          <w:tab w:val="right" w:pos="8306"/>
        </w:tabs>
        <w:spacing w:line="600" w:lineRule="exact"/>
        <w:ind w:firstLine="640"/>
        <w:outlineLvl w:val="1"/>
        <w:rPr>
          <w:rStyle w:val="25"/>
        </w:rPr>
      </w:pPr>
      <w:bookmarkStart w:id="36" w:name="_Toc15396608"/>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6"/>
      <w:bookmarkEnd w:id="37"/>
      <w:r>
        <w:rPr>
          <w:rStyle w:val="25"/>
          <w:rFonts w:ascii="黑体" w:hAnsi="黑体" w:eastAsia="黑体"/>
          <w:b w:val="0"/>
        </w:rPr>
        <w:tab/>
      </w:r>
    </w:p>
    <w:p>
      <w:pPr>
        <w:spacing w:line="600" w:lineRule="exact"/>
        <w:ind w:firstLine="645"/>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ascii="仿宋" w:hAnsi="仿宋" w:eastAsia="仿宋"/>
          <w:sz w:val="32"/>
          <w:szCs w:val="32"/>
        </w:rPr>
        <w:t>2841.03</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sz w:val="32"/>
          <w:szCs w:val="32"/>
        </w:rPr>
        <w:t>2408.48</w:t>
      </w:r>
      <w:r>
        <w:rPr>
          <w:rFonts w:hint="eastAsia" w:ascii="仿宋" w:hAnsi="仿宋" w:eastAsia="仿宋"/>
          <w:sz w:val="32"/>
          <w:szCs w:val="32"/>
        </w:rPr>
        <w:t>万元，主要包括： 基本工资、津贴补贴、 绩效工资、机关事业单位基本养老保险缴费、职业年金缴费、职工基本医疗保险缴、其他社会保障缴费、住房公积金、其他工资福利支出、对个人和家庭的补助、抚恤金、生活补助等。</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公用经费</w:t>
      </w:r>
      <w:r>
        <w:rPr>
          <w:rFonts w:ascii="仿宋" w:hAnsi="仿宋" w:eastAsia="仿宋"/>
          <w:sz w:val="32"/>
          <w:szCs w:val="32"/>
        </w:rPr>
        <w:t>432.55</w:t>
      </w:r>
      <w:r>
        <w:rPr>
          <w:rFonts w:hint="eastAsia" w:ascii="仿宋" w:hAnsi="仿宋" w:eastAsia="仿宋"/>
          <w:sz w:val="32"/>
          <w:szCs w:val="32"/>
        </w:rPr>
        <w:t>万元，主要包括： 办公费、印刷费、手续费、水费、电费、邮电费、劳务费、工会经费、 福利费等。</w:t>
      </w:r>
    </w:p>
    <w:p>
      <w:pPr>
        <w:spacing w:line="600" w:lineRule="exact"/>
        <w:ind w:firstLine="640"/>
        <w:outlineLvl w:val="1"/>
        <w:rPr>
          <w:rStyle w:val="25"/>
          <w:rFonts w:ascii="黑体" w:hAnsi="黑体" w:eastAsia="黑体"/>
          <w:b w:val="0"/>
        </w:rPr>
      </w:pPr>
      <w:bookmarkStart w:id="38" w:name="_Toc15396609"/>
      <w:bookmarkStart w:id="39"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ascii="仿宋" w:hAnsi="仿宋" w:eastAsia="仿宋"/>
          <w:sz w:val="32"/>
          <w:szCs w:val="32"/>
        </w:rPr>
        <w:t>0</w:t>
      </w:r>
      <w:r>
        <w:rPr>
          <w:rFonts w:hint="eastAsia" w:ascii="仿宋" w:hAnsi="仿宋" w:eastAsia="仿宋"/>
          <w:sz w:val="32"/>
          <w:szCs w:val="32"/>
        </w:rPr>
        <w:t>万元，完成预算</w:t>
      </w:r>
      <w:r>
        <w:rPr>
          <w:rFonts w:ascii="仿宋" w:hAnsi="仿宋" w:eastAsia="仿宋"/>
          <w:sz w:val="32"/>
          <w:szCs w:val="32"/>
        </w:rPr>
        <w:t>0%</w:t>
      </w:r>
      <w:r>
        <w:rPr>
          <w:rFonts w:hint="eastAsia" w:ascii="仿宋" w:hAnsi="仿宋" w:eastAsia="仿宋"/>
          <w:sz w:val="32"/>
          <w:szCs w:val="32"/>
        </w:rPr>
        <w:t>，较上年增加/减少</w:t>
      </w:r>
      <w:r>
        <w:rPr>
          <w:rFonts w:ascii="仿宋" w:hAnsi="仿宋" w:eastAsia="仿宋"/>
          <w:sz w:val="32"/>
          <w:szCs w:val="32"/>
        </w:rPr>
        <w:t>0</w:t>
      </w:r>
      <w:r>
        <w:rPr>
          <w:rFonts w:hint="eastAsia" w:ascii="仿宋" w:hAnsi="仿宋" w:eastAsia="仿宋"/>
          <w:sz w:val="32"/>
          <w:szCs w:val="32"/>
        </w:rPr>
        <w:t>万元，增长/下降</w:t>
      </w:r>
      <w:r>
        <w:rPr>
          <w:rFonts w:ascii="仿宋" w:hAnsi="仿宋" w:eastAsia="仿宋"/>
          <w:sz w:val="32"/>
          <w:szCs w:val="32"/>
        </w:rPr>
        <w:t>0</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；公务接待费支出决算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0%</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0%</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0%</w:t>
      </w:r>
      <w:r>
        <w:rPr>
          <w:rStyle w:val="14"/>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持平</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w:t>
      </w:r>
      <w:r>
        <w:rPr>
          <w:rFonts w:hint="eastAsia" w:ascii="仿宋_GB2312" w:eastAsia="仿宋_GB2312"/>
          <w:sz w:val="32"/>
          <w:szCs w:val="32"/>
        </w:rPr>
        <w:t>万元</w:t>
      </w:r>
      <w:r>
        <w:rPr>
          <w:rStyle w:val="14"/>
          <w:rFonts w:hint="eastAsia" w:ascii="仿宋" w:hAnsi="仿宋" w:eastAsia="仿宋"/>
          <w:b w:val="0"/>
          <w:bCs/>
          <w:sz w:val="32"/>
          <w:szCs w:val="32"/>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sz w:val="32"/>
          <w:szCs w:val="32"/>
        </w:rPr>
        <w:t>0</w:t>
      </w:r>
      <w:r>
        <w:rPr>
          <w:rFonts w:hint="eastAsia" w:ascii="仿宋_GB2312" w:eastAsia="仿宋_GB2312"/>
          <w:sz w:val="32"/>
          <w:szCs w:val="32"/>
        </w:rPr>
        <w:t>万元</w:t>
      </w:r>
      <w:r>
        <w:rPr>
          <w:rStyle w:val="14"/>
          <w:rFonts w:hint="eastAsia" w:ascii="仿宋" w:hAnsi="仿宋" w:eastAsia="仿宋"/>
          <w:b w:val="0"/>
          <w:bCs/>
          <w:sz w:val="32"/>
          <w:szCs w:val="32"/>
        </w:rPr>
        <w:t>。</w:t>
      </w:r>
      <w:bookmarkStart w:id="42" w:name="_Toc15377218"/>
      <w:bookmarkStart w:id="43"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4"/>
        </w:numPr>
        <w:spacing w:line="600" w:lineRule="exact"/>
        <w:ind w:firstLine="640"/>
        <w:outlineLvl w:val="1"/>
        <w:rPr>
          <w:rStyle w:val="25"/>
          <w:rFonts w:ascii="黑体" w:hAnsi="黑体" w:eastAsia="黑体"/>
          <w:b w:val="0"/>
        </w:rPr>
      </w:pPr>
      <w:bookmarkStart w:id="44" w:name="_Toc15396611"/>
      <w:bookmarkStart w:id="45" w:name="_Toc15377219"/>
      <w:r>
        <w:rPr>
          <w:rStyle w:val="25"/>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4"/>
        </w:numPr>
        <w:spacing w:line="600" w:lineRule="exact"/>
        <w:ind w:firstLine="640"/>
        <w:outlineLvl w:val="1"/>
        <w:rPr>
          <w:rStyle w:val="25"/>
          <w:rFonts w:ascii="黑体" w:hAnsi="黑体" w:eastAsia="黑体"/>
          <w:b w:val="0"/>
        </w:rPr>
      </w:pPr>
      <w:bookmarkStart w:id="46" w:name="_Toc15396612"/>
      <w:bookmarkStart w:id="47" w:name="_Toc15377221"/>
      <w:r>
        <w:rPr>
          <w:rStyle w:val="25"/>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22年，北街小学机关运行经费支出</w:t>
      </w:r>
      <w:r>
        <w:rPr>
          <w:rFonts w:ascii="仿宋_GB2312" w:eastAsia="仿宋_GB2312"/>
          <w:sz w:val="32"/>
          <w:szCs w:val="32"/>
        </w:rPr>
        <w:t>0</w:t>
      </w:r>
      <w:r>
        <w:rPr>
          <w:rFonts w:hint="eastAsia" w:ascii="仿宋_GB2312" w:eastAsia="仿宋_GB2312"/>
          <w:sz w:val="32"/>
          <w:szCs w:val="32"/>
        </w:rPr>
        <w:t>万元，或与</w:t>
      </w:r>
      <w:r>
        <w:rPr>
          <w:rFonts w:ascii="仿宋_GB2312" w:eastAsia="仿宋_GB2312"/>
          <w:sz w:val="32"/>
          <w:szCs w:val="32"/>
        </w:rPr>
        <w:t>20</w:t>
      </w:r>
      <w:r>
        <w:rPr>
          <w:rFonts w:hint="eastAsia" w:ascii="仿宋_GB2312" w:eastAsia="仿宋_GB2312"/>
          <w:sz w:val="32"/>
          <w:szCs w:val="32"/>
        </w:rPr>
        <w:t>21年决算数持平。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22年，北街小学政府采购支出总额</w:t>
      </w:r>
      <w:r>
        <w:rPr>
          <w:rFonts w:ascii="仿宋_GB2312" w:eastAsia="仿宋_GB2312"/>
          <w:sz w:val="32"/>
          <w:szCs w:val="32"/>
        </w:rPr>
        <w:t>32</w:t>
      </w:r>
      <w:r>
        <w:rPr>
          <w:rFonts w:hint="eastAsia" w:ascii="仿宋_GB2312" w:eastAsia="仿宋_GB2312"/>
          <w:sz w:val="32"/>
          <w:szCs w:val="32"/>
        </w:rPr>
        <w:t>万元，其中：政府采购货物支出</w:t>
      </w:r>
      <w:r>
        <w:rPr>
          <w:rFonts w:ascii="仿宋_GB2312" w:eastAsia="仿宋_GB2312"/>
          <w:sz w:val="32"/>
          <w:szCs w:val="32"/>
        </w:rPr>
        <w:t>32</w:t>
      </w:r>
      <w:r>
        <w:rPr>
          <w:rFonts w:hint="eastAsia" w:ascii="仿宋_GB2312" w:eastAsia="仿宋_GB2312"/>
          <w:sz w:val="32"/>
          <w:szCs w:val="32"/>
        </w:rPr>
        <w:t>万元、主要用于学生课卓椅采购和打印机、复印机采购，以及校门口安全防撞桩采购。</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日，北街小学共有车辆</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根据预算绩效管理要求，本单位在2022年度预算编制阶段，组织对《广元市利州区北街小学名师工程专项补助项目项目》等</w:t>
      </w:r>
      <w:r>
        <w:rPr>
          <w:rFonts w:hAnsi="仿宋_GB2312" w:cs="仿宋_GB2312"/>
          <w:sz w:val="32"/>
          <w:szCs w:val="32"/>
        </w:rPr>
        <w:t>4</w:t>
      </w:r>
      <w:r>
        <w:rPr>
          <w:rFonts w:hint="eastAsia" w:hAnsi="仿宋_GB2312" w:cs="仿宋_GB2312"/>
          <w:sz w:val="32"/>
          <w:szCs w:val="32"/>
        </w:rPr>
        <w:t>个项目开展了预算事前绩效评估，对</w:t>
      </w:r>
      <w:r>
        <w:rPr>
          <w:rFonts w:hAnsi="仿宋_GB2312" w:cs="仿宋_GB2312"/>
          <w:sz w:val="32"/>
          <w:szCs w:val="32"/>
        </w:rPr>
        <w:t>4</w:t>
      </w:r>
      <w:r>
        <w:rPr>
          <w:rFonts w:hint="eastAsia" w:hAnsi="仿宋_GB2312" w:cs="仿宋_GB2312"/>
          <w:sz w:val="32"/>
          <w:szCs w:val="32"/>
        </w:rPr>
        <w:t>个项目编制了绩效目标，预算执行过程中，选取</w:t>
      </w:r>
      <w:r>
        <w:rPr>
          <w:rFonts w:hAnsi="仿宋_GB2312" w:cs="仿宋_GB2312"/>
          <w:sz w:val="32"/>
          <w:szCs w:val="32"/>
        </w:rPr>
        <w:t>4</w:t>
      </w:r>
      <w:r>
        <w:rPr>
          <w:rFonts w:hint="eastAsia" w:hAnsi="仿宋_GB2312" w:cs="仿宋_GB2312"/>
          <w:sz w:val="32"/>
          <w:szCs w:val="32"/>
        </w:rPr>
        <w:t>个项目开展绩效监控，组织对</w:t>
      </w:r>
      <w:r>
        <w:rPr>
          <w:rFonts w:hAnsi="仿宋_GB2312" w:cs="仿宋_GB2312"/>
          <w:sz w:val="32"/>
          <w:szCs w:val="32"/>
        </w:rPr>
        <w:t>4</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p>
    <w:p>
      <w:pPr>
        <w:numPr>
          <w:ilvl w:val="0"/>
          <w:numId w:val="5"/>
        </w:numPr>
        <w:spacing w:line="600" w:lineRule="exact"/>
        <w:ind w:firstLine="660" w:firstLineChars="150"/>
        <w:jc w:val="center"/>
        <w:outlineLvl w:val="0"/>
        <w:rPr>
          <w:rStyle w:val="24"/>
          <w:rFonts w:ascii="黑体" w:hAnsi="黑体" w:eastAsia="黑体"/>
          <w:b w:val="0"/>
        </w:rPr>
      </w:pPr>
      <w:bookmarkStart w:id="51" w:name="_Toc15396613"/>
      <w:bookmarkStart w:id="52" w:name="_Toc15377225"/>
      <w:r>
        <w:rPr>
          <w:rFonts w:hint="eastAsia" w:ascii="黑体" w:hAnsi="黑体" w:eastAsia="黑体"/>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2"/>
        <w:spacing w:line="560" w:lineRule="exact"/>
        <w:ind w:left="638" w:leftChars="304" w:firstLine="0" w:firstLineChars="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sz w:val="32"/>
          <w:szCs w:val="32"/>
          <w:lang w:val="en-US" w:eastAsia="zh-CN"/>
        </w:rPr>
        <w:t>9</w:t>
      </w:r>
      <w:r>
        <w:rPr>
          <w:rFonts w:hint="eastAsia" w:ascii="仿宋_GB2312" w:eastAsia="仿宋_GB2312"/>
          <w:color w:val="auto"/>
          <w:sz w:val="32"/>
          <w:szCs w:val="32"/>
        </w:rPr>
        <w:t xml:space="preserve">.教育支出（类）普通教育（款）学前教育（项） </w:t>
      </w:r>
      <w:r>
        <w:rPr>
          <w:rFonts w:hint="eastAsia" w:ascii="仿宋_GB2312" w:eastAsia="仿宋_GB2312"/>
          <w:color w:val="auto"/>
          <w:sz w:val="32"/>
          <w:szCs w:val="32"/>
          <w:lang w:eastAsia="zh-CN"/>
        </w:rPr>
        <w:t>；</w:t>
      </w:r>
      <w:r>
        <w:rPr>
          <w:rFonts w:hint="eastAsia" w:ascii="仿宋_GB2312" w:eastAsia="仿宋_GB2312"/>
          <w:color w:val="auto"/>
          <w:sz w:val="32"/>
          <w:szCs w:val="32"/>
        </w:rPr>
        <w:t>反映各部门举办的学前教育支出。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.教育支出（类）普通教育（款）小学教育（项）</w:t>
      </w:r>
      <w:r>
        <w:rPr>
          <w:rFonts w:hint="eastAsia" w:ascii="仿宋_GB2312" w:eastAsia="仿宋_GB2312"/>
          <w:color w:val="auto"/>
          <w:sz w:val="32"/>
          <w:szCs w:val="32"/>
          <w:lang w:eastAsia="zh-CN"/>
        </w:rPr>
        <w:t>：</w:t>
      </w:r>
      <w:r>
        <w:rPr>
          <w:rFonts w:hint="eastAsia" w:ascii="仿宋_GB2312" w:eastAsia="仿宋_GB2312"/>
          <w:color w:val="auto"/>
          <w:sz w:val="32"/>
          <w:szCs w:val="32"/>
        </w:rPr>
        <w:t>反映各部门举办的小学教育支出。政府各部门对社会中介组织等举办的小学的资助，如各类捐赠、补贴等，也在本科目中反映。</w:t>
      </w:r>
    </w:p>
    <w:p>
      <w:pPr>
        <w:pStyle w:val="22"/>
        <w:spacing w:line="560" w:lineRule="exact"/>
        <w:ind w:firstLine="640" w:firstLineChars="200"/>
        <w:rPr>
          <w:rFonts w:hint="eastAsia" w:ascii="仿宋_GB2312" w:eastAsia="仿宋_GB2312"/>
          <w:color w:val="auto"/>
          <w:sz w:val="32"/>
          <w:szCs w:val="32"/>
          <w:lang w:eastAsia="zh-CN"/>
        </w:rPr>
      </w:pP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.社会保障和就业（类）行政事业单位养老支出（款）机关事业单位基本养老保险缴费支出（项）</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 指机关事业单位实施养老保险制度由单位缴纳的基本养老保险费支出。</w:t>
      </w:r>
    </w:p>
    <w:p>
      <w:pPr>
        <w:pStyle w:val="22"/>
        <w:spacing w:line="560" w:lineRule="exact"/>
        <w:ind w:firstLine="640" w:firstLineChars="200"/>
        <w:rPr>
          <w:rFonts w:hint="eastAsia" w:ascii="仿宋_GB2312" w:eastAsia="仿宋_GB2312"/>
          <w:color w:val="auto"/>
          <w:sz w:val="32"/>
          <w:szCs w:val="32"/>
          <w:lang w:eastAsia="zh-CN"/>
        </w:rPr>
      </w:pP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.卫生健康（类）卫生健康支出（款）事业单位医疗（项）</w:t>
      </w:r>
      <w:r>
        <w:rPr>
          <w:rFonts w:hint="eastAsia" w:ascii="仿宋_GB2312" w:eastAsia="仿宋_GB2312"/>
          <w:color w:val="auto"/>
          <w:sz w:val="32"/>
          <w:szCs w:val="32"/>
          <w:lang w:eastAsia="zh-CN"/>
        </w:rPr>
        <w:t>：</w:t>
      </w:r>
      <w:r>
        <w:rPr>
          <w:rFonts w:hint="eastAsia" w:ascii="仿宋_GB2312" w:eastAsia="仿宋_GB2312"/>
          <w:color w:val="auto"/>
          <w:sz w:val="32"/>
          <w:szCs w:val="32"/>
        </w:rPr>
        <w:t>指财政部门安排的行政单位（包括实行公务员管理的事业单位，下同）基本医疗保险缴费经费，未参加医疗保险的行政单位的公费医疗经费，按国家规定享受离休人员、红军老战士待遇人员的医疗经费。</w:t>
      </w:r>
    </w:p>
    <w:p>
      <w:pPr>
        <w:pStyle w:val="22"/>
        <w:spacing w:line="560" w:lineRule="exact"/>
        <w:ind w:firstLine="640" w:firstLineChars="200"/>
        <w:rPr>
          <w:rFonts w:hint="eastAsia" w:ascii="仿宋_GB2312" w:eastAsia="仿宋_GB2312"/>
          <w:color w:val="auto"/>
          <w:sz w:val="32"/>
          <w:szCs w:val="32"/>
          <w:lang w:eastAsia="zh-CN"/>
        </w:rPr>
      </w:pPr>
    </w:p>
    <w:p>
      <w:pPr>
        <w:pStyle w:val="22"/>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.住房保障支出（类）住房改革支出（款）住房公积金（项）</w:t>
      </w:r>
      <w:r>
        <w:rPr>
          <w:rFonts w:hint="eastAsia" w:ascii="仿宋_GB2312" w:eastAsia="仿宋_GB2312"/>
          <w:color w:val="auto"/>
          <w:sz w:val="32"/>
          <w:szCs w:val="32"/>
          <w:lang w:eastAsia="zh-CN"/>
        </w:rPr>
        <w:t>：</w:t>
      </w:r>
      <w:r>
        <w:rPr>
          <w:rFonts w:hint="eastAsia" w:ascii="仿宋_GB2312" w:eastAsia="仿宋_GB2312"/>
          <w:color w:val="auto"/>
          <w:sz w:val="32"/>
          <w:szCs w:val="32"/>
        </w:rPr>
        <w:t>指行政事业单位按人力资源和社会保障部、财政部规定的基本工资和津贴补贴以及规定比例为职工缴纳的住房公积金。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jc w:val="center"/>
        <w:rPr>
          <w:rStyle w:val="24"/>
          <w:rFonts w:ascii="黑体" w:hAnsi="黑体" w:eastAsia="黑体"/>
          <w:b w:val="0"/>
        </w:rPr>
      </w:pPr>
      <w:bookmarkStart w:id="53" w:name="_Toc15377226"/>
      <w:r>
        <w:rPr>
          <w:rFonts w:ascii="仿宋_GB2312" w:eastAsia="仿宋_GB2312"/>
          <w:color w:val="auto"/>
          <w:sz w:val="32"/>
          <w:szCs w:val="32"/>
        </w:rPr>
        <w:br w:type="page"/>
      </w:r>
      <w:bookmarkStart w:id="54" w:name="_Toc15396614"/>
      <w:r>
        <w:rPr>
          <w:rFonts w:hint="eastAsia" w:ascii="黑体" w:hAnsi="黑体" w:eastAsia="黑体"/>
          <w:sz w:val="44"/>
          <w:szCs w:val="44"/>
        </w:rPr>
        <w:t>第</w:t>
      </w:r>
      <w:r>
        <w:rPr>
          <w:rStyle w:val="24"/>
          <w:rFonts w:hint="eastAsia" w:ascii="黑体" w:hAnsi="黑体" w:eastAsia="黑体"/>
          <w:b w:val="0"/>
        </w:rPr>
        <w:t>四部分 附件</w:t>
      </w:r>
      <w:bookmarkEnd w:id="54"/>
    </w:p>
    <w:p>
      <w:pPr>
        <w:spacing w:line="572" w:lineRule="exact"/>
        <w:jc w:val="center"/>
        <w:outlineLvl w:val="0"/>
        <w:rPr>
          <w:rFonts w:ascii="仿宋_GB2312" w:hAnsi="仿宋_GB2312" w:eastAsia="仿宋_GB2312" w:cs="仿宋_GB2312"/>
          <w:sz w:val="32"/>
          <w:szCs w:val="32"/>
        </w:rPr>
      </w:pPr>
    </w:p>
    <w:p>
      <w:pPr>
        <w:jc w:val="center"/>
      </w:pPr>
      <w:bookmarkStart w:id="55" w:name="_Toc15396618"/>
      <w:r>
        <w:rPr>
          <w:rStyle w:val="30"/>
          <w:rFonts w:hint="eastAsia" w:ascii="仿宋" w:hAnsi="仿宋" w:eastAsia="仿宋"/>
          <w:b w:val="0"/>
          <w:bCs w:val="0"/>
          <w:color w:val="auto"/>
          <w:highlight w:val="none"/>
          <w:lang w:val="en-US" w:eastAsia="zh-CN" w:bidi="ar-SA"/>
        </w:rPr>
        <w:t>部门预算项目支出绩效自评表（2022年度）</w:t>
      </w:r>
    </w:p>
    <w:p>
      <w:pPr>
        <w:pStyle w:val="2"/>
        <w:spacing w:before="93"/>
        <w:jc w:val="center"/>
        <w:rPr>
          <w:rFonts w:hAnsi="Calibri" w:cs="仿宋"/>
          <w:sz w:val="32"/>
          <w:szCs w:val="32"/>
        </w:rPr>
      </w:pPr>
    </w:p>
    <w:p>
      <w:pPr>
        <w:pStyle w:val="2"/>
        <w:spacing w:before="93"/>
        <w:jc w:val="center"/>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bookmarkStart w:id="69" w:name="_GoBack"/>
      <w:bookmarkEnd w:id="69"/>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3"/>
      <w:bookmarkEnd w:id="55"/>
      <w:bookmarkStart w:id="56"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6"/>
    </w:p>
    <w:p>
      <w:pPr>
        <w:pStyle w:val="4"/>
        <w:rPr>
          <w:rFonts w:ascii="仿宋" w:hAnsi="仿宋" w:eastAsia="仿宋"/>
        </w:rPr>
      </w:pPr>
      <w:bookmarkStart w:id="57" w:name="_Toc15396620"/>
      <w:r>
        <w:rPr>
          <w:rFonts w:hint="eastAsia" w:ascii="仿宋" w:hAnsi="仿宋" w:eastAsia="仿宋"/>
          <w:b w:val="0"/>
        </w:rPr>
        <w:t>二、收</w:t>
      </w:r>
      <w:r>
        <w:rPr>
          <w:rStyle w:val="25"/>
          <w:rFonts w:hint="eastAsia" w:ascii="仿宋" w:hAnsi="仿宋" w:eastAsia="仿宋"/>
          <w:b w:val="0"/>
          <w:bCs w:val="0"/>
        </w:rPr>
        <w:t>入决算表</w:t>
      </w:r>
      <w:bookmarkEnd w:id="57"/>
    </w:p>
    <w:p>
      <w:pPr>
        <w:pStyle w:val="4"/>
        <w:rPr>
          <w:rFonts w:ascii="仿宋" w:hAnsi="仿宋" w:eastAsia="仿宋"/>
        </w:rPr>
      </w:pPr>
      <w:bookmarkStart w:id="58"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8"/>
    </w:p>
    <w:p>
      <w:pPr>
        <w:pStyle w:val="4"/>
        <w:rPr>
          <w:rFonts w:ascii="仿宋" w:hAnsi="仿宋" w:eastAsia="仿宋"/>
          <w:b w:val="0"/>
        </w:rPr>
      </w:pPr>
      <w:bookmarkStart w:id="59"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9"/>
    </w:p>
    <w:p>
      <w:pPr>
        <w:pStyle w:val="4"/>
        <w:rPr>
          <w:rStyle w:val="25"/>
          <w:rFonts w:ascii="仿宋" w:hAnsi="仿宋" w:eastAsia="仿宋"/>
          <w:b w:val="0"/>
          <w:bCs w:val="0"/>
        </w:rPr>
      </w:pPr>
      <w:bookmarkStart w:id="60"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0"/>
      <w:bookmarkStart w:id="61"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1"/>
    </w:p>
    <w:p>
      <w:pPr>
        <w:pStyle w:val="4"/>
        <w:rPr>
          <w:rFonts w:ascii="仿宋" w:hAnsi="仿宋" w:eastAsia="仿宋"/>
        </w:rPr>
      </w:pPr>
      <w:bookmarkStart w:id="62"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2"/>
    </w:p>
    <w:p>
      <w:pPr>
        <w:pStyle w:val="4"/>
        <w:rPr>
          <w:rFonts w:ascii="仿宋" w:hAnsi="仿宋" w:eastAsia="仿宋"/>
        </w:rPr>
      </w:pPr>
      <w:bookmarkStart w:id="63"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3"/>
    </w:p>
    <w:p>
      <w:pPr>
        <w:pStyle w:val="4"/>
        <w:rPr>
          <w:rFonts w:ascii="仿宋" w:hAnsi="仿宋" w:eastAsia="仿宋"/>
        </w:rPr>
      </w:pPr>
      <w:bookmarkStart w:id="64"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4"/>
    </w:p>
    <w:p>
      <w:pPr>
        <w:pStyle w:val="4"/>
        <w:rPr>
          <w:rFonts w:ascii="仿宋" w:hAnsi="仿宋" w:eastAsia="仿宋"/>
        </w:rPr>
      </w:pPr>
      <w:bookmarkStart w:id="65" w:name="_Toc15396628"/>
      <w:r>
        <w:rPr>
          <w:rStyle w:val="25"/>
          <w:rFonts w:hint="eastAsia" w:ascii="仿宋" w:hAnsi="仿宋" w:eastAsia="仿宋"/>
          <w:b w:val="0"/>
          <w:bCs w:val="0"/>
        </w:rPr>
        <w:t>十、</w:t>
      </w:r>
      <w:bookmarkEnd w:id="65"/>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6" w:name="_Toc15396629"/>
      <w:r>
        <w:rPr>
          <w:rStyle w:val="25"/>
          <w:rFonts w:hint="eastAsia" w:ascii="仿宋" w:hAnsi="仿宋" w:eastAsia="仿宋"/>
          <w:b w:val="0"/>
          <w:bCs w:val="0"/>
        </w:rPr>
        <w:t>十一、</w:t>
      </w:r>
      <w:bookmarkEnd w:id="66"/>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7" w:name="_Toc15396630"/>
      <w:r>
        <w:rPr>
          <w:rStyle w:val="25"/>
          <w:rFonts w:hint="eastAsia" w:ascii="仿宋" w:hAnsi="仿宋" w:eastAsia="仿宋"/>
          <w:b w:val="0"/>
          <w:bCs w:val="0"/>
        </w:rPr>
        <w:t>十二、</w:t>
      </w:r>
      <w:bookmarkEnd w:id="67"/>
      <w:r>
        <w:rPr>
          <w:rStyle w:val="25"/>
          <w:rFonts w:hint="eastAsia" w:ascii="仿宋" w:hAnsi="仿宋" w:eastAsia="仿宋"/>
          <w:b w:val="0"/>
          <w:bCs w:val="0"/>
        </w:rPr>
        <w:t>国有资本经营预算财政拨款支出决算表</w:t>
      </w:r>
    </w:p>
    <w:p>
      <w:pPr>
        <w:pStyle w:val="4"/>
        <w:rPr>
          <w:rFonts w:eastAsia="仿宋"/>
        </w:rPr>
      </w:pPr>
      <w:bookmarkStart w:id="68" w:name="_Toc15396631"/>
      <w:r>
        <w:rPr>
          <w:rStyle w:val="25"/>
          <w:rFonts w:hint="eastAsia" w:ascii="仿宋" w:hAnsi="仿宋" w:eastAsia="仿宋"/>
          <w:b w:val="0"/>
          <w:bCs w:val="0"/>
        </w:rPr>
        <w:t>十三、</w:t>
      </w:r>
      <w:bookmarkEnd w:id="68"/>
      <w:r>
        <w:rPr>
          <w:rStyle w:val="25"/>
          <w:rFonts w:hint="eastAsia" w:ascii="仿宋" w:hAnsi="仿宋" w:eastAsia="仿宋"/>
          <w:b w:val="0"/>
          <w:bCs w:val="0"/>
        </w:rPr>
        <w:t>财政拨款“三公”经费支出决算表</w:t>
      </w: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63404FDB"/>
    <w:multiLevelType w:val="multilevel"/>
    <w:tmpl w:val="63404FDB"/>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6DF3"/>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287"/>
    <w:rsid w:val="00265372"/>
    <w:rsid w:val="002662AA"/>
    <w:rsid w:val="00280496"/>
    <w:rsid w:val="00294DC9"/>
    <w:rsid w:val="00295495"/>
    <w:rsid w:val="002A31DE"/>
    <w:rsid w:val="002B2613"/>
    <w:rsid w:val="002D318B"/>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2EE0"/>
    <w:rsid w:val="0057481D"/>
    <w:rsid w:val="0058486E"/>
    <w:rsid w:val="00585B33"/>
    <w:rsid w:val="0059014D"/>
    <w:rsid w:val="005B2B61"/>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245"/>
    <w:rsid w:val="006748A4"/>
    <w:rsid w:val="00681A31"/>
    <w:rsid w:val="00683E73"/>
    <w:rsid w:val="006A3141"/>
    <w:rsid w:val="006A5E34"/>
    <w:rsid w:val="006B2422"/>
    <w:rsid w:val="006B2B9A"/>
    <w:rsid w:val="006C1937"/>
    <w:rsid w:val="006E419C"/>
    <w:rsid w:val="006F020C"/>
    <w:rsid w:val="007127B7"/>
    <w:rsid w:val="0071798E"/>
    <w:rsid w:val="007254B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57A6"/>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4A2D"/>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2AA9"/>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747F"/>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668F0"/>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217C"/>
    <w:rsid w:val="00D51276"/>
    <w:rsid w:val="00D7035F"/>
    <w:rsid w:val="00D8329E"/>
    <w:rsid w:val="00DA634F"/>
    <w:rsid w:val="00DA65AC"/>
    <w:rsid w:val="00DB1913"/>
    <w:rsid w:val="00DC410D"/>
    <w:rsid w:val="00DC5A81"/>
    <w:rsid w:val="00DC68CA"/>
    <w:rsid w:val="00DC7CBA"/>
    <w:rsid w:val="00DD3CAD"/>
    <w:rsid w:val="00DD427C"/>
    <w:rsid w:val="00DD73B7"/>
    <w:rsid w:val="00DE3F3A"/>
    <w:rsid w:val="00DF28BC"/>
    <w:rsid w:val="00DF34B9"/>
    <w:rsid w:val="00E01053"/>
    <w:rsid w:val="00E07ACF"/>
    <w:rsid w:val="00E331A1"/>
    <w:rsid w:val="00E33202"/>
    <w:rsid w:val="00E336A9"/>
    <w:rsid w:val="00E439A5"/>
    <w:rsid w:val="00E472B1"/>
    <w:rsid w:val="00E50624"/>
    <w:rsid w:val="00E5221F"/>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4CB5"/>
    <w:rsid w:val="00F45853"/>
    <w:rsid w:val="00F464F4"/>
    <w:rsid w:val="00F602DF"/>
    <w:rsid w:val="00F754A1"/>
    <w:rsid w:val="00F81FD9"/>
    <w:rsid w:val="00F841AA"/>
    <w:rsid w:val="00F84A94"/>
    <w:rsid w:val="00F87E96"/>
    <w:rsid w:val="00F92EF3"/>
    <w:rsid w:val="00FA23E8"/>
    <w:rsid w:val="00FC7392"/>
    <w:rsid w:val="00FD3CC1"/>
    <w:rsid w:val="00FF1E02"/>
    <w:rsid w:val="00FF30B4"/>
    <w:rsid w:val="053A62B5"/>
    <w:rsid w:val="059D1873"/>
    <w:rsid w:val="09BE25B6"/>
    <w:rsid w:val="0A2032A3"/>
    <w:rsid w:val="0AA765DF"/>
    <w:rsid w:val="0B8A37D8"/>
    <w:rsid w:val="0F9E16EA"/>
    <w:rsid w:val="10C055FF"/>
    <w:rsid w:val="118107EC"/>
    <w:rsid w:val="11DD6519"/>
    <w:rsid w:val="16BB723D"/>
    <w:rsid w:val="18015F3F"/>
    <w:rsid w:val="1AD009FD"/>
    <w:rsid w:val="1BE8440E"/>
    <w:rsid w:val="1C353976"/>
    <w:rsid w:val="1D155CEE"/>
    <w:rsid w:val="20062169"/>
    <w:rsid w:val="20BF0C96"/>
    <w:rsid w:val="20F57F95"/>
    <w:rsid w:val="240371BF"/>
    <w:rsid w:val="25711CC6"/>
    <w:rsid w:val="25C741E6"/>
    <w:rsid w:val="27842671"/>
    <w:rsid w:val="29FD04D3"/>
    <w:rsid w:val="2ABE7A3E"/>
    <w:rsid w:val="2C7A6741"/>
    <w:rsid w:val="2CA234A8"/>
    <w:rsid w:val="2EFA178C"/>
    <w:rsid w:val="30B46D73"/>
    <w:rsid w:val="319F7F4E"/>
    <w:rsid w:val="33824B9A"/>
    <w:rsid w:val="380F4514"/>
    <w:rsid w:val="383D272C"/>
    <w:rsid w:val="39AE70AB"/>
    <w:rsid w:val="3A5F71FB"/>
    <w:rsid w:val="3C0C0783"/>
    <w:rsid w:val="3F9F3A96"/>
    <w:rsid w:val="4502287E"/>
    <w:rsid w:val="48BF60AB"/>
    <w:rsid w:val="493C27E9"/>
    <w:rsid w:val="495042D1"/>
    <w:rsid w:val="496F39ED"/>
    <w:rsid w:val="49DA4E1C"/>
    <w:rsid w:val="49FF41D3"/>
    <w:rsid w:val="4BE068DB"/>
    <w:rsid w:val="4BF6002B"/>
    <w:rsid w:val="4ECE2238"/>
    <w:rsid w:val="51DB4B86"/>
    <w:rsid w:val="55333C3E"/>
    <w:rsid w:val="555951A1"/>
    <w:rsid w:val="5C3A6E47"/>
    <w:rsid w:val="5DCF35BF"/>
    <w:rsid w:val="64CA39A1"/>
    <w:rsid w:val="69630ADE"/>
    <w:rsid w:val="6BBB1626"/>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2 Char"/>
    <w:basedOn w:val="13"/>
    <w:link w:val="4"/>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 收入</c:v>
                </c:pt>
                <c:pt idx="1">
                  <c:v>支出</c:v>
                </c:pt>
              </c:strCache>
            </c:strRef>
          </c:cat>
          <c:val>
            <c:numRef>
              <c:f>Sheet1!$B$2:$B$5</c:f>
              <c:numCache>
                <c:formatCode>General</c:formatCode>
                <c:ptCount val="4"/>
                <c:pt idx="0">
                  <c:v>3421.15</c:v>
                </c:pt>
                <c:pt idx="1">
                  <c:v>3421.15</c:v>
                </c:pt>
              </c:numCache>
            </c:numRef>
          </c:val>
        </c:ser>
        <c:ser>
          <c:idx val="1"/>
          <c:order val="1"/>
          <c:tx>
            <c:strRef>
              <c:f>Sheet1!$C$1</c:f>
              <c:strCache>
                <c:ptCount val="1"/>
                <c:pt idx="0">
                  <c:v>列1</c:v>
                </c:pt>
              </c:strCache>
            </c:strRef>
          </c:tx>
          <c:spPr>
            <a:solidFill>
              <a:schemeClr val="accent2"/>
            </a:solidFill>
            <a:ln>
              <a:noFill/>
            </a:ln>
            <a:effectLst/>
          </c:spPr>
          <c:invertIfNegative val="0"/>
          <c:dPt>
            <c:idx val="0"/>
            <c:invertIfNegative val="0"/>
            <c:bubble3D val="0"/>
            <c:spPr>
              <a:solidFill>
                <a:schemeClr val="accent2"/>
              </a:solidFill>
              <a:ln>
                <a:noFill/>
              </a:ln>
              <a:effectLst/>
            </c:spPr>
          </c:dPt>
          <c:dLbls>
            <c:dLbl>
              <c:idx val="0"/>
              <c:layout>
                <c:manualLayout>
                  <c:x val="-0.0027266530334015"/>
                  <c:y val="-0.0589970501474926"/>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3421.15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99880614793423e-17"/>
                  <c:y val="-0.0412979351032449"/>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3421.15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 收入</c:v>
                </c:pt>
                <c:pt idx="1">
                  <c:v>支出</c:v>
                </c:pt>
              </c:strCache>
            </c:strRef>
          </c:cat>
          <c:val>
            <c:numRef>
              <c:f>Sheet1!$C$2:$C$5</c:f>
              <c:numCache>
                <c:formatCode>General</c:formatCode>
                <c:ptCount val="4"/>
              </c:numCache>
            </c:numRef>
          </c:val>
        </c:ser>
        <c:ser>
          <c:idx val="2"/>
          <c:order val="2"/>
          <c:tx>
            <c:strRef>
              <c:f>Sheet1!$D$1</c:f>
              <c:strCache>
                <c:ptCount val="1"/>
                <c:pt idx="0">
                  <c:v>2022年</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 收入</c:v>
                </c:pt>
                <c:pt idx="1">
                  <c:v>支出</c:v>
                </c:pt>
              </c:strCache>
            </c:strRef>
          </c:cat>
          <c:val>
            <c:numRef>
              <c:f>Sheet1!$D$2:$D$5</c:f>
              <c:numCache>
                <c:formatCode>General</c:formatCode>
                <c:ptCount val="4"/>
                <c:pt idx="0">
                  <c:v>3308.82</c:v>
                </c:pt>
                <c:pt idx="1">
                  <c:v>3308.82</c:v>
                </c:pt>
              </c:numCache>
            </c:numRef>
          </c:val>
        </c:ser>
        <c:dLbls>
          <c:showLegendKey val="0"/>
          <c:showVal val="1"/>
          <c:showCatName val="0"/>
          <c:showSerName val="0"/>
          <c:showPercent val="0"/>
          <c:showBubbleSize val="0"/>
        </c:dLbls>
        <c:gapWidth val="222"/>
        <c:axId val="127703096"/>
        <c:axId val="127703424"/>
      </c:barChart>
      <c:catAx>
        <c:axId val="12770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703424"/>
        <c:crosses val="autoZero"/>
        <c:auto val="1"/>
        <c:lblAlgn val="ctr"/>
        <c:lblOffset val="100"/>
        <c:noMultiLvlLbl val="0"/>
      </c:catAx>
      <c:valAx>
        <c:axId val="1277034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703096"/>
        <c:crosses val="autoZero"/>
        <c:crossBetween val="between"/>
        <c:majorUnit val="5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0"/>
              <c:layout>
                <c:manualLayout>
                  <c:x val="-0.0441459184332534"/>
                  <c:y val="-0.13312693498452"/>
                </c:manualLayout>
              </c:layout>
              <c:tx>
                <c:rich>
                  <a:bodyPr rot="0" spcFirstLastPara="0" vertOverflow="ellipsis" vert="horz" wrap="square" lIns="38100" tIns="19050" rIns="38100" bIns="19050" anchor="ctr" anchorCtr="1"/>
                  <a:lstStyle/>
                  <a:p>
                    <a:fld id="{81c885f9-641f-4010-861a-7bc3f32fca6f}" type="CATEGORYNAME">
                      <a:t>[CATEGORY NAME]</a:t>
                    </a:fld>
                    <a:r>
                      <a:t>,</a:t>
                    </a:r>
                    <a:fld id="{4454861d-3019-4c5d-b3a8-2dcc106cc32e}" type="VALUE">
                      <a:t>[VALUE]</a:t>
                    </a:fld>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2842.84</c:v>
                </c:pt>
                <c:pt idx="1">
                  <c:v>24.29</c:v>
                </c:pt>
                <c:pt idx="2">
                  <c:v>1.48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0850533087503594"/>
                  <c:y val="0.187865008357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2866.81</c:v>
                </c:pt>
                <c:pt idx="1">
                  <c:v>442.01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 收入</c:v>
                </c:pt>
                <c:pt idx="1">
                  <c:v>支出</c:v>
                </c:pt>
              </c:strCache>
            </c:strRef>
          </c:cat>
          <c:val>
            <c:numRef>
              <c:f>Sheet1!$B$2:$B$5</c:f>
              <c:numCache>
                <c:formatCode>General</c:formatCode>
                <c:ptCount val="4"/>
                <c:pt idx="0">
                  <c:v>2873.4</c:v>
                </c:pt>
                <c:pt idx="1">
                  <c:v>2873.4</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 收入</c:v>
                </c:pt>
                <c:pt idx="1">
                  <c:v>支出</c:v>
                </c:pt>
              </c:strCache>
            </c:strRef>
          </c:cat>
          <c:val>
            <c:numRef>
              <c:f>Sheet1!$C$2:$C$5</c:f>
              <c:numCache>
                <c:formatCode>General</c:formatCode>
                <c:ptCount val="4"/>
                <c:pt idx="0">
                  <c:v>3283.05</c:v>
                </c:pt>
                <c:pt idx="1">
                  <c:v>3283.05</c:v>
                </c:pt>
              </c:numCache>
            </c:numRef>
          </c:val>
        </c:ser>
        <c:dLbls>
          <c:showLegendKey val="0"/>
          <c:showVal val="1"/>
          <c:showCatName val="0"/>
          <c:showSerName val="0"/>
          <c:showPercent val="0"/>
          <c:showBubbleSize val="0"/>
        </c:dLbls>
        <c:gapWidth val="219"/>
        <c:axId val="127703096"/>
        <c:axId val="127703424"/>
      </c:barChart>
      <c:catAx>
        <c:axId val="12770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703424"/>
        <c:crosses val="autoZero"/>
        <c:auto val="1"/>
        <c:lblAlgn val="ctr"/>
        <c:lblOffset val="100"/>
        <c:noMultiLvlLbl val="0"/>
      </c:catAx>
      <c:valAx>
        <c:axId val="1277034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703096"/>
        <c:crosses val="autoZero"/>
        <c:crossBetween val="between"/>
        <c:majorUnit val="5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11696</Words>
  <Characters>12133</Characters>
  <Lines>42</Lines>
  <Paragraphs>12</Paragraphs>
  <TotalTime>0</TotalTime>
  <ScaleCrop>false</ScaleCrop>
  <LinksUpToDate>false</LinksUpToDate>
  <CharactersWithSpaces>12237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2023-07-31T02:35:00Z</cp:lastPrinted>
  <dcterms:modified xsi:type="dcterms:W3CDTF">2023-10-15T05:49:37Z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7A7B9CB3A6C544CE82EB6A9B1CFA44EC_12</vt:lpwstr>
  </property>
</Properties>
</file>