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599"/>
      <w:bookmarkStart w:id="1" w:name="_Toc15377196"/>
    </w:p>
    <w:p>
      <w:pPr>
        <w:pStyle w:val="5"/>
        <w:rPr>
          <w:rFonts w:ascii="方正小标宋简体" w:hAnsi="宋体" w:eastAsia="方正小标宋简体"/>
          <w:color w:val="auto"/>
          <w:sz w:val="72"/>
          <w:szCs w:val="72"/>
          <w:highlight w:val="none"/>
        </w:rPr>
      </w:pPr>
    </w:p>
    <w:p>
      <w:pPr>
        <w:pStyle w:val="5"/>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bookmarkStart w:id="2" w:name="_Toc15377425"/>
      <w:bookmarkStart w:id="3" w:name="_Toc15377193"/>
      <w:bookmarkStart w:id="4" w:name="_Toc15378441"/>
      <w:bookmarkStart w:id="5" w:name="_Toc15396475"/>
      <w:bookmarkStart w:id="6" w:name="_Toc15396597"/>
      <w:r>
        <w:rPr>
          <w:rFonts w:hint="eastAsia" w:ascii="方正小标宋简体" w:hAnsi="方正小标宋简体" w:eastAsia="方正小标宋简体" w:cs="方正小标宋简体"/>
          <w:color w:val="auto"/>
          <w:sz w:val="70"/>
          <w:szCs w:val="70"/>
          <w:highlight w:val="none"/>
        </w:rPr>
        <w:t>20</w:t>
      </w:r>
      <w:r>
        <w:rPr>
          <w:rFonts w:hint="eastAsia" w:ascii="方正小标宋简体" w:hAnsi="方正小标宋简体" w:eastAsia="方正小标宋简体" w:cs="方正小标宋简体"/>
          <w:color w:val="auto"/>
          <w:sz w:val="70"/>
          <w:szCs w:val="70"/>
          <w:highlight w:val="none"/>
          <w:lang w:val="en-US" w:eastAsia="zh-CN"/>
        </w:rPr>
        <w:t>21</w:t>
      </w:r>
      <w:r>
        <w:rPr>
          <w:rFonts w:hint="eastAsia" w:ascii="方正小标宋简体" w:hAnsi="方正小标宋简体" w:eastAsia="方正小标宋简体" w:cs="方正小标宋简体"/>
          <w:color w:val="auto"/>
          <w:sz w:val="70"/>
          <w:szCs w:val="70"/>
          <w:highlight w:val="none"/>
        </w:rPr>
        <w:t>年度</w:t>
      </w:r>
      <w:bookmarkEnd w:id="2"/>
      <w:bookmarkEnd w:id="3"/>
      <w:bookmarkEnd w:id="4"/>
      <w:bookmarkEnd w:id="5"/>
      <w:bookmarkEnd w:id="6"/>
    </w:p>
    <w:p>
      <w:pPr>
        <w:adjustRightInd w:val="0"/>
        <w:snapToGrid w:val="0"/>
        <w:spacing w:line="360" w:lineRule="auto"/>
        <w:jc w:val="center"/>
        <w:outlineLvl w:val="0"/>
        <w:rPr>
          <w:rFonts w:hint="default" w:ascii="方正小标宋简体" w:hAnsi="方正小标宋简体" w:eastAsia="方正小标宋简体" w:cs="方正小标宋简体"/>
          <w:color w:val="auto"/>
          <w:sz w:val="70"/>
          <w:szCs w:val="70"/>
          <w:highlight w:val="none"/>
          <w:lang w:val="en-US"/>
        </w:rPr>
      </w:pPr>
      <w:r>
        <w:rPr>
          <w:rFonts w:hint="eastAsia" w:ascii="方正小标宋简体" w:hAnsi="方正小标宋简体" w:eastAsia="方正小标宋简体" w:cs="方正小标宋简体"/>
          <w:color w:val="auto"/>
          <w:sz w:val="70"/>
          <w:szCs w:val="70"/>
          <w:highlight w:val="none"/>
        </w:rPr>
        <w:t>四川省</w:t>
      </w:r>
      <w:r>
        <w:rPr>
          <w:rFonts w:hint="eastAsia" w:ascii="方正小标宋简体" w:hAnsi="方正小标宋简体" w:eastAsia="方正小标宋简体" w:cs="方正小标宋简体"/>
          <w:color w:val="auto"/>
          <w:sz w:val="70"/>
          <w:szCs w:val="70"/>
          <w:highlight w:val="none"/>
          <w:lang w:val="en-US" w:eastAsia="zh-CN"/>
        </w:rPr>
        <w:t>广元市利州区教育局单位决算</w:t>
      </w:r>
    </w:p>
    <w:p>
      <w:pPr>
        <w:rPr>
          <w:rFonts w:ascii="仿宋" w:hAnsi="仿宋" w:eastAsia="仿宋"/>
          <w:b/>
          <w:color w:val="auto"/>
          <w:sz w:val="24"/>
          <w:highlight w:val="none"/>
        </w:rPr>
      </w:pPr>
      <w:r>
        <w:rPr>
          <w:rFonts w:ascii="仿宋" w:hAnsi="仿宋" w:eastAsia="仿宋"/>
          <w:b/>
          <w:color w:val="auto"/>
          <w:sz w:val="24"/>
          <w:highlight w:val="none"/>
        </w:rPr>
        <w:br w:type="page"/>
      </w:r>
    </w:p>
    <w:sdt>
      <w:sdtPr>
        <w:rPr>
          <w:rFonts w:ascii="宋体" w:hAnsi="宋体" w:eastAsia="宋体" w:cs="Times New Roman"/>
          <w:kern w:val="2"/>
          <w:sz w:val="21"/>
          <w:szCs w:val="24"/>
          <w:lang w:val="en-US" w:eastAsia="zh-CN" w:bidi="ar-SA"/>
        </w:rPr>
        <w:id w:val="147467499"/>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32"/>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b/>
              <w:sz w:val="32"/>
              <w:szCs w:val="32"/>
            </w:rPr>
          </w:pPr>
          <w:r>
            <w:fldChar w:fldCharType="begin"/>
          </w:r>
          <w:r>
            <w:instrText xml:space="preserve">TOC \o "1-2" \h \u </w:instrText>
          </w:r>
          <w:r>
            <w:fldChar w:fldCharType="separate"/>
          </w: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_Toc10883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highlight w:val="none"/>
            </w:rPr>
            <w:t xml:space="preserve">第一部分 </w:t>
          </w:r>
          <w:r>
            <w:rPr>
              <w:rFonts w:hint="eastAsia" w:ascii="黑体" w:hAnsi="黑体" w:eastAsia="黑体" w:cs="黑体"/>
              <w:b w:val="0"/>
              <w:bCs/>
              <w:sz w:val="32"/>
              <w:szCs w:val="32"/>
              <w:highlight w:val="none"/>
              <w:lang w:eastAsia="zh-CN"/>
            </w:rPr>
            <w:t>单位</w:t>
          </w:r>
          <w:r>
            <w:rPr>
              <w:rFonts w:hint="eastAsia" w:ascii="黑体" w:hAnsi="黑体" w:eastAsia="黑体" w:cs="黑体"/>
              <w:b w:val="0"/>
              <w:bCs/>
              <w:sz w:val="32"/>
              <w:szCs w:val="32"/>
              <w:highlight w:val="none"/>
            </w:rPr>
            <w:t>概况</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_Toc10883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1</w:t>
          </w:r>
          <w:r>
            <w:rPr>
              <w:rFonts w:hint="eastAsia" w:ascii="仿宋" w:hAnsi="仿宋" w:eastAsia="仿宋" w:cs="仿宋"/>
              <w:b w:val="0"/>
              <w:bCs/>
              <w:sz w:val="32"/>
              <w:szCs w:val="32"/>
            </w:rPr>
            <w:fldChar w:fldCharType="end"/>
          </w:r>
          <w:r>
            <w:rPr>
              <w:rFonts w:hint="eastAsia" w:ascii="黑体" w:hAnsi="黑体" w:eastAsia="黑体" w:cs="黑体"/>
              <w:b w:val="0"/>
              <w:bCs/>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_Toc25654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lang w:eastAsia="zh-CN"/>
            </w:rPr>
            <w:t>一、</w:t>
          </w:r>
          <w:r>
            <w:rPr>
              <w:rFonts w:hint="eastAsia" w:ascii="仿宋" w:hAnsi="仿宋" w:eastAsia="仿宋" w:cs="仿宋"/>
              <w:bCs w:val="0"/>
              <w:sz w:val="32"/>
              <w:szCs w:val="32"/>
              <w:highlight w:val="none"/>
            </w:rPr>
            <w:t>职能</w:t>
          </w:r>
          <w:r>
            <w:rPr>
              <w:rFonts w:hint="eastAsia" w:ascii="仿宋" w:hAnsi="仿宋" w:eastAsia="仿宋" w:cs="仿宋"/>
              <w:bCs w:val="0"/>
              <w:sz w:val="32"/>
              <w:szCs w:val="32"/>
              <w:highlight w:val="none"/>
              <w:lang w:eastAsia="zh-CN"/>
            </w:rPr>
            <w:t>简介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_Toc25654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default" w:ascii="仿宋" w:hAnsi="仿宋" w:eastAsia="仿宋" w:cs="仿宋"/>
              <w:bCs w:val="0"/>
              <w:sz w:val="32"/>
              <w:szCs w:val="32"/>
              <w:highlight w:val="none"/>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_Toc16074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lang w:val="en-US" w:eastAsia="zh-CN"/>
            </w:rPr>
            <w:t>二、机构设置</w:t>
          </w:r>
          <w:r>
            <w:rPr>
              <w:rFonts w:hint="eastAsia" w:ascii="仿宋" w:hAnsi="仿宋" w:eastAsia="仿宋" w:cs="仿宋"/>
              <w:sz w:val="32"/>
              <w:szCs w:val="32"/>
            </w:rPr>
            <w:tab/>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bCs w:val="0"/>
              <w:sz w:val="32"/>
              <w:szCs w:val="32"/>
              <w:highlight w:val="none"/>
              <w:lang w:val="en-US" w:eastAsia="zh-CN"/>
            </w:rPr>
            <w:t>三、2021年重点</w:t>
          </w:r>
          <w:r>
            <w:rPr>
              <w:rFonts w:hint="eastAsia" w:ascii="仿宋" w:hAnsi="仿宋" w:eastAsia="仿宋" w:cs="仿宋"/>
              <w:bCs w:val="0"/>
              <w:sz w:val="32"/>
              <w:szCs w:val="32"/>
              <w:highlight w:val="none"/>
            </w:rPr>
            <w:t>工作</w:t>
          </w:r>
          <w:r>
            <w:rPr>
              <w:rFonts w:hint="eastAsia" w:ascii="仿宋" w:hAnsi="仿宋" w:eastAsia="仿宋" w:cs="仿宋"/>
              <w:bCs w:val="0"/>
              <w:sz w:val="32"/>
              <w:szCs w:val="32"/>
              <w:highlight w:val="none"/>
              <w:lang w:eastAsia="zh-CN"/>
            </w:rPr>
            <w:t>完成情况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_Toc16074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_Toc9138 </w:instrText>
          </w:r>
          <w:r>
            <w:rPr>
              <w:rFonts w:hint="eastAsia" w:ascii="仿宋" w:hAnsi="仿宋" w:eastAsia="仿宋" w:cs="仿宋"/>
              <w:b/>
              <w:sz w:val="32"/>
              <w:szCs w:val="32"/>
            </w:rPr>
            <w:fldChar w:fldCharType="separate"/>
          </w:r>
          <w:r>
            <w:rPr>
              <w:rFonts w:hint="eastAsia" w:ascii="黑体" w:hAnsi="黑体" w:eastAsia="黑体" w:cs="黑体"/>
              <w:b w:val="0"/>
              <w:bCs/>
              <w:sz w:val="32"/>
              <w:szCs w:val="32"/>
            </w:rPr>
            <w:t xml:space="preserve">第二部分 </w:t>
          </w:r>
          <w:r>
            <w:rPr>
              <w:rFonts w:hint="eastAsia" w:ascii="黑体" w:hAnsi="黑体" w:eastAsia="黑体" w:cs="黑体"/>
              <w:b w:val="0"/>
              <w:bCs/>
              <w:sz w:val="32"/>
              <w:szCs w:val="32"/>
              <w:lang w:val="en-US" w:eastAsia="zh-CN"/>
            </w:rPr>
            <w:t>2021年度</w:t>
          </w:r>
          <w:r>
            <w:rPr>
              <w:rFonts w:hint="eastAsia" w:ascii="黑体" w:hAnsi="黑体" w:eastAsia="黑体" w:cs="黑体"/>
              <w:b w:val="0"/>
              <w:bCs/>
              <w:sz w:val="32"/>
              <w:szCs w:val="32"/>
              <w:lang w:eastAsia="zh-CN"/>
            </w:rPr>
            <w:t>单位</w:t>
          </w:r>
          <w:r>
            <w:rPr>
              <w:rFonts w:hint="eastAsia" w:ascii="黑体" w:hAnsi="黑体" w:eastAsia="黑体" w:cs="黑体"/>
              <w:b w:val="0"/>
              <w:bCs/>
              <w:sz w:val="32"/>
              <w:szCs w:val="32"/>
            </w:rPr>
            <w:t>决算情况说明</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_Toc9138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9</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_Toc13314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_Toc13314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_Toc12072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_Toc12072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_Toc15842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_Toc15842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_Toc17374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四、财政拨款收入支出决算总体情况说明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_Toc17374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_Toc17246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_Toc17246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_Toc22707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六、一般公共预算财政拨款基本支出决算情况说明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_Toc22707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_Toc17578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七、“三公”经费财政拨款支出决算情况说明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_Toc17578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_Toc21094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八、政府性基金预算支出决算情况说明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_Toc21094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_Toc4469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九、 </w:t>
          </w:r>
          <w:r>
            <w:rPr>
              <w:rFonts w:hint="eastAsia" w:ascii="仿宋" w:hAnsi="仿宋" w:eastAsia="仿宋" w:cs="仿宋"/>
              <w:sz w:val="32"/>
              <w:szCs w:val="32"/>
              <w:highlight w:val="none"/>
            </w:rPr>
            <w:t>国有资本经营预算支出决算情况说明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_Toc4469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_Toc10003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十、 </w:t>
          </w:r>
          <w:r>
            <w:rPr>
              <w:rFonts w:hint="eastAsia" w:ascii="仿宋" w:hAnsi="仿宋" w:eastAsia="仿宋" w:cs="仿宋"/>
              <w:sz w:val="32"/>
              <w:szCs w:val="32"/>
              <w:highlight w:val="none"/>
            </w:rPr>
            <w:t>其他重要事项的情况说明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_Toc10003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_Toc32389 </w:instrText>
          </w:r>
          <w:r>
            <w:rPr>
              <w:rFonts w:hint="eastAsia" w:ascii="仿宋" w:hAnsi="仿宋" w:eastAsia="仿宋" w:cs="仿宋"/>
              <w:b/>
              <w:sz w:val="32"/>
              <w:szCs w:val="32"/>
            </w:rPr>
            <w:fldChar w:fldCharType="separate"/>
          </w:r>
          <w:r>
            <w:rPr>
              <w:rFonts w:hint="eastAsia" w:ascii="黑体" w:hAnsi="黑体" w:eastAsia="黑体" w:cs="黑体"/>
              <w:b w:val="0"/>
              <w:bCs/>
              <w:sz w:val="32"/>
              <w:szCs w:val="32"/>
            </w:rPr>
            <w:t>第三部分 名词解释</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_Toc32389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22</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32"/>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_Toc24843 </w:instrText>
          </w:r>
          <w:r>
            <w:rPr>
              <w:rFonts w:hint="eastAsia" w:ascii="仿宋" w:hAnsi="仿宋" w:eastAsia="仿宋" w:cs="仿宋"/>
              <w:b/>
              <w:sz w:val="32"/>
              <w:szCs w:val="32"/>
            </w:rPr>
            <w:fldChar w:fldCharType="separate"/>
          </w:r>
          <w:r>
            <w:rPr>
              <w:rFonts w:hint="eastAsia" w:ascii="黑体" w:hAnsi="黑体" w:eastAsia="黑体" w:cs="黑体"/>
              <w:b w:val="0"/>
              <w:bCs/>
              <w:sz w:val="32"/>
              <w:szCs w:val="32"/>
            </w:rPr>
            <w:t>第四部分 附件</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_Toc24843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27</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_Toc23859 </w:instrText>
          </w:r>
          <w:r>
            <w:rPr>
              <w:rFonts w:hint="eastAsia" w:ascii="仿宋" w:hAnsi="仿宋" w:eastAsia="仿宋" w:cs="仿宋"/>
              <w:sz w:val="32"/>
              <w:szCs w:val="32"/>
            </w:rPr>
            <w:fldChar w:fldCharType="separate"/>
          </w:r>
          <w:r>
            <w:rPr>
              <w:rFonts w:hint="eastAsia" w:ascii="仿宋" w:hAnsi="仿宋" w:eastAsia="仿宋" w:cs="仿宋"/>
              <w:b/>
              <w:bCs/>
              <w:sz w:val="32"/>
              <w:szCs w:val="32"/>
              <w:lang w:val="en-US" w:eastAsia="zh-CN"/>
            </w:rPr>
            <w:t>附件1：广元市利州区教育局2021年部门整体支出绩效评价报告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_Toc23859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_Toc30037 </w:instrText>
          </w:r>
          <w:r>
            <w:rPr>
              <w:rFonts w:hint="eastAsia" w:ascii="仿宋" w:hAnsi="仿宋" w:eastAsia="仿宋" w:cs="仿宋"/>
              <w:sz w:val="32"/>
              <w:szCs w:val="32"/>
            </w:rPr>
            <w:fldChar w:fldCharType="separate"/>
          </w:r>
          <w:r>
            <w:rPr>
              <w:rFonts w:hint="eastAsia" w:ascii="仿宋" w:hAnsi="仿宋" w:eastAsia="仿宋" w:cs="仿宋"/>
              <w:kern w:val="0"/>
              <w:sz w:val="32"/>
              <w:szCs w:val="32"/>
              <w:shd w:val="clear" w:fill="FFFFFF"/>
              <w:lang w:val="zh-CN"/>
            </w:rPr>
            <w:t xml:space="preserve">一、 </w:t>
          </w:r>
          <w:r>
            <w:rPr>
              <w:rFonts w:hint="eastAsia" w:ascii="仿宋" w:hAnsi="仿宋" w:eastAsia="仿宋" w:cs="仿宋"/>
              <w:kern w:val="0"/>
              <w:sz w:val="32"/>
              <w:szCs w:val="32"/>
              <w:shd w:val="clear" w:color="auto" w:fill="FFFFFF"/>
              <w:lang w:val="zh-CN"/>
            </w:rPr>
            <w:t>部门（单位）概况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_Toc30037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_Toc13772 </w:instrText>
          </w:r>
          <w:r>
            <w:rPr>
              <w:rFonts w:hint="eastAsia" w:ascii="仿宋" w:hAnsi="仿宋" w:eastAsia="仿宋" w:cs="仿宋"/>
              <w:sz w:val="32"/>
              <w:szCs w:val="32"/>
            </w:rPr>
            <w:fldChar w:fldCharType="separate"/>
          </w:r>
          <w:r>
            <w:rPr>
              <w:rFonts w:hint="eastAsia" w:ascii="仿宋" w:hAnsi="仿宋" w:eastAsia="仿宋" w:cs="仿宋"/>
              <w:kern w:val="0"/>
              <w:sz w:val="32"/>
              <w:szCs w:val="32"/>
              <w:shd w:val="clear" w:color="auto" w:fill="FFFFFF"/>
            </w:rPr>
            <w:t>二、部门财政资金收支情况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_Toc13772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_Toc3522 </w:instrText>
          </w:r>
          <w:r>
            <w:rPr>
              <w:rFonts w:hint="eastAsia" w:ascii="仿宋" w:hAnsi="仿宋" w:eastAsia="仿宋" w:cs="仿宋"/>
              <w:sz w:val="32"/>
              <w:szCs w:val="32"/>
            </w:rPr>
            <w:fldChar w:fldCharType="separate"/>
          </w:r>
          <w:r>
            <w:rPr>
              <w:rFonts w:hint="eastAsia" w:ascii="仿宋" w:hAnsi="仿宋" w:eastAsia="仿宋" w:cs="仿宋"/>
              <w:kern w:val="0"/>
              <w:sz w:val="32"/>
              <w:szCs w:val="32"/>
              <w:shd w:val="clear" w:color="auto" w:fill="FFFFFF"/>
              <w:lang w:eastAsia="zh-CN"/>
            </w:rPr>
            <w:t>三、</w:t>
          </w:r>
          <w:r>
            <w:rPr>
              <w:rFonts w:hint="eastAsia" w:ascii="仿宋" w:hAnsi="仿宋" w:eastAsia="仿宋" w:cs="仿宋"/>
              <w:kern w:val="0"/>
              <w:sz w:val="32"/>
              <w:szCs w:val="32"/>
              <w:shd w:val="clear" w:color="auto" w:fill="FFFFFF"/>
            </w:rPr>
            <w:t>部门整体预算绩效管理情况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_Toc3522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_Toc24063 </w:instrText>
          </w:r>
          <w:r>
            <w:rPr>
              <w:rFonts w:hint="eastAsia" w:ascii="仿宋" w:hAnsi="仿宋" w:eastAsia="仿宋" w:cs="仿宋"/>
              <w:sz w:val="32"/>
              <w:szCs w:val="32"/>
            </w:rPr>
            <w:fldChar w:fldCharType="separate"/>
          </w:r>
          <w:r>
            <w:rPr>
              <w:rFonts w:hint="eastAsia" w:ascii="仿宋" w:hAnsi="仿宋" w:eastAsia="仿宋" w:cs="仿宋"/>
              <w:kern w:val="0"/>
              <w:sz w:val="32"/>
              <w:szCs w:val="32"/>
              <w:shd w:val="clear" w:color="auto" w:fill="FFFFFF"/>
            </w:rPr>
            <w:t>四、评价结论及建议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_Toc24063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_Toc14430 </w:instrText>
          </w:r>
          <w:r>
            <w:rPr>
              <w:rFonts w:hint="eastAsia" w:ascii="仿宋" w:hAnsi="仿宋" w:eastAsia="仿宋" w:cs="仿宋"/>
              <w:sz w:val="32"/>
              <w:szCs w:val="32"/>
            </w:rPr>
            <w:fldChar w:fldCharType="separate"/>
          </w:r>
          <w:r>
            <w:rPr>
              <w:rFonts w:hint="eastAsia" w:ascii="仿宋" w:hAnsi="仿宋" w:eastAsia="仿宋" w:cs="仿宋"/>
              <w:b/>
              <w:bCs/>
              <w:sz w:val="32"/>
              <w:szCs w:val="32"/>
              <w:lang w:val="en-US" w:eastAsia="zh-CN"/>
            </w:rPr>
            <w:t>附件2.1：区教育局标准化考点运行维护项目支出绩效自评报告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_Toc14430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_Toc3502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一、项目概况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_Toc3502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_Toc20323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分级评分法、是否评分法、缺错项扣分法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_Toc20323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_Toc14473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二、项目资金申报及使用情况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_Toc14473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_Toc22708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三、项目实施及管理情况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_Toc22708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_Toc29201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四、项目绩效情况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_Toc29201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_Toc21073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五、评价结论及建议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_Toc21073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2.2挪威森林幼儿园、启迪星幼儿园营运补贴配套项目支出绩效自评报告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_Toc7867 </w:instrText>
          </w:r>
          <w:r>
            <w:rPr>
              <w:rFonts w:hint="eastAsia" w:ascii="仿宋" w:hAnsi="仿宋" w:eastAsia="仿宋" w:cs="仿宋"/>
              <w:sz w:val="32"/>
              <w:szCs w:val="32"/>
            </w:rPr>
            <w:fldChar w:fldCharType="separate"/>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_Toc7867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_Toc23404 </w:instrText>
          </w:r>
          <w:r>
            <w:rPr>
              <w:rFonts w:hint="eastAsia" w:ascii="仿宋" w:hAnsi="仿宋" w:eastAsia="仿宋" w:cs="仿宋"/>
              <w:sz w:val="32"/>
              <w:szCs w:val="32"/>
            </w:rPr>
            <w:fldChar w:fldCharType="separate"/>
          </w:r>
          <w:r>
            <w:rPr>
              <w:rFonts w:hint="eastAsia" w:ascii="仿宋" w:hAnsi="仿宋" w:eastAsia="仿宋" w:cs="仿宋"/>
              <w:bCs/>
              <w:sz w:val="32"/>
              <w:szCs w:val="32"/>
              <w:lang w:val="zh-CN"/>
            </w:rPr>
            <w:t>一、 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_Toc23404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_Toc17217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_Toc17217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_Toc26359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_Toc26359 \h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_Toc2913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_Toc2913 \h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附件2.3：</w:t>
          </w:r>
          <w:r>
            <w:rPr>
              <w:rFonts w:hint="eastAsia" w:ascii="仿宋" w:hAnsi="仿宋" w:eastAsia="仿宋" w:cs="仿宋"/>
              <w:b/>
              <w:bCs/>
              <w:sz w:val="32"/>
              <w:szCs w:val="32"/>
              <w:lang w:val="en-US"/>
            </w:rPr>
            <w:t>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val="en-US"/>
            </w:rPr>
            <w:t>年</w:t>
          </w:r>
          <w:r>
            <w:rPr>
              <w:rFonts w:hint="eastAsia" w:ascii="仿宋" w:hAnsi="仿宋" w:eastAsia="仿宋" w:cs="仿宋"/>
              <w:b/>
              <w:bCs/>
              <w:sz w:val="32"/>
              <w:szCs w:val="32"/>
            </w:rPr>
            <w:t>建档立卡贫困家庭中职学生生活补助</w:t>
          </w:r>
          <w:r>
            <w:rPr>
              <w:rFonts w:hint="eastAsia" w:ascii="仿宋" w:hAnsi="仿宋" w:eastAsia="仿宋" w:cs="仿宋"/>
              <w:b/>
              <w:bCs/>
              <w:sz w:val="32"/>
              <w:szCs w:val="32"/>
              <w:lang w:val="en-US" w:eastAsia="zh-CN"/>
            </w:rPr>
            <w:t>配套项目支出绩效自评报告</w:t>
          </w:r>
          <w:r>
            <w:rPr>
              <w:rFonts w:hint="eastAsia" w:ascii="仿宋" w:hAnsi="仿宋" w:eastAsia="仿宋" w:cs="仿宋"/>
              <w:sz w:val="32"/>
              <w:szCs w:val="32"/>
            </w:rPr>
            <w:tab/>
          </w:r>
          <w:r>
            <w:rPr>
              <w:rFonts w:hint="eastAsia" w:ascii="仿宋" w:hAnsi="仿宋" w:eastAsia="仿宋" w:cs="仿宋"/>
              <w:sz w:val="32"/>
              <w:szCs w:val="32"/>
              <w:lang w:val="en-US" w:eastAsia="zh-CN"/>
            </w:rPr>
            <w:t>37</w:t>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_Toc19440 </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一、项目概况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_Toc19440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_Toc11154 </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二、项目资金申报及使用情况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_Toc11154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_Toc26799 </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三、项目实施及管理情况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_Toc26799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_Toc7552 </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四、项目绩效情况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_Toc7552 \h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_Toc31234 </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五、评价结论及建议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_Toc31234 \h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_Toc30030 </w:instrText>
          </w:r>
          <w:r>
            <w:rPr>
              <w:rFonts w:hint="eastAsia" w:ascii="仿宋" w:hAnsi="仿宋" w:eastAsia="仿宋" w:cs="仿宋"/>
              <w:sz w:val="32"/>
              <w:szCs w:val="32"/>
            </w:rPr>
            <w:fldChar w:fldCharType="separate"/>
          </w:r>
          <w:r>
            <w:rPr>
              <w:rFonts w:hint="eastAsia" w:ascii="仿宋" w:hAnsi="仿宋" w:eastAsia="仿宋" w:cs="仿宋"/>
              <w:b/>
              <w:bCs/>
              <w:kern w:val="2"/>
              <w:sz w:val="32"/>
              <w:szCs w:val="32"/>
              <w:lang w:val="en-US" w:eastAsia="zh-CN"/>
            </w:rPr>
            <w:t>附件2.4：2021年建档立卡全日制本专科学费生活费补助项目支出绩效自评报告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_Toc30030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_Toc3042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一、项目概况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_Toc3042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_Toc15849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二、项目资金申报及使用情况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_Toc15849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_Toc22781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三、项目实施及管理情况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_Toc22781 \h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_Toc31987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四、项目绩效情况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_Toc31987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_Toc22384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zh-CN"/>
            </w:rPr>
            <w:t>五、评价结论及建议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_Toc22384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_Toc17167 </w:instrText>
          </w:r>
          <w:r>
            <w:rPr>
              <w:rFonts w:hint="eastAsia" w:ascii="仿宋" w:hAnsi="仿宋" w:eastAsia="仿宋" w:cs="仿宋"/>
              <w:b/>
              <w:sz w:val="32"/>
              <w:szCs w:val="32"/>
            </w:rPr>
            <w:fldChar w:fldCharType="separate"/>
          </w:r>
          <w:r>
            <w:rPr>
              <w:rFonts w:hint="eastAsia" w:ascii="仿宋" w:hAnsi="仿宋" w:eastAsia="仿宋" w:cs="仿宋"/>
              <w:b/>
              <w:sz w:val="32"/>
              <w:szCs w:val="32"/>
              <w:highlight w:val="none"/>
              <w:lang w:val="en-US" w:eastAsia="zh-CN"/>
            </w:rPr>
            <w:t>附件3</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_Toc17167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50</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32"/>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_Toc25694 </w:instrText>
          </w:r>
          <w:r>
            <w:rPr>
              <w:rFonts w:hint="eastAsia" w:ascii="仿宋" w:hAnsi="仿宋" w:eastAsia="仿宋" w:cs="仿宋"/>
              <w:b/>
              <w:sz w:val="32"/>
              <w:szCs w:val="32"/>
            </w:rPr>
            <w:fldChar w:fldCharType="separate"/>
          </w:r>
          <w:r>
            <w:rPr>
              <w:rFonts w:hint="eastAsia" w:ascii="黑体" w:hAnsi="黑体" w:eastAsia="黑体" w:cs="黑体"/>
              <w:b w:val="0"/>
              <w:bCs/>
              <w:sz w:val="32"/>
              <w:szCs w:val="32"/>
            </w:rPr>
            <w:t>第五部分 附表</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_Toc25694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51</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_Toc5019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一、收</w:t>
          </w:r>
          <w:r>
            <w:rPr>
              <w:rFonts w:hint="eastAsia" w:ascii="仿宋" w:hAnsi="仿宋" w:eastAsia="仿宋" w:cs="仿宋"/>
              <w:bCs w:val="0"/>
              <w:sz w:val="32"/>
              <w:szCs w:val="32"/>
              <w:highlight w:val="none"/>
            </w:rPr>
            <w:t>入支出决算总表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_Toc5019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_Toc19794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二、收</w:t>
          </w:r>
          <w:r>
            <w:rPr>
              <w:rFonts w:hint="eastAsia" w:ascii="仿宋" w:hAnsi="仿宋" w:eastAsia="仿宋" w:cs="仿宋"/>
              <w:bCs w:val="0"/>
              <w:sz w:val="32"/>
              <w:szCs w:val="32"/>
              <w:highlight w:val="none"/>
            </w:rPr>
            <w:t>入决算表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_Toc19794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_Toc1814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三、</w:t>
          </w:r>
          <w:r>
            <w:rPr>
              <w:rFonts w:hint="eastAsia" w:ascii="仿宋" w:hAnsi="仿宋" w:eastAsia="仿宋" w:cs="仿宋"/>
              <w:sz w:val="32"/>
              <w:szCs w:val="32"/>
              <w:highlight w:val="none"/>
            </w:rPr>
            <w:t>支</w:t>
          </w:r>
          <w:r>
            <w:rPr>
              <w:rFonts w:hint="eastAsia" w:ascii="仿宋" w:hAnsi="仿宋" w:eastAsia="仿宋" w:cs="仿宋"/>
              <w:bCs w:val="0"/>
              <w:sz w:val="32"/>
              <w:szCs w:val="32"/>
              <w:highlight w:val="none"/>
            </w:rPr>
            <w:t>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_Toc1814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_Toc11652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四、</w:t>
          </w:r>
          <w:r>
            <w:rPr>
              <w:rFonts w:hint="eastAsia" w:ascii="仿宋" w:hAnsi="仿宋" w:eastAsia="仿宋" w:cs="仿宋"/>
              <w:sz w:val="32"/>
              <w:szCs w:val="32"/>
              <w:highlight w:val="none"/>
            </w:rPr>
            <w:t>财</w:t>
          </w:r>
          <w:r>
            <w:rPr>
              <w:rFonts w:hint="eastAsia" w:ascii="仿宋" w:hAnsi="仿宋" w:eastAsia="仿宋" w:cs="仿宋"/>
              <w:bCs w:val="0"/>
              <w:sz w:val="32"/>
              <w:szCs w:val="32"/>
              <w:highlight w:val="none"/>
            </w:rPr>
            <w:t>政拨款收入支出决算总表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_Toc11652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_Toc26044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五、</w:t>
          </w:r>
          <w:r>
            <w:rPr>
              <w:rFonts w:hint="eastAsia" w:ascii="仿宋" w:hAnsi="仿宋" w:eastAsia="仿宋" w:cs="仿宋"/>
              <w:sz w:val="32"/>
              <w:szCs w:val="32"/>
              <w:highlight w:val="none"/>
            </w:rPr>
            <w:t>财</w:t>
          </w:r>
          <w:r>
            <w:rPr>
              <w:rFonts w:hint="eastAsia" w:ascii="仿宋" w:hAnsi="仿宋" w:eastAsia="仿宋" w:cs="仿宋"/>
              <w:bCs w:val="0"/>
              <w:sz w:val="32"/>
              <w:szCs w:val="32"/>
              <w:highlight w:val="none"/>
            </w:rPr>
            <w:t>政拨款支出决算明细表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_Toc26044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_Toc1662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六、</w:t>
          </w:r>
          <w:r>
            <w:rPr>
              <w:rFonts w:hint="eastAsia" w:ascii="仿宋" w:hAnsi="仿宋" w:eastAsia="仿宋" w:cs="仿宋"/>
              <w:sz w:val="32"/>
              <w:szCs w:val="32"/>
              <w:highlight w:val="none"/>
            </w:rPr>
            <w:t>一</w:t>
          </w:r>
          <w:r>
            <w:rPr>
              <w:rFonts w:hint="eastAsia" w:ascii="仿宋" w:hAnsi="仿宋" w:eastAsia="仿宋" w:cs="仿宋"/>
              <w:bCs w:val="0"/>
              <w:sz w:val="32"/>
              <w:szCs w:val="32"/>
              <w:highlight w:val="none"/>
            </w:rPr>
            <w:t>般公共预算财政拨款支出决算表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_Toc1662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_Toc9260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七、</w:t>
          </w:r>
          <w:r>
            <w:rPr>
              <w:rFonts w:hint="eastAsia" w:ascii="仿宋" w:hAnsi="仿宋" w:eastAsia="仿宋" w:cs="仿宋"/>
              <w:sz w:val="32"/>
              <w:szCs w:val="32"/>
              <w:highlight w:val="none"/>
            </w:rPr>
            <w:t>一</w:t>
          </w:r>
          <w:r>
            <w:rPr>
              <w:rFonts w:hint="eastAsia" w:ascii="仿宋" w:hAnsi="仿宋" w:eastAsia="仿宋" w:cs="仿宋"/>
              <w:bCs w:val="0"/>
              <w:sz w:val="32"/>
              <w:szCs w:val="32"/>
              <w:highlight w:val="none"/>
            </w:rPr>
            <w:t>般公共预算财政拨款支出决算明细表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_Toc9260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_Toc30388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八、</w:t>
          </w:r>
          <w:r>
            <w:rPr>
              <w:rFonts w:hint="eastAsia" w:ascii="仿宋" w:hAnsi="仿宋" w:eastAsia="仿宋" w:cs="仿宋"/>
              <w:sz w:val="32"/>
              <w:szCs w:val="32"/>
              <w:highlight w:val="none"/>
            </w:rPr>
            <w:t>一</w:t>
          </w:r>
          <w:r>
            <w:rPr>
              <w:rFonts w:hint="eastAsia" w:ascii="仿宋" w:hAnsi="仿宋" w:eastAsia="仿宋" w:cs="仿宋"/>
              <w:bCs w:val="0"/>
              <w:sz w:val="32"/>
              <w:szCs w:val="32"/>
              <w:highlight w:val="none"/>
            </w:rPr>
            <w:t>般公共预算财政拨款基本支出决算表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_Toc30388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_Toc14865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九、</w:t>
          </w:r>
          <w:r>
            <w:rPr>
              <w:rFonts w:hint="eastAsia" w:ascii="仿宋" w:hAnsi="仿宋" w:eastAsia="仿宋" w:cs="仿宋"/>
              <w:sz w:val="32"/>
              <w:szCs w:val="32"/>
              <w:highlight w:val="none"/>
            </w:rPr>
            <w:t>一</w:t>
          </w:r>
          <w:r>
            <w:rPr>
              <w:rFonts w:hint="eastAsia" w:ascii="仿宋" w:hAnsi="仿宋" w:eastAsia="仿宋" w:cs="仿宋"/>
              <w:bCs w:val="0"/>
              <w:sz w:val="32"/>
              <w:szCs w:val="32"/>
              <w:highlight w:val="none"/>
            </w:rPr>
            <w:t>般公共预算财政拨款项目支出决算表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_Toc14865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_Toc17930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十、</w:t>
          </w:r>
          <w:r>
            <w:rPr>
              <w:rFonts w:hint="eastAsia" w:ascii="仿宋" w:hAnsi="仿宋" w:eastAsia="仿宋" w:cs="仿宋"/>
              <w:sz w:val="32"/>
              <w:szCs w:val="32"/>
              <w:highlight w:val="none"/>
            </w:rPr>
            <w:t>一</w:t>
          </w:r>
          <w:r>
            <w:rPr>
              <w:rFonts w:hint="eastAsia" w:ascii="仿宋" w:hAnsi="仿宋" w:eastAsia="仿宋" w:cs="仿宋"/>
              <w:bCs w:val="0"/>
              <w:sz w:val="32"/>
              <w:szCs w:val="32"/>
              <w:highlight w:val="none"/>
            </w:rPr>
            <w:t>般公共预算财政拨款“三公”经费支出决算表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_Toc17930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_Toc19228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十一、</w:t>
          </w:r>
          <w:r>
            <w:rPr>
              <w:rFonts w:hint="eastAsia" w:ascii="仿宋" w:hAnsi="仿宋" w:eastAsia="仿宋" w:cs="仿宋"/>
              <w:sz w:val="32"/>
              <w:szCs w:val="32"/>
              <w:highlight w:val="none"/>
            </w:rPr>
            <w:t>政</w:t>
          </w:r>
          <w:r>
            <w:rPr>
              <w:rFonts w:hint="eastAsia" w:ascii="仿宋" w:hAnsi="仿宋" w:eastAsia="仿宋" w:cs="仿宋"/>
              <w:bCs w:val="0"/>
              <w:sz w:val="32"/>
              <w:szCs w:val="32"/>
              <w:highlight w:val="none"/>
            </w:rPr>
            <w:t>府性基金预算财政拨款收入支出决算表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_Toc19228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_Toc32608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十二、</w:t>
          </w:r>
          <w:r>
            <w:rPr>
              <w:rFonts w:hint="eastAsia" w:ascii="仿宋" w:hAnsi="仿宋" w:eastAsia="仿宋" w:cs="仿宋"/>
              <w:sz w:val="32"/>
              <w:szCs w:val="32"/>
              <w:highlight w:val="none"/>
            </w:rPr>
            <w:t>政</w:t>
          </w:r>
          <w:r>
            <w:rPr>
              <w:rFonts w:hint="eastAsia" w:ascii="仿宋" w:hAnsi="仿宋" w:eastAsia="仿宋" w:cs="仿宋"/>
              <w:bCs w:val="0"/>
              <w:sz w:val="32"/>
              <w:szCs w:val="32"/>
              <w:highlight w:val="none"/>
            </w:rPr>
            <w:t>府性基金预算财政拨款“三公”经费支出决算表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_Toc32608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_Toc7384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rPr>
            <w:t>十三、</w:t>
          </w:r>
          <w:r>
            <w:rPr>
              <w:rFonts w:hint="eastAsia" w:ascii="仿宋" w:hAnsi="仿宋" w:eastAsia="仿宋" w:cs="仿宋"/>
              <w:sz w:val="32"/>
              <w:szCs w:val="32"/>
              <w:highlight w:val="none"/>
            </w:rPr>
            <w:t>国</w:t>
          </w:r>
          <w:r>
            <w:rPr>
              <w:rFonts w:hint="eastAsia" w:ascii="仿宋" w:hAnsi="仿宋" w:eastAsia="仿宋" w:cs="仿宋"/>
              <w:bCs w:val="0"/>
              <w:sz w:val="32"/>
              <w:szCs w:val="32"/>
              <w:highlight w:val="none"/>
            </w:rPr>
            <w:t>有资本经营预算</w:t>
          </w:r>
          <w:r>
            <w:rPr>
              <w:rFonts w:hint="eastAsia" w:ascii="仿宋" w:hAnsi="仿宋" w:eastAsia="仿宋" w:cs="仿宋"/>
              <w:bCs w:val="0"/>
              <w:sz w:val="32"/>
              <w:szCs w:val="32"/>
              <w:highlight w:val="none"/>
              <w:lang w:eastAsia="zh-CN"/>
            </w:rPr>
            <w:t>财政拨款收入</w:t>
          </w:r>
          <w:r>
            <w:rPr>
              <w:rFonts w:hint="eastAsia" w:ascii="仿宋" w:hAnsi="仿宋" w:eastAsia="仿宋" w:cs="仿宋"/>
              <w:bCs w:val="0"/>
              <w:sz w:val="32"/>
              <w:szCs w:val="32"/>
              <w:highlight w:val="none"/>
            </w:rPr>
            <w:t>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_Toc7384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val="0"/>
            <w:tabs>
              <w:tab w:val="right" w:leader="dot" w:pos="8845"/>
            </w:tabs>
            <w:kinsoku/>
            <w:wordWrap/>
            <w:overflowPunct/>
            <w:topLinePunct w:val="0"/>
            <w:autoSpaceDE/>
            <w:autoSpaceDN/>
            <w:bidi w:val="0"/>
            <w:adjustRightInd/>
            <w:snapToGrid w:val="0"/>
            <w:spacing w:line="540" w:lineRule="exact"/>
            <w:textAlignment w:val="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_Toc18325 </w:instrText>
          </w:r>
          <w:r>
            <w:rPr>
              <w:rFonts w:hint="eastAsia" w:ascii="仿宋" w:hAnsi="仿宋" w:eastAsia="仿宋" w:cs="仿宋"/>
              <w:sz w:val="32"/>
              <w:szCs w:val="32"/>
            </w:rPr>
            <w:fldChar w:fldCharType="separate"/>
          </w:r>
          <w:r>
            <w:rPr>
              <w:rFonts w:hint="eastAsia" w:ascii="仿宋" w:hAnsi="仿宋" w:eastAsia="仿宋" w:cs="仿宋"/>
              <w:bCs w:val="0"/>
              <w:sz w:val="32"/>
              <w:szCs w:val="32"/>
              <w:highlight w:val="none"/>
              <w:lang w:eastAsia="zh-CN"/>
            </w:rPr>
            <w:t>十四、国有资本经营预算财政拨款支出决算表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_Toc18325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r>
            <w:rPr>
              <w:b/>
            </w:rPr>
            <w:fldChar w:fldCharType="end"/>
          </w:r>
        </w:p>
      </w:sdtContent>
    </w:sdt>
    <w:p>
      <w:pPr>
        <w:pStyle w:val="11"/>
        <w:keepNext w:val="0"/>
        <w:keepLines w:val="0"/>
        <w:pageBreakBefore w:val="0"/>
        <w:kinsoku/>
        <w:wordWrap/>
        <w:overflowPunct/>
        <w:topLinePunct w:val="0"/>
        <w:autoSpaceDE/>
        <w:autoSpaceDN/>
        <w:bidi w:val="0"/>
        <w:adjustRightInd w:val="0"/>
        <w:snapToGrid w:val="0"/>
        <w:spacing w:line="520" w:lineRule="exact"/>
        <w:ind w:firstLine="722" w:firstLineChars="300"/>
        <w:jc w:val="left"/>
        <w:textAlignment w:val="auto"/>
        <w:outlineLvl w:val="9"/>
        <w:rPr>
          <w:rFonts w:ascii="仿宋" w:hAnsi="仿宋" w:eastAsia="仿宋"/>
          <w:b/>
          <w:color w:val="auto"/>
          <w:sz w:val="24"/>
          <w:highlight w:val="none"/>
        </w:rPr>
      </w:pPr>
      <w:r>
        <w:rPr>
          <w:rFonts w:ascii="仿宋" w:hAnsi="仿宋" w:eastAsia="仿宋"/>
          <w:b/>
          <w:color w:val="auto"/>
          <w:sz w:val="24"/>
          <w:highlight w:val="none"/>
        </w:rPr>
        <w:br w:type="page"/>
      </w:r>
    </w:p>
    <w:p>
      <w:pPr>
        <w:pStyle w:val="2"/>
        <w:jc w:val="center"/>
        <w:outlineLvl w:val="0"/>
        <w:rPr>
          <w:rStyle w:val="25"/>
          <w:rFonts w:ascii="黑体" w:hAnsi="黑体" w:eastAsia="黑体"/>
          <w:b/>
          <w:bCs w:val="0"/>
          <w:color w:val="auto"/>
          <w:highlight w:val="none"/>
        </w:rPr>
      </w:pPr>
      <w:bookmarkStart w:id="7" w:name="_Toc10883"/>
      <w:bookmarkStart w:id="125" w:name="_GoBack"/>
      <w:bookmarkEnd w:id="125"/>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0"/>
      <w:bookmarkEnd w:id="1"/>
      <w:bookmarkEnd w:id="7"/>
    </w:p>
    <w:p>
      <w:pPr>
        <w:pStyle w:val="4"/>
        <w:pageBreakBefore w:val="0"/>
        <w:widowControl w:val="0"/>
        <w:numPr>
          <w:ilvl w:val="0"/>
          <w:numId w:val="0"/>
        </w:numPr>
        <w:kinsoku/>
        <w:wordWrap/>
        <w:overflowPunct/>
        <w:topLinePunct w:val="0"/>
        <w:autoSpaceDE/>
        <w:autoSpaceDN/>
        <w:bidi w:val="0"/>
        <w:adjustRightInd/>
        <w:snapToGrid w:val="0"/>
        <w:spacing w:before="0" w:after="0" w:line="560" w:lineRule="exact"/>
        <w:ind w:firstLine="640" w:firstLineChars="200"/>
        <w:jc w:val="both"/>
        <w:textAlignment w:val="auto"/>
        <w:outlineLvl w:val="1"/>
        <w:rPr>
          <w:rStyle w:val="26"/>
          <w:rFonts w:hint="eastAsia" w:ascii="黑体" w:hAnsi="黑体" w:eastAsia="黑体"/>
          <w:b w:val="0"/>
          <w:bCs w:val="0"/>
          <w:color w:val="auto"/>
          <w:highlight w:val="none"/>
          <w:lang w:eastAsia="zh-CN"/>
        </w:rPr>
      </w:pPr>
      <w:bookmarkStart w:id="8" w:name="_Toc25654"/>
      <w:bookmarkStart w:id="9" w:name="_Toc15396600"/>
      <w:bookmarkStart w:id="10" w:name="_Toc15377197"/>
      <w:r>
        <w:rPr>
          <w:rStyle w:val="26"/>
          <w:rFonts w:hint="eastAsia" w:ascii="黑体" w:hAnsi="黑体" w:eastAsia="黑体"/>
          <w:b w:val="0"/>
          <w:bCs w:val="0"/>
          <w:color w:val="auto"/>
          <w:highlight w:val="none"/>
          <w:lang w:eastAsia="zh-CN"/>
        </w:rPr>
        <w:t>一、</w:t>
      </w:r>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bookmarkEnd w:id="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（一）贯彻执行党和国家关于教育改革和发展的各项方针、政策，拟订全区教育事业发展规划和有关教育的规范性文件并组织实施；指导协调全区学校的教育、教学体制改革。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二）负责教育系统教育经费的统筹管理，参与拟订筹措教育经费、教育拨款、教育基建投资办法和方案；监督教育经费的筹措和使用；宣传贯彻执行国家和省市有关学生资助工作方针和政策，统筹管理全区贫困家庭学生资助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三）负责推进义务教育均衡发展和促进教育公平，负责义务教育的宏观指导与协调；指导普通高中教育、幼儿教育、特殊教育工作，全面实施素质教育；督促检查全区各类学校的办学标准、教学基本要求、教学基本条件的落实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（四）指导全区的教育督导工作；组织指导对基础教育发展水平、质量的监测工作。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（五）统筹管理和协调全区社会力量办学的教育工作。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（六）指导全区学校的依法治校、安全、综合治理、档案、保密、计划生育工作。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（七）统筹管理和协调全区学校体育、卫生与艺术教育工作。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（八）指导全区教育系统人事制度改革工作，推行和实施校长、教师聘任制。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九）主管全区教师工作；组织实施各级各类教师资格证书制度；统筹规划学校教师和管理人员队伍建设；负责全区中小学（含幼儿园）校（园）长、教师的继续教育和课程改革新教材的培训工作；会同有关部门负责全区中小学教师专业技术职务评审工作；指导全区教育系统人才队伍建设。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（十）统筹管理各类学历教育的招生考试工作，会同有关部门编制并监督实施成人高校、中等职业学校和普通高中的招生计划，组织协调招生管理工作；指导大中专学校开展就业创业工作。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（十一）负责中等职业学校和专业的设置、合并、撤销的组织论证和申报指导工作；负责社会力量举办各级各类学校及教育机构的申报、评估、审批（备案）和管理工作。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（十二）指导和管理教育系统的科学研究工作，组织、协调高、中等职业学校、成人教育学校的科技开发、科研成果转化和教育兴农工作。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（十三）组织指导教育方面的对外交流与合作、对外宣传。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（十四）指导、协调各级各类学校后勤保障、信息化建设以及教学仪器设备和图书资料装备工作；指导、管理教育信息统计、分析和发布；指导有关的教育学会、协会工作。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（十五）贯彻执行国家语言文字工作的方针、政策，编制语言文字工作中长期规划；组织协调语言文字的规范和标准的监督检查；指导和组织推广普通话、推行规范汉字；开展普通话培训和测试工作。</w:t>
      </w:r>
    </w:p>
    <w:p>
      <w:pPr>
        <w:pStyle w:val="4"/>
        <w:snapToGrid w:val="0"/>
        <w:spacing w:before="0" w:after="0" w:line="560" w:lineRule="exact"/>
        <w:ind w:firstLine="640" w:firstLineChars="200"/>
        <w:rPr>
          <w:rFonts w:hint="default" w:ascii="黑体" w:hAnsi="黑体" w:eastAsia="黑体"/>
          <w:b w:val="0"/>
          <w:bCs w:val="0"/>
          <w:color w:val="auto"/>
          <w:lang w:val="en-US" w:eastAsia="zh-CN"/>
        </w:rPr>
      </w:pPr>
      <w:r>
        <w:rPr>
          <w:rFonts w:hint="eastAsia" w:ascii="黑体" w:hAnsi="黑体" w:eastAsia="黑体"/>
          <w:b w:val="0"/>
          <w:bCs w:val="0"/>
          <w:color w:val="auto"/>
        </w:rPr>
        <w:t>二、</w:t>
      </w:r>
      <w:r>
        <w:rPr>
          <w:rFonts w:hint="eastAsia" w:ascii="黑体" w:hAnsi="黑体" w:eastAsia="黑体"/>
          <w:b w:val="0"/>
          <w:bCs w:val="0"/>
          <w:color w:val="auto"/>
          <w:lang w:val="en-US" w:eastAsia="zh-CN"/>
        </w:rPr>
        <w:t>机构设置</w:t>
      </w:r>
    </w:p>
    <w:p>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广元市利州区教育局办公室为广元市利州区教育局下属二级预算单位。总编制92名，其中行政编制16名,其他事业编制75名,机关工勤编制1名。在职人员总数60人，其中：行政人员14人，机关工勤2人，其他事业人员44人；离休人员1人，退休人员37人。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末</w:t>
      </w:r>
      <w:r>
        <w:rPr>
          <w:rFonts w:hint="eastAsia" w:ascii="仿宋" w:hAnsi="仿宋" w:eastAsia="仿宋" w:cs="仿宋"/>
          <w:sz w:val="32"/>
          <w:szCs w:val="32"/>
        </w:rPr>
        <w:t>固定资产总额</w:t>
      </w:r>
      <w:r>
        <w:rPr>
          <w:rFonts w:hint="eastAsia" w:ascii="仿宋" w:hAnsi="仿宋" w:eastAsia="仿宋" w:cs="仿宋"/>
          <w:sz w:val="32"/>
          <w:szCs w:val="32"/>
          <w:lang w:val="en-US" w:eastAsia="zh-CN"/>
        </w:rPr>
        <w:t>1027.27</w:t>
      </w:r>
      <w:r>
        <w:rPr>
          <w:rFonts w:hint="eastAsia" w:ascii="仿宋" w:hAnsi="仿宋" w:eastAsia="仿宋" w:cs="仿宋"/>
          <w:sz w:val="32"/>
          <w:szCs w:val="32"/>
        </w:rPr>
        <w:t>万元。</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广元市利州区教育局（本级）共有5个独立编制机构，其中</w:t>
      </w:r>
      <w:r>
        <w:rPr>
          <w:rFonts w:hint="eastAsia" w:ascii="仿宋" w:hAnsi="仿宋" w:eastAsia="仿宋"/>
          <w:sz w:val="32"/>
          <w:szCs w:val="32"/>
        </w:rPr>
        <w:t>独立核算</w:t>
      </w:r>
      <w:r>
        <w:rPr>
          <w:rFonts w:hint="eastAsia" w:ascii="仿宋" w:hAnsi="仿宋" w:eastAsia="仿宋"/>
          <w:sz w:val="32"/>
          <w:szCs w:val="32"/>
          <w:lang w:val="en-US" w:eastAsia="zh-CN"/>
        </w:rPr>
        <w:t>机构</w:t>
      </w:r>
      <w:r>
        <w:rPr>
          <w:rFonts w:hint="eastAsia" w:ascii="宋体" w:hAnsi="宋体" w:eastAsia="仿宋" w:cs="宋体"/>
          <w:sz w:val="32"/>
          <w:szCs w:val="32"/>
          <w:lang w:val="en-US" w:eastAsia="zh-CN"/>
        </w:rPr>
        <w:t>1</w:t>
      </w:r>
      <w:r>
        <w:rPr>
          <w:rFonts w:hint="eastAsia" w:ascii="仿宋" w:hAnsi="仿宋" w:eastAsia="仿宋"/>
          <w:sz w:val="32"/>
          <w:szCs w:val="32"/>
        </w:rPr>
        <w:t>个，与上年相比无变化，分别是局机关本级、广元市利州区中小学教研室、广元市利州区电教教仪站</w:t>
      </w:r>
      <w:r>
        <w:rPr>
          <w:rFonts w:hint="eastAsia" w:ascii="仿宋" w:hAnsi="仿宋" w:eastAsia="仿宋"/>
          <w:sz w:val="32"/>
          <w:szCs w:val="32"/>
          <w:lang w:eastAsia="zh-CN"/>
        </w:rPr>
        <w:t>、</w:t>
      </w:r>
      <w:r>
        <w:rPr>
          <w:rFonts w:hint="eastAsia" w:ascii="仿宋" w:hAnsi="仿宋" w:eastAsia="仿宋"/>
          <w:sz w:val="32"/>
          <w:szCs w:val="32"/>
          <w:lang w:val="en-US" w:eastAsia="zh-CN"/>
        </w:rPr>
        <w:t>广元市利州区教师培训中心（教师管理中心）、广元市利州区教育系统考试服务中心</w:t>
      </w:r>
      <w:r>
        <w:rPr>
          <w:rFonts w:hint="eastAsia" w:ascii="仿宋" w:hAnsi="仿宋" w:eastAsia="仿宋"/>
          <w:sz w:val="32"/>
          <w:szCs w:val="32"/>
        </w:rPr>
        <w:t>。</w:t>
      </w:r>
    </w:p>
    <w:tbl>
      <w:tblPr>
        <w:tblStyle w:val="13"/>
        <w:tblW w:w="9057" w:type="dxa"/>
        <w:tblCellSpacing w:w="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538"/>
        <w:gridCol w:w="2539"/>
        <w:gridCol w:w="1355"/>
        <w:gridCol w:w="135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blCellSpacing w:w="11" w:type="dxa"/>
        </w:trPr>
        <w:tc>
          <w:tcPr>
            <w:tcW w:w="559" w:type="dxa"/>
            <w:noWrap w:val="0"/>
            <w:vAlign w:val="center"/>
          </w:tcPr>
          <w:p>
            <w:pPr>
              <w:jc w:val="center"/>
              <w:rPr>
                <w:rFonts w:hint="eastAsia" w:ascii="仿宋" w:hAnsi="仿宋" w:eastAsia="仿宋"/>
                <w:sz w:val="26"/>
                <w:szCs w:val="26"/>
              </w:rPr>
            </w:pPr>
            <w:r>
              <w:rPr>
                <w:rFonts w:hint="eastAsia" w:ascii="仿宋" w:hAnsi="仿宋" w:eastAsia="仿宋"/>
                <w:sz w:val="26"/>
                <w:szCs w:val="26"/>
              </w:rPr>
              <w:t>序号</w:t>
            </w:r>
          </w:p>
        </w:tc>
        <w:tc>
          <w:tcPr>
            <w:tcW w:w="2516" w:type="dxa"/>
            <w:noWrap w:val="0"/>
            <w:vAlign w:val="center"/>
          </w:tcPr>
          <w:p>
            <w:pPr>
              <w:jc w:val="center"/>
              <w:rPr>
                <w:rFonts w:hint="eastAsia" w:ascii="仿宋" w:hAnsi="仿宋" w:eastAsia="仿宋"/>
                <w:sz w:val="26"/>
                <w:szCs w:val="26"/>
              </w:rPr>
            </w:pPr>
            <w:r>
              <w:rPr>
                <w:rFonts w:hint="eastAsia" w:ascii="仿宋" w:hAnsi="仿宋" w:eastAsia="仿宋"/>
                <w:sz w:val="26"/>
                <w:szCs w:val="26"/>
              </w:rPr>
              <w:t>单位名称</w:t>
            </w:r>
          </w:p>
        </w:tc>
        <w:tc>
          <w:tcPr>
            <w:tcW w:w="2517" w:type="dxa"/>
            <w:noWrap w:val="0"/>
            <w:vAlign w:val="center"/>
          </w:tcPr>
          <w:p>
            <w:pPr>
              <w:jc w:val="center"/>
              <w:rPr>
                <w:rFonts w:hint="eastAsia" w:ascii="仿宋" w:hAnsi="仿宋" w:eastAsia="仿宋"/>
                <w:sz w:val="26"/>
                <w:szCs w:val="26"/>
              </w:rPr>
            </w:pPr>
            <w:r>
              <w:rPr>
                <w:rFonts w:hint="eastAsia" w:ascii="仿宋" w:hAnsi="仿宋" w:eastAsia="仿宋"/>
                <w:sz w:val="26"/>
                <w:szCs w:val="26"/>
              </w:rPr>
              <w:t>单位性质</w:t>
            </w:r>
          </w:p>
        </w:tc>
        <w:tc>
          <w:tcPr>
            <w:tcW w:w="1333" w:type="dxa"/>
            <w:noWrap w:val="0"/>
            <w:vAlign w:val="center"/>
          </w:tcPr>
          <w:p>
            <w:pPr>
              <w:jc w:val="center"/>
              <w:rPr>
                <w:rFonts w:hint="eastAsia" w:ascii="仿宋" w:hAnsi="仿宋" w:eastAsia="仿宋"/>
                <w:sz w:val="26"/>
                <w:szCs w:val="26"/>
              </w:rPr>
            </w:pPr>
            <w:r>
              <w:rPr>
                <w:rFonts w:hint="eastAsia" w:ascii="仿宋" w:hAnsi="仿宋" w:eastAsia="仿宋"/>
                <w:sz w:val="26"/>
                <w:szCs w:val="26"/>
              </w:rPr>
              <w:t>是否独立编制机构</w:t>
            </w:r>
          </w:p>
        </w:tc>
        <w:tc>
          <w:tcPr>
            <w:tcW w:w="1333" w:type="dxa"/>
            <w:noWrap w:val="0"/>
            <w:vAlign w:val="center"/>
          </w:tcPr>
          <w:p>
            <w:pPr>
              <w:jc w:val="center"/>
              <w:rPr>
                <w:rFonts w:hint="eastAsia" w:ascii="仿宋" w:hAnsi="仿宋" w:eastAsia="仿宋"/>
                <w:sz w:val="26"/>
                <w:szCs w:val="26"/>
              </w:rPr>
            </w:pPr>
            <w:r>
              <w:rPr>
                <w:rFonts w:hint="eastAsia" w:ascii="仿宋" w:hAnsi="仿宋" w:eastAsia="仿宋"/>
                <w:sz w:val="26"/>
                <w:szCs w:val="26"/>
              </w:rPr>
              <w:t>是否独立核算机构</w:t>
            </w:r>
          </w:p>
        </w:tc>
        <w:tc>
          <w:tcPr>
            <w:tcW w:w="645" w:type="dxa"/>
            <w:noWrap w:val="0"/>
            <w:vAlign w:val="center"/>
          </w:tcPr>
          <w:p>
            <w:pPr>
              <w:jc w:val="center"/>
              <w:rPr>
                <w:rFonts w:hint="eastAsia" w:ascii="仿宋" w:hAnsi="仿宋" w:eastAsia="仿宋"/>
                <w:sz w:val="26"/>
                <w:szCs w:val="26"/>
              </w:rPr>
            </w:pPr>
            <w:r>
              <w:rPr>
                <w:rFonts w:hint="eastAsia" w:ascii="仿宋" w:hAnsi="仿宋" w:eastAsia="仿宋"/>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CellSpacing w:w="11" w:type="dxa"/>
        </w:trPr>
        <w:tc>
          <w:tcPr>
            <w:tcW w:w="559" w:type="dxa"/>
            <w:noWrap w:val="0"/>
            <w:vAlign w:val="center"/>
          </w:tcPr>
          <w:p>
            <w:pPr>
              <w:jc w:val="center"/>
              <w:rPr>
                <w:rFonts w:hint="eastAsia" w:ascii="仿宋" w:hAnsi="仿宋" w:eastAsia="仿宋"/>
                <w:sz w:val="26"/>
                <w:szCs w:val="26"/>
              </w:rPr>
            </w:pPr>
            <w:r>
              <w:rPr>
                <w:rFonts w:hint="eastAsia" w:ascii="仿宋" w:hAnsi="仿宋" w:eastAsia="仿宋"/>
                <w:sz w:val="26"/>
                <w:szCs w:val="26"/>
              </w:rPr>
              <w:t>1</w:t>
            </w:r>
          </w:p>
        </w:tc>
        <w:tc>
          <w:tcPr>
            <w:tcW w:w="2516" w:type="dxa"/>
            <w:noWrap w:val="0"/>
            <w:vAlign w:val="center"/>
          </w:tcPr>
          <w:p>
            <w:pPr>
              <w:jc w:val="center"/>
              <w:rPr>
                <w:rFonts w:hint="eastAsia" w:ascii="仿宋" w:hAnsi="仿宋" w:eastAsia="仿宋"/>
                <w:sz w:val="26"/>
                <w:szCs w:val="26"/>
                <w:lang w:val="en-US" w:eastAsia="zh-CN"/>
              </w:rPr>
            </w:pPr>
            <w:r>
              <w:rPr>
                <w:rFonts w:hint="eastAsia" w:ascii="仿宋" w:hAnsi="仿宋" w:eastAsia="仿宋"/>
                <w:sz w:val="26"/>
                <w:szCs w:val="26"/>
                <w:lang w:val="en-US" w:eastAsia="zh-CN"/>
              </w:rPr>
              <w:t>区教育局（本级）</w:t>
            </w:r>
          </w:p>
        </w:tc>
        <w:tc>
          <w:tcPr>
            <w:tcW w:w="2517" w:type="dxa"/>
            <w:noWrap w:val="0"/>
            <w:vAlign w:val="center"/>
          </w:tcPr>
          <w:p>
            <w:pPr>
              <w:jc w:val="center"/>
              <w:rPr>
                <w:rFonts w:hint="default" w:ascii="仿宋" w:hAnsi="仿宋" w:eastAsia="仿宋"/>
                <w:sz w:val="26"/>
                <w:szCs w:val="26"/>
                <w:lang w:val="en-US" w:eastAsia="zh-CN"/>
              </w:rPr>
            </w:pPr>
            <w:r>
              <w:rPr>
                <w:rFonts w:hint="eastAsia" w:ascii="仿宋" w:hAnsi="仿宋" w:eastAsia="仿宋"/>
                <w:sz w:val="26"/>
                <w:szCs w:val="26"/>
                <w:lang w:val="en-US" w:eastAsia="zh-CN"/>
              </w:rPr>
              <w:t>行政机关</w:t>
            </w:r>
          </w:p>
        </w:tc>
        <w:tc>
          <w:tcPr>
            <w:tcW w:w="1333" w:type="dxa"/>
            <w:noWrap w:val="0"/>
            <w:vAlign w:val="center"/>
          </w:tcPr>
          <w:p>
            <w:pPr>
              <w:jc w:val="center"/>
              <w:rPr>
                <w:rFonts w:hint="eastAsia" w:ascii="仿宋" w:hAnsi="仿宋" w:eastAsia="仿宋"/>
                <w:sz w:val="26"/>
                <w:szCs w:val="26"/>
                <w:lang w:val="en-US" w:eastAsia="zh-CN"/>
              </w:rPr>
            </w:pPr>
            <w:r>
              <w:rPr>
                <w:rFonts w:hint="eastAsia" w:ascii="仿宋" w:hAnsi="仿宋" w:eastAsia="仿宋"/>
                <w:sz w:val="26"/>
                <w:szCs w:val="26"/>
                <w:lang w:val="en-US" w:eastAsia="zh-CN"/>
              </w:rPr>
              <w:t>是</w:t>
            </w:r>
          </w:p>
        </w:tc>
        <w:tc>
          <w:tcPr>
            <w:tcW w:w="1333" w:type="dxa"/>
            <w:noWrap w:val="0"/>
            <w:vAlign w:val="center"/>
          </w:tcPr>
          <w:p>
            <w:pPr>
              <w:jc w:val="center"/>
              <w:rPr>
                <w:rFonts w:hint="eastAsia" w:ascii="仿宋" w:hAnsi="仿宋" w:eastAsia="仿宋"/>
                <w:sz w:val="26"/>
                <w:szCs w:val="26"/>
                <w:lang w:val="en-US" w:eastAsia="zh-CN"/>
              </w:rPr>
            </w:pPr>
            <w:r>
              <w:rPr>
                <w:rFonts w:hint="eastAsia" w:ascii="仿宋" w:hAnsi="仿宋" w:eastAsia="仿宋"/>
                <w:sz w:val="26"/>
                <w:szCs w:val="26"/>
                <w:lang w:val="en-US" w:eastAsia="zh-CN"/>
              </w:rPr>
              <w:t>是</w:t>
            </w:r>
          </w:p>
        </w:tc>
        <w:tc>
          <w:tcPr>
            <w:tcW w:w="645" w:type="dxa"/>
            <w:noWrap w:val="0"/>
            <w:vAlign w:val="center"/>
          </w:tcPr>
          <w:p>
            <w:pPr>
              <w:jc w:val="center"/>
              <w:rPr>
                <w:rFonts w:hint="eastAsia" w:ascii="仿宋" w:hAnsi="仿宋"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CellSpacing w:w="11" w:type="dxa"/>
        </w:trPr>
        <w:tc>
          <w:tcPr>
            <w:tcW w:w="559" w:type="dxa"/>
            <w:noWrap w:val="0"/>
            <w:vAlign w:val="center"/>
          </w:tcPr>
          <w:p>
            <w:pPr>
              <w:jc w:val="center"/>
              <w:rPr>
                <w:rFonts w:hint="eastAsia" w:ascii="仿宋" w:hAnsi="仿宋" w:eastAsia="仿宋"/>
                <w:sz w:val="26"/>
                <w:szCs w:val="26"/>
              </w:rPr>
            </w:pPr>
            <w:r>
              <w:rPr>
                <w:rFonts w:hint="eastAsia" w:ascii="仿宋" w:hAnsi="仿宋" w:eastAsia="仿宋"/>
                <w:sz w:val="26"/>
                <w:szCs w:val="26"/>
              </w:rPr>
              <w:t>2</w:t>
            </w:r>
          </w:p>
        </w:tc>
        <w:tc>
          <w:tcPr>
            <w:tcW w:w="2516"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区中小学教研室</w:t>
            </w:r>
          </w:p>
        </w:tc>
        <w:tc>
          <w:tcPr>
            <w:tcW w:w="2517"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财政补助事业单位</w:t>
            </w:r>
          </w:p>
        </w:tc>
        <w:tc>
          <w:tcPr>
            <w:tcW w:w="1333"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是</w:t>
            </w:r>
          </w:p>
        </w:tc>
        <w:tc>
          <w:tcPr>
            <w:tcW w:w="1333"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否</w:t>
            </w:r>
          </w:p>
        </w:tc>
        <w:tc>
          <w:tcPr>
            <w:tcW w:w="645" w:type="dxa"/>
            <w:noWrap w:val="0"/>
            <w:vAlign w:val="center"/>
          </w:tcPr>
          <w:p>
            <w:pPr>
              <w:jc w:val="center"/>
              <w:rPr>
                <w:rFonts w:hint="eastAsia" w:ascii="仿宋" w:hAnsi="仿宋"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CellSpacing w:w="11" w:type="dxa"/>
        </w:trPr>
        <w:tc>
          <w:tcPr>
            <w:tcW w:w="559" w:type="dxa"/>
            <w:noWrap w:val="0"/>
            <w:vAlign w:val="center"/>
          </w:tcPr>
          <w:p>
            <w:pPr>
              <w:jc w:val="center"/>
              <w:rPr>
                <w:rFonts w:hint="eastAsia" w:ascii="仿宋" w:hAnsi="仿宋" w:eastAsia="仿宋"/>
                <w:sz w:val="26"/>
                <w:szCs w:val="26"/>
              </w:rPr>
            </w:pPr>
            <w:r>
              <w:rPr>
                <w:rFonts w:hint="eastAsia" w:ascii="仿宋" w:hAnsi="仿宋" w:eastAsia="仿宋"/>
                <w:sz w:val="26"/>
                <w:szCs w:val="26"/>
              </w:rPr>
              <w:t>3</w:t>
            </w:r>
          </w:p>
        </w:tc>
        <w:tc>
          <w:tcPr>
            <w:tcW w:w="2516"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区电教教仪站</w:t>
            </w:r>
          </w:p>
        </w:tc>
        <w:tc>
          <w:tcPr>
            <w:tcW w:w="2517" w:type="dxa"/>
            <w:noWrap w:val="0"/>
            <w:vAlign w:val="center"/>
          </w:tcPr>
          <w:p>
            <w:pPr>
              <w:jc w:val="center"/>
              <w:rPr>
                <w:rFonts w:ascii="Calibri" w:hAnsi="Calibri" w:eastAsia="宋体" w:cs="Calibri"/>
                <w:kern w:val="2"/>
                <w:sz w:val="26"/>
                <w:szCs w:val="26"/>
                <w:lang w:val="en-US" w:eastAsia="zh-CN" w:bidi="ar-SA"/>
              </w:rPr>
            </w:pPr>
            <w:r>
              <w:rPr>
                <w:rFonts w:hint="eastAsia" w:ascii="仿宋" w:hAnsi="仿宋" w:eastAsia="仿宋"/>
                <w:sz w:val="26"/>
                <w:szCs w:val="26"/>
              </w:rPr>
              <w:t>财政补助事业单位</w:t>
            </w:r>
          </w:p>
        </w:tc>
        <w:tc>
          <w:tcPr>
            <w:tcW w:w="1333"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是</w:t>
            </w:r>
          </w:p>
        </w:tc>
        <w:tc>
          <w:tcPr>
            <w:tcW w:w="1333"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否</w:t>
            </w:r>
          </w:p>
        </w:tc>
        <w:tc>
          <w:tcPr>
            <w:tcW w:w="645" w:type="dxa"/>
            <w:noWrap w:val="0"/>
            <w:vAlign w:val="center"/>
          </w:tcPr>
          <w:p>
            <w:pPr>
              <w:jc w:val="center"/>
              <w:rPr>
                <w:rFonts w:hint="eastAsia" w:ascii="仿宋" w:hAnsi="仿宋"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CellSpacing w:w="11" w:type="dxa"/>
        </w:trPr>
        <w:tc>
          <w:tcPr>
            <w:tcW w:w="559" w:type="dxa"/>
            <w:noWrap w:val="0"/>
            <w:vAlign w:val="center"/>
          </w:tcPr>
          <w:p>
            <w:pPr>
              <w:jc w:val="center"/>
              <w:rPr>
                <w:rFonts w:hint="eastAsia" w:ascii="仿宋" w:hAnsi="仿宋" w:eastAsia="仿宋"/>
                <w:sz w:val="26"/>
                <w:szCs w:val="26"/>
              </w:rPr>
            </w:pPr>
            <w:r>
              <w:rPr>
                <w:rFonts w:hint="eastAsia" w:ascii="仿宋" w:hAnsi="仿宋" w:eastAsia="仿宋"/>
                <w:sz w:val="26"/>
                <w:szCs w:val="26"/>
              </w:rPr>
              <w:t>4</w:t>
            </w:r>
          </w:p>
        </w:tc>
        <w:tc>
          <w:tcPr>
            <w:tcW w:w="2516"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区教师</w:t>
            </w:r>
            <w:r>
              <w:rPr>
                <w:rFonts w:hint="eastAsia" w:ascii="仿宋" w:hAnsi="仿宋" w:eastAsia="仿宋"/>
                <w:sz w:val="26"/>
                <w:szCs w:val="26"/>
                <w:lang w:val="en-US" w:eastAsia="zh-CN"/>
              </w:rPr>
              <w:t>管理</w:t>
            </w:r>
            <w:r>
              <w:rPr>
                <w:rFonts w:hint="eastAsia" w:ascii="仿宋" w:hAnsi="仿宋" w:eastAsia="仿宋"/>
                <w:sz w:val="26"/>
                <w:szCs w:val="26"/>
              </w:rPr>
              <w:t>中心</w:t>
            </w:r>
          </w:p>
        </w:tc>
        <w:tc>
          <w:tcPr>
            <w:tcW w:w="2517" w:type="dxa"/>
            <w:noWrap w:val="0"/>
            <w:vAlign w:val="center"/>
          </w:tcPr>
          <w:p>
            <w:pPr>
              <w:jc w:val="center"/>
              <w:rPr>
                <w:rFonts w:ascii="Calibri" w:hAnsi="Calibri" w:eastAsia="宋体" w:cs="Calibri"/>
                <w:kern w:val="2"/>
                <w:sz w:val="26"/>
                <w:szCs w:val="26"/>
                <w:lang w:val="en-US" w:eastAsia="zh-CN" w:bidi="ar-SA"/>
              </w:rPr>
            </w:pPr>
            <w:r>
              <w:rPr>
                <w:rFonts w:hint="eastAsia" w:ascii="仿宋" w:hAnsi="仿宋" w:eastAsia="仿宋"/>
                <w:sz w:val="26"/>
                <w:szCs w:val="26"/>
              </w:rPr>
              <w:t>财政补助事业单位</w:t>
            </w:r>
          </w:p>
        </w:tc>
        <w:tc>
          <w:tcPr>
            <w:tcW w:w="1333"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是</w:t>
            </w:r>
          </w:p>
        </w:tc>
        <w:tc>
          <w:tcPr>
            <w:tcW w:w="1333"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否</w:t>
            </w:r>
          </w:p>
        </w:tc>
        <w:tc>
          <w:tcPr>
            <w:tcW w:w="645" w:type="dxa"/>
            <w:noWrap w:val="0"/>
            <w:vAlign w:val="center"/>
          </w:tcPr>
          <w:p>
            <w:pPr>
              <w:jc w:val="center"/>
              <w:rPr>
                <w:rFonts w:hint="eastAsia" w:ascii="仿宋" w:hAnsi="仿宋"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blCellSpacing w:w="11" w:type="dxa"/>
        </w:trPr>
        <w:tc>
          <w:tcPr>
            <w:tcW w:w="559" w:type="dxa"/>
            <w:noWrap w:val="0"/>
            <w:vAlign w:val="center"/>
          </w:tcPr>
          <w:p>
            <w:pPr>
              <w:jc w:val="center"/>
              <w:rPr>
                <w:rFonts w:hint="eastAsia" w:ascii="仿宋" w:hAnsi="仿宋" w:eastAsia="仿宋"/>
                <w:sz w:val="26"/>
                <w:szCs w:val="26"/>
                <w:lang w:val="en-US" w:eastAsia="zh-CN"/>
              </w:rPr>
            </w:pPr>
            <w:r>
              <w:rPr>
                <w:rFonts w:hint="eastAsia" w:ascii="仿宋" w:hAnsi="仿宋" w:eastAsia="仿宋"/>
                <w:sz w:val="26"/>
                <w:szCs w:val="26"/>
                <w:lang w:val="en-US" w:eastAsia="zh-CN"/>
              </w:rPr>
              <w:t>5</w:t>
            </w:r>
          </w:p>
        </w:tc>
        <w:tc>
          <w:tcPr>
            <w:tcW w:w="251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Calibri"/>
                <w:kern w:val="2"/>
                <w:sz w:val="26"/>
                <w:szCs w:val="26"/>
                <w:lang w:val="en-US" w:eastAsia="zh-CN" w:bidi="ar-SA"/>
              </w:rPr>
            </w:pPr>
            <w:r>
              <w:rPr>
                <w:rFonts w:hint="eastAsia" w:ascii="仿宋" w:hAnsi="仿宋" w:eastAsia="仿宋"/>
                <w:sz w:val="26"/>
                <w:szCs w:val="26"/>
              </w:rPr>
              <w:t>区教育系统考试服务中心</w:t>
            </w:r>
          </w:p>
        </w:tc>
        <w:tc>
          <w:tcPr>
            <w:tcW w:w="2517" w:type="dxa"/>
            <w:noWrap w:val="0"/>
            <w:vAlign w:val="center"/>
          </w:tcPr>
          <w:p>
            <w:pPr>
              <w:jc w:val="center"/>
              <w:rPr>
                <w:rFonts w:hint="eastAsia" w:ascii="Calibri" w:hAnsi="Calibri" w:eastAsia="宋体" w:cs="Calibri"/>
                <w:kern w:val="2"/>
                <w:sz w:val="26"/>
                <w:szCs w:val="26"/>
                <w:lang w:val="en-US" w:eastAsia="zh-CN" w:bidi="ar-SA"/>
              </w:rPr>
            </w:pPr>
            <w:r>
              <w:rPr>
                <w:rFonts w:hint="eastAsia" w:ascii="仿宋" w:hAnsi="仿宋" w:eastAsia="仿宋"/>
                <w:sz w:val="26"/>
                <w:szCs w:val="26"/>
              </w:rPr>
              <w:t>财政补助事业单位</w:t>
            </w:r>
          </w:p>
        </w:tc>
        <w:tc>
          <w:tcPr>
            <w:tcW w:w="1333"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是</w:t>
            </w:r>
          </w:p>
        </w:tc>
        <w:tc>
          <w:tcPr>
            <w:tcW w:w="1333" w:type="dxa"/>
            <w:noWrap w:val="0"/>
            <w:vAlign w:val="center"/>
          </w:tcPr>
          <w:p>
            <w:pPr>
              <w:jc w:val="center"/>
              <w:rPr>
                <w:rFonts w:hint="eastAsia" w:ascii="仿宋" w:hAnsi="仿宋" w:eastAsia="仿宋" w:cs="Calibri"/>
                <w:kern w:val="2"/>
                <w:sz w:val="26"/>
                <w:szCs w:val="26"/>
                <w:lang w:val="en-US" w:eastAsia="zh-CN" w:bidi="ar-SA"/>
              </w:rPr>
            </w:pPr>
            <w:r>
              <w:rPr>
                <w:rFonts w:hint="eastAsia" w:ascii="仿宋" w:hAnsi="仿宋" w:eastAsia="仿宋"/>
                <w:sz w:val="26"/>
                <w:szCs w:val="26"/>
              </w:rPr>
              <w:t>否</w:t>
            </w:r>
          </w:p>
        </w:tc>
        <w:tc>
          <w:tcPr>
            <w:tcW w:w="645" w:type="dxa"/>
            <w:noWrap w:val="0"/>
            <w:vAlign w:val="center"/>
          </w:tcPr>
          <w:p>
            <w:pPr>
              <w:jc w:val="center"/>
              <w:rPr>
                <w:rFonts w:hint="eastAsia" w:ascii="仿宋" w:hAnsi="仿宋" w:eastAsia="仿宋"/>
                <w:sz w:val="26"/>
                <w:szCs w:val="26"/>
              </w:rPr>
            </w:pPr>
          </w:p>
        </w:tc>
      </w:tr>
    </w:tbl>
    <w:p>
      <w:pPr>
        <w:pStyle w:val="4"/>
        <w:pageBreakBefore w:val="0"/>
        <w:widowControl w:val="0"/>
        <w:numPr>
          <w:ilvl w:val="0"/>
          <w:numId w:val="0"/>
        </w:numPr>
        <w:kinsoku/>
        <w:wordWrap/>
        <w:overflowPunct/>
        <w:topLinePunct w:val="0"/>
        <w:autoSpaceDE/>
        <w:autoSpaceDN/>
        <w:bidi w:val="0"/>
        <w:adjustRightInd/>
        <w:snapToGrid w:val="0"/>
        <w:spacing w:before="0" w:after="0" w:line="560" w:lineRule="exact"/>
        <w:ind w:firstLine="640" w:firstLineChars="200"/>
        <w:jc w:val="both"/>
        <w:textAlignment w:val="auto"/>
        <w:outlineLvl w:val="1"/>
        <w:rPr>
          <w:rFonts w:hint="default" w:ascii="黑体" w:hAnsi="黑体" w:eastAsia="黑体"/>
          <w:b w:val="0"/>
          <w:bCs w:val="0"/>
          <w:color w:val="auto"/>
          <w:highlight w:val="none"/>
          <w:lang w:val="en-US" w:eastAsia="zh-CN"/>
        </w:rPr>
      </w:pPr>
    </w:p>
    <w:p>
      <w:pPr>
        <w:pStyle w:val="4"/>
        <w:pageBreakBefore w:val="0"/>
        <w:widowControl w:val="0"/>
        <w:numPr>
          <w:ilvl w:val="0"/>
          <w:numId w:val="0"/>
        </w:numPr>
        <w:kinsoku/>
        <w:wordWrap/>
        <w:overflowPunct/>
        <w:topLinePunct w:val="0"/>
        <w:autoSpaceDE/>
        <w:autoSpaceDN/>
        <w:bidi w:val="0"/>
        <w:adjustRightInd/>
        <w:snapToGrid w:val="0"/>
        <w:spacing w:before="0" w:after="0" w:line="560" w:lineRule="exact"/>
        <w:ind w:firstLine="640" w:firstLineChars="200"/>
        <w:jc w:val="both"/>
        <w:textAlignment w:val="auto"/>
        <w:outlineLvl w:val="1"/>
        <w:rPr>
          <w:rFonts w:hint="eastAsia" w:ascii="黑体" w:hAnsi="黑体" w:eastAsia="黑体"/>
          <w:b w:val="0"/>
          <w:bCs w:val="0"/>
          <w:color w:val="auto"/>
          <w:highlight w:val="none"/>
        </w:rPr>
      </w:pPr>
      <w:bookmarkStart w:id="11" w:name="_Toc16074"/>
      <w:r>
        <w:rPr>
          <w:rFonts w:hint="eastAsia" w:ascii="黑体" w:hAnsi="黑体" w:eastAsia="黑体"/>
          <w:b w:val="0"/>
          <w:bCs w:val="0"/>
          <w:color w:val="auto"/>
          <w:highlight w:val="none"/>
          <w:lang w:val="en-US" w:eastAsia="zh-CN"/>
        </w:rPr>
        <w:t>三、2021年重点</w:t>
      </w:r>
      <w:r>
        <w:rPr>
          <w:rFonts w:hint="eastAsia" w:ascii="黑体" w:hAnsi="黑体" w:eastAsia="黑体"/>
          <w:b w:val="0"/>
          <w:bCs w:val="0"/>
          <w:color w:val="auto"/>
          <w:highlight w:val="none"/>
        </w:rPr>
        <w:t>工作</w:t>
      </w:r>
      <w:bookmarkEnd w:id="9"/>
      <w:bookmarkEnd w:id="10"/>
      <w:r>
        <w:rPr>
          <w:rFonts w:hint="eastAsia" w:ascii="黑体" w:hAnsi="黑体" w:eastAsia="黑体"/>
          <w:b w:val="0"/>
          <w:bCs w:val="0"/>
          <w:color w:val="auto"/>
          <w:highlight w:val="none"/>
          <w:lang w:eastAsia="zh-CN"/>
        </w:rPr>
        <w:t>完成情况</w:t>
      </w:r>
      <w:bookmarkEnd w:id="1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b w:val="0"/>
          <w:bCs w:val="0"/>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14:textFill>
            <w14:solidFill>
              <w14:schemeClr w14:val="tx1"/>
            </w14:solidFill>
          </w14:textFill>
        </w:rPr>
        <w:t>（一）抓内涵发展，教学质量持续提升。</w:t>
      </w:r>
      <w:r>
        <w:rPr>
          <w:rFonts w:hint="eastAsia" w:ascii="仿宋" w:hAnsi="仿宋" w:eastAsia="仿宋"/>
          <w:b w:val="0"/>
          <w:bCs w:val="0"/>
          <w:color w:val="000000" w:themeColor="text1"/>
          <w:sz w:val="32"/>
          <w:szCs w:val="32"/>
          <w:highlight w:val="none"/>
          <w14:textFill>
            <w14:solidFill>
              <w14:schemeClr w14:val="tx1"/>
            </w14:solidFill>
          </w14:textFill>
        </w:rPr>
        <w:t>突出保教保育，狠抓学前教育普及普惠发展。全区3-6岁学龄前儿童毛入园率达117.8%，普惠性学前教育资源覆盖率达82.2%，公办在园幼儿占比50.7%，新创建市五星级幼儿园2所。突出五育并举，狠抓义务教育均衡发展。义务教育阶段入学率、巩固率均达100%，教育质量连续十三年保持全市第一。突出教学教研，狠抓高中教育优质发展。2021年高考本科、一本上线人数较去年同比增长3.8%、27.6%，教育质量位列全市公办学校前列。突出关心关爱，保障发展特殊教育。建成普通学校特殊教育资源教室11个，全区残疾儿童少年在特殊教育学校和义务教育学校就读达95%以上，送教上门达100%。突出特色发展，校外活动开展有质有量。成立青少年校外活动中心和社区辅导站18个，成立学生艺术体育社团组织256个，多名师生在全国及省市艺术、体育竞赛和展演中荣获一等奖；启动乡村自然教育学校规划建设，研制综合实践活动课程、劳动教育课程20个，利州区成功申报为“全国中小学劳动教育实验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b w:val="0"/>
          <w:bCs w:val="0"/>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14:textFill>
            <w14:solidFill>
              <w14:schemeClr w14:val="tx1"/>
            </w14:solidFill>
          </w14:textFill>
        </w:rPr>
        <w:t>（二）抓项目建设，办学条件不断改善。</w:t>
      </w:r>
      <w:r>
        <w:rPr>
          <w:rFonts w:hint="eastAsia" w:ascii="仿宋" w:hAnsi="仿宋" w:eastAsia="仿宋"/>
          <w:b w:val="0"/>
          <w:bCs w:val="0"/>
          <w:color w:val="000000" w:themeColor="text1"/>
          <w:sz w:val="32"/>
          <w:szCs w:val="32"/>
          <w:highlight w:val="none"/>
          <w14:textFill>
            <w14:solidFill>
              <w14:schemeClr w14:val="tx1"/>
            </w14:solidFill>
          </w14:textFill>
        </w:rPr>
        <w:t>投入资金2.8亿元，兴安初级中学、红军小学（含南河第一幼儿园）建成投用，新增义务教育学位3720个、寄宿制学生床位1120个；三堆小学新建教师周转房和东坝幼儿园扩建项目开工建设；春馨幼儿园、福康幼儿园、康乐幼儿园等6所普惠性幼儿园改建全面完成；大东英才学校迁建项目完成立项审批、可研批复、建筑设计方案审查；万达中学西校区新建项目完成建筑设计方案；宝轮中学综合楼完成可研报告编制及审批；将军桥幼儿园建设项目完成立项审批、可研批复、建筑设计方案；南河第二幼儿园完成建筑设计、预算及财评，现已开工建设并力争春季开始招生；宝轮一小扩建项目正在开展土地及房屋征收工作；雪峰小学扩建项目正在编制可研报告、用地红线和报征土地；上西中学足球场建设项目正在启动前期工作。结合两项改革“后半篇”文章，深入基层调研和广泛征求意见建议，科学制定了《广元市利州区基础教育学校布局调整方案（2021-2025年）》，目前储备项目27个，总投资26.65亿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b w:val="0"/>
          <w:bCs w:val="0"/>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14:textFill>
            <w14:solidFill>
              <w14:schemeClr w14:val="tx1"/>
            </w14:solidFill>
          </w14:textFill>
        </w:rPr>
        <w:t>（三）抓队伍建设，育人环境更加优化。</w:t>
      </w:r>
      <w:r>
        <w:rPr>
          <w:rFonts w:hint="eastAsia" w:ascii="仿宋" w:hAnsi="仿宋" w:eastAsia="仿宋"/>
          <w:b w:val="0"/>
          <w:bCs w:val="0"/>
          <w:color w:val="000000" w:themeColor="text1"/>
          <w:sz w:val="32"/>
          <w:szCs w:val="32"/>
          <w:highlight w:val="none"/>
          <w14:textFill>
            <w14:solidFill>
              <w14:schemeClr w14:val="tx1"/>
            </w14:solidFill>
          </w14:textFill>
        </w:rPr>
        <w:t>全面加强党对教育工作的领导，指导26个学校党组织完成换届选举工作，23个基层党组织因学习教育不实补课78次。党史学习教育成效明显，拍摄录制党史学习教育思政课23节，开展党史微队课420余次；我区大石初中教师代表广元市参加全省党史知识答题挑战总决赛荣获二等奖。选优配强学校领导班子，调整校级领导48人，提拔8人，免职3人，交流任职37人，储备校级后备干部23名。全面建设一流师资队伍，新成立名师工作室20个，组织教师参加国培、省培及市区级培训5000余人次，公开招聘教师24名，参加研究生学历提升38人；3名教师被评为省特级教师，1名教师被评为“天府名师”，2名教师被评为正高级教师，182名教师被表扬为市区级优秀班主任、优秀教师、优秀教育工作者。认真做好“12345”市长热线及人大建议、政协提案办理工作，办结满意率达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b w:val="0"/>
          <w:bCs w:val="0"/>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14:textFill>
            <w14:solidFill>
              <w14:schemeClr w14:val="tx1"/>
            </w14:solidFill>
          </w14:textFill>
        </w:rPr>
        <w:t>（四）抓创新发展，教育改革成效显著。</w:t>
      </w:r>
      <w:r>
        <w:rPr>
          <w:rFonts w:hint="eastAsia" w:ascii="仿宋" w:hAnsi="仿宋" w:eastAsia="仿宋"/>
          <w:b w:val="0"/>
          <w:bCs w:val="0"/>
          <w:color w:val="000000" w:themeColor="text1"/>
          <w:sz w:val="32"/>
          <w:szCs w:val="32"/>
          <w:highlight w:val="none"/>
          <w14:textFill>
            <w14:solidFill>
              <w14:schemeClr w14:val="tx1"/>
            </w14:solidFill>
          </w14:textFill>
        </w:rPr>
        <w:t>市区同城运行体制机制改革有序推进，基础教育学校布局调整年度目标顺利完成，撤销教学点19个、小学2所，调整中小学、幼儿园9所，合并中小学2所，新建中小学、幼儿园3所。教育督导体制机制改革有序推进，出台了《利州区深化新时代教育督导体制机制改革的实施意见》。完成“双规范双减”系列督导，向上报送挂牌督导优秀案例15篇。加强校本课程开发研究与指导，立项省级课题3项，在研市级课题13项，形成市级特色校本课程12个。创新开展家庭教育，探索将家庭教育纳入课程管理，搭建组织服务平台，“线上线下”培训家长120场次、举办讲座280节次，组织收看“网上家长学堂”10万人次，发放宣传资料4万余份，“家校社”共育合力基本形成。强化教育对外交流，万达实验学校、兴安初中分别与成都泡桐树小学、成都七中合作办学；万达实验学校2022年获得西安交通大学少年班3个报考名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b w:val="0"/>
          <w:bCs w:val="0"/>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14:textFill>
            <w14:solidFill>
              <w14:schemeClr w14:val="tx1"/>
            </w14:solidFill>
          </w14:textFill>
        </w:rPr>
        <w:t>（五）抓系统治理，办学行为更加规范。</w:t>
      </w:r>
      <w:r>
        <w:rPr>
          <w:rFonts w:hint="eastAsia" w:ascii="仿宋" w:hAnsi="仿宋" w:eastAsia="仿宋"/>
          <w:b w:val="0"/>
          <w:bCs w:val="0"/>
          <w:color w:val="000000" w:themeColor="text1"/>
          <w:sz w:val="32"/>
          <w:szCs w:val="32"/>
          <w:highlight w:val="none"/>
          <w14:textFill>
            <w14:solidFill>
              <w14:schemeClr w14:val="tx1"/>
            </w14:solidFill>
          </w14:textFill>
        </w:rPr>
        <w:t>加强学校内部监管。认真清理违规竞赛活动，严格落实“双减”政策，建立规范进校园活动联席会议、审批备案制度以及沟通协调、监督举报机制，压实部门联合监管和教育督导职责，实施清单制管理和跟踪反馈机制，深入开展集中清理整治和专项督查检查，切实精简进校园活动。严控作业数量和时间，配套提供作业辅导、兴趣培养、体育锻炼等5项课后服务，切实减轻学生及家长负担。夯实校外教育管理。召开“双减”会议2次，设立督查督办、应急保障等5个工作组，结合分管领导包片不定期督查、指定专人联校跟踪检查方式，对教材审核、教学内容等8项内容全覆盖检查，严肃查处未经审核认定擅自组织进校园活动的单位和个人。今年联合区公安、民政、市场监管等部门查处无证无照校外培训机构2家，督导检查10余次，整改问题5个。暂停新审批义务教育阶段学科类校外培训机构，引导变更登记非营利性机构10家，转型100家，为社会提供就业岗位3539个。稳妥处置“领军教育撤校”“爱贝斯互动英语跑路”“鸿鑫教育暂停办学”等涉稳事件，维护了良好教育环境及社会和谐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b w:val="0"/>
          <w:bCs w:val="0"/>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14:textFill>
            <w14:solidFill>
              <w14:schemeClr w14:val="tx1"/>
            </w14:solidFill>
          </w14:textFill>
        </w:rPr>
        <w:t>（六）抓安全管理，各项服务全面保障。</w:t>
      </w:r>
      <w:r>
        <w:rPr>
          <w:rFonts w:hint="eastAsia" w:ascii="仿宋" w:hAnsi="仿宋" w:eastAsia="仿宋"/>
          <w:b w:val="0"/>
          <w:bCs w:val="0"/>
          <w:color w:val="000000" w:themeColor="text1"/>
          <w:sz w:val="32"/>
          <w:szCs w:val="32"/>
          <w:highlight w:val="none"/>
          <w14:textFill>
            <w14:solidFill>
              <w14:schemeClr w14:val="tx1"/>
            </w14:solidFill>
          </w14:textFill>
        </w:rPr>
        <w:t>严格执行学校疫情防控“两案九制”各项规定，认真落实扫码测温戴口罩、3-17周岁少年儿童疫苗接种和校园封闭管理等常态化疫情防控措施，精准掌握师生每日健康状况，积极开展校园清扫保洁和师生健康教育，落实驻校卫生及防疫医务人员，学校疫情防控总体平稳有序。健全校园及周边环境综合治理长效机制，持续开展“区领导、乡镇长、校长教师陪餐”“学生平安度假”“三千教师访万家”“暑期教师义务巡河”“专业社工、专业心理教师驻校”等系列平安护航活动，开展心理健康校园巡讲活动59场次、个案辅导40余人次，建立抑郁、焦虑等心理异常和特异体质学生档案3000余份，专业服务师生4万余人次。区教育局被市教育局评为学校食品安全工作先进集体，被市委市政府评为抗击新冠肺炎疫情先进集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b w:val="0"/>
          <w:bCs w:val="0"/>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14:textFill>
            <w14:solidFill>
              <w14:schemeClr w14:val="tx1"/>
            </w14:solidFill>
          </w14:textFill>
        </w:rPr>
        <w:t>（七）抓教育扶贫，惠民政策全面落实。</w:t>
      </w:r>
      <w:r>
        <w:rPr>
          <w:rFonts w:hint="eastAsia" w:ascii="仿宋" w:hAnsi="仿宋" w:eastAsia="仿宋"/>
          <w:b w:val="0"/>
          <w:bCs w:val="0"/>
          <w:color w:val="000000" w:themeColor="text1"/>
          <w:sz w:val="32"/>
          <w:szCs w:val="32"/>
          <w:highlight w:val="none"/>
          <w14:textFill>
            <w14:solidFill>
              <w14:schemeClr w14:val="tx1"/>
            </w14:solidFill>
          </w14:textFill>
        </w:rPr>
        <w:t>各中小学全面推行课后服务，学生参与率达100%；探索实施寒暑期托管服务，惠及学生1894人，学生及家长满意率达100%。减免建档立卡家庭经济困难在园幼儿保教费4954人次502.82万元。落实义务教育阶贫困户学生“三免一补”资金47307人次5597.2万元。发放普通高中学生国家助学金1708人次342万元，免除经济困难学生学费1598人次133万元。发放中职家庭经济困难学生国家助学金8人次1.6万元，免除全日制中职学生学费8人次1.6万元，落实建档立卡贫困户中职学生生活补助300人次15万元。落实本专科建档立卡学生学费及生活补助240人次96万元。落实营养改善计划学生补助资金16322人1318.24万元。募集爱心资金100余万元，资助救助困难师生200余人50余万元，为城乡26所学校安装太阳能路灯766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ascii="仿宋" w:hAnsi="仿宋" w:eastAsia="仿宋"/>
          <w:b w:val="0"/>
          <w:bCs w:val="0"/>
          <w:color w:val="000000" w:themeColor="text1"/>
          <w:kern w:val="0"/>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highlight w:val="none"/>
          <w14:textFill>
            <w14:solidFill>
              <w14:schemeClr w14:val="tx1"/>
            </w14:solidFill>
          </w14:textFill>
        </w:rPr>
        <w:t>（八）抓考风考纪，各类考试顺利实施。</w:t>
      </w:r>
      <w:r>
        <w:rPr>
          <w:rFonts w:hint="eastAsia" w:ascii="仿宋" w:hAnsi="仿宋" w:eastAsia="仿宋"/>
          <w:b w:val="0"/>
          <w:bCs w:val="0"/>
          <w:color w:val="000000" w:themeColor="text1"/>
          <w:sz w:val="32"/>
          <w:szCs w:val="32"/>
          <w:highlight w:val="none"/>
          <w14:textFill>
            <w14:solidFill>
              <w14:schemeClr w14:val="tx1"/>
            </w14:solidFill>
          </w14:textFill>
        </w:rPr>
        <w:t>高质量完成2021年成考、自考、中考、高考以及四川省书法水平测试等组考工作，区教育局被评为2021年度全省招生宣传工作先进单位。</w:t>
      </w:r>
      <w:r>
        <w:rPr>
          <w:rFonts w:ascii="仿宋" w:hAnsi="仿宋" w:eastAsia="仿宋"/>
          <w:b w:val="0"/>
          <w:bCs w:val="0"/>
          <w:color w:val="000000" w:themeColor="text1"/>
          <w:sz w:val="32"/>
          <w:szCs w:val="32"/>
          <w:highlight w:val="none"/>
          <w14:textFill>
            <w14:solidFill>
              <w14:schemeClr w14:val="tx1"/>
            </w14:solidFill>
          </w14:textFill>
        </w:rPr>
        <w:br w:type="page"/>
      </w:r>
    </w:p>
    <w:p>
      <w:pPr>
        <w:pStyle w:val="2"/>
        <w:ind w:right="440"/>
        <w:jc w:val="center"/>
        <w:outlineLvl w:val="0"/>
        <w:rPr>
          <w:rStyle w:val="25"/>
          <w:rFonts w:ascii="黑体" w:hAnsi="黑体" w:eastAsia="黑体"/>
          <w:b w:val="0"/>
          <w:bCs/>
          <w:color w:val="auto"/>
          <w:highlight w:val="none"/>
        </w:rPr>
      </w:pPr>
      <w:bookmarkStart w:id="12" w:name="_Toc15377204"/>
      <w:bookmarkStart w:id="13" w:name="_Toc9138"/>
      <w:bookmarkStart w:id="14"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2"/>
      <w:bookmarkEnd w:id="13"/>
      <w:bookmarkEnd w:id="14"/>
    </w:p>
    <w:p>
      <w:pPr>
        <w:outlineLvl w:val="9"/>
        <w:rPr>
          <w:color w:val="auto"/>
          <w:highlight w:val="none"/>
        </w:rPr>
      </w:pPr>
    </w:p>
    <w:p>
      <w:pPr>
        <w:pStyle w:val="24"/>
        <w:numPr>
          <w:ilvl w:val="0"/>
          <w:numId w:val="0"/>
        </w:numPr>
        <w:spacing w:line="600" w:lineRule="exact"/>
        <w:ind w:left="640" w:leftChars="0"/>
        <w:outlineLvl w:val="1"/>
        <w:rPr>
          <w:rStyle w:val="26"/>
          <w:rFonts w:ascii="黑体" w:hAnsi="黑体" w:eastAsia="黑体"/>
          <w:b w:val="0"/>
          <w:color w:val="auto"/>
          <w:highlight w:val="none"/>
        </w:rPr>
      </w:pPr>
      <w:bookmarkStart w:id="15" w:name="_Toc15377205"/>
      <w:bookmarkStart w:id="16" w:name="_Toc13314"/>
      <w:bookmarkStart w:id="17" w:name="_Toc15396603"/>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5"/>
      <w:bookmarkEnd w:id="16"/>
      <w:bookmarkEnd w:id="17"/>
    </w:p>
    <w:p>
      <w:pPr>
        <w:spacing w:line="600" w:lineRule="exact"/>
        <w:ind w:firstLine="640" w:firstLineChars="200"/>
        <w:outlineLvl w:val="2"/>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10105.57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15623.77万元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5518.20</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35.32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Style w:val="15"/>
          <w:rFonts w:hint="eastAsia" w:ascii="仿宋" w:hAnsi="仿宋" w:eastAsia="仿宋" w:cstheme="minorBidi"/>
          <w:b w:val="0"/>
          <w:bCs/>
          <w:color w:val="000000" w:themeColor="text1"/>
          <w:sz w:val="32"/>
          <w:szCs w:val="32"/>
          <w:highlight w:val="none"/>
          <w:lang w:val="en-US" w:eastAsia="zh-CN"/>
          <w14:textFill>
            <w14:solidFill>
              <w14:schemeClr w14:val="tx1"/>
            </w14:solidFill>
          </w14:textFill>
        </w:rPr>
        <w:t>一是2020年区财政安排学前教育债券建设资金6000万元；二是2020年教育系统义务教育营养改善计划补助资金951</w:t>
      </w:r>
      <w:r>
        <w:rPr>
          <w:rStyle w:val="15"/>
          <w:rFonts w:hint="eastAsia" w:ascii="仿宋" w:hAnsi="仿宋" w:eastAsia="仿宋" w:cstheme="minorBidi"/>
          <w:b w:val="0"/>
          <w:bCs/>
          <w:color w:val="000000" w:themeColor="text1"/>
          <w:spacing w:val="-6"/>
          <w:sz w:val="32"/>
          <w:szCs w:val="32"/>
          <w:highlight w:val="none"/>
          <w:lang w:val="en-US" w:eastAsia="zh-CN"/>
          <w14:textFill>
            <w14:solidFill>
              <w14:schemeClr w14:val="tx1"/>
            </w14:solidFill>
          </w14:textFill>
        </w:rPr>
        <w:t>.55万元通过我局本级拨付学校使用，并由我局统一填报决算</w:t>
      </w:r>
      <w:r>
        <w:rPr>
          <w:rFonts w:hint="eastAsia" w:ascii="仿宋" w:hAnsi="仿宋" w:eastAsia="仿宋"/>
          <w:color w:val="000000" w:themeColor="text1"/>
          <w:spacing w:val="-6"/>
          <w:sz w:val="32"/>
          <w:szCs w:val="32"/>
          <w:highlight w:val="none"/>
          <w:lang w:val="en-US" w:eastAsia="zh-CN"/>
          <w14:textFill>
            <w14:solidFill>
              <w14:schemeClr w14:val="tx1"/>
            </w14:solidFill>
          </w14:textFill>
        </w:rPr>
        <w:t>。</w:t>
      </w:r>
    </w:p>
    <w:p>
      <w:pPr>
        <w:spacing w:line="600" w:lineRule="exact"/>
        <w:ind w:firstLine="640" w:firstLineChars="200"/>
        <w:outlineLvl w:val="2"/>
        <w:rPr>
          <w:rFonts w:hint="eastAsia" w:ascii="仿宋" w:hAnsi="仿宋" w:eastAsia="仿宋"/>
          <w:color w:val="auto"/>
          <w:sz w:val="32"/>
          <w:szCs w:val="32"/>
          <w:highlight w:val="no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false"/>
            </w14:gradFill>
          </w14:textFill>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80010</wp:posOffset>
            </wp:positionH>
            <wp:positionV relativeFrom="paragraph">
              <wp:posOffset>265430</wp:posOffset>
            </wp:positionV>
            <wp:extent cx="5118100" cy="2514600"/>
            <wp:effectExtent l="4445" t="4445" r="20955" b="14605"/>
            <wp:wrapTight wrapText="bothSides">
              <wp:wrapPolygon>
                <wp:start x="-19" y="-38"/>
                <wp:lineTo x="-19" y="21562"/>
                <wp:lineTo x="21528" y="21562"/>
                <wp:lineTo x="21528" y="-38"/>
                <wp:lineTo x="-19" y="-3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outlineLvl w:val="1"/>
        <w:rPr>
          <w:rStyle w:val="26"/>
          <w:rFonts w:ascii="黑体" w:hAnsi="黑体" w:eastAsia="黑体"/>
          <w:b w:val="0"/>
          <w:color w:val="auto"/>
          <w:highlight w:val="none"/>
        </w:rPr>
      </w:pPr>
      <w:bookmarkStart w:id="18" w:name="_Toc12072"/>
      <w:bookmarkStart w:id="19" w:name="_Toc15377206"/>
      <w:bookmarkStart w:id="20" w:name="_Toc15396604"/>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18"/>
      <w:bookmarkEnd w:id="19"/>
      <w:bookmarkEnd w:id="20"/>
    </w:p>
    <w:p>
      <w:pPr>
        <w:spacing w:line="600" w:lineRule="exact"/>
        <w:ind w:firstLine="640" w:firstLineChars="200"/>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3442.00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3329.86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96.74</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112.14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2"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spacing w:line="600" w:lineRule="exact"/>
        <w:ind w:left="0" w:leftChars="0" w:firstLine="0" w:firstLineChars="0"/>
        <w:jc w:val="center"/>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28575</wp:posOffset>
            </wp:positionH>
            <wp:positionV relativeFrom="paragraph">
              <wp:posOffset>142875</wp:posOffset>
            </wp:positionV>
            <wp:extent cx="5274310" cy="3076575"/>
            <wp:effectExtent l="5080" t="4445" r="1651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（图2：收入决算结构图）（饼状图）</w:t>
      </w:r>
    </w:p>
    <w:p>
      <w:pPr>
        <w:pStyle w:val="24"/>
        <w:numPr>
          <w:ilvl w:val="0"/>
          <w:numId w:val="0"/>
        </w:numPr>
        <w:spacing w:line="600" w:lineRule="exact"/>
        <w:ind w:left="640" w:leftChars="0"/>
        <w:outlineLvl w:val="1"/>
        <w:rPr>
          <w:rStyle w:val="26"/>
          <w:rFonts w:ascii="黑体" w:hAnsi="黑体" w:eastAsia="黑体"/>
          <w:b w:val="0"/>
          <w:color w:val="auto"/>
          <w:highlight w:val="none"/>
        </w:rPr>
      </w:pPr>
      <w:bookmarkStart w:id="21" w:name="_Toc15842"/>
      <w:bookmarkStart w:id="22" w:name="_Toc15396605"/>
      <w:bookmarkStart w:id="23" w:name="_Toc15377207"/>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1"/>
      <w:bookmarkEnd w:id="22"/>
      <w:bookmarkEnd w:id="23"/>
    </w:p>
    <w:p>
      <w:pPr>
        <w:spacing w:line="600" w:lineRule="exact"/>
        <w:ind w:firstLine="640" w:firstLineChars="200"/>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6594.67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1183.52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17.95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5411.15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82.05</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2"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spacing w:line="600" w:lineRule="exact"/>
        <w:ind w:firstLine="640"/>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5298440" cy="210121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6"/>
          <w:rFonts w:ascii="黑体" w:hAnsi="黑体" w:eastAsia="黑体"/>
          <w:b w:val="0"/>
          <w:color w:val="auto"/>
          <w:highlight w:val="none"/>
        </w:rPr>
      </w:pPr>
      <w:bookmarkStart w:id="24" w:name="_Toc15377208"/>
      <w:bookmarkStart w:id="25" w:name="_Toc15396606"/>
      <w:bookmarkStart w:id="26" w:name="_Toc17374"/>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bookmarkEnd w:id="26"/>
    </w:p>
    <w:p>
      <w:pPr>
        <w:spacing w:line="600" w:lineRule="exact"/>
        <w:ind w:firstLine="640"/>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9993.44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15623.35万元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相比，财政拨款收、支总计减少</w:t>
      </w:r>
      <w:r>
        <w:rPr>
          <w:rFonts w:hint="eastAsia" w:ascii="仿宋" w:hAnsi="仿宋" w:eastAsia="仿宋"/>
          <w:color w:val="auto"/>
          <w:sz w:val="32"/>
          <w:szCs w:val="32"/>
          <w:highlight w:val="none"/>
          <w:lang w:val="en-US" w:eastAsia="zh-CN"/>
        </w:rPr>
        <w:t>5629.91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36.04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Style w:val="15"/>
          <w:rFonts w:hint="eastAsia" w:ascii="仿宋" w:hAnsi="仿宋" w:eastAsia="仿宋" w:cstheme="minorBidi"/>
          <w:b w:val="0"/>
          <w:bCs/>
          <w:color w:val="000000" w:themeColor="text1"/>
          <w:sz w:val="32"/>
          <w:szCs w:val="32"/>
          <w:highlight w:val="none"/>
          <w:lang w:val="en-US" w:eastAsia="zh-CN"/>
          <w14:textFill>
            <w14:solidFill>
              <w14:schemeClr w14:val="tx1"/>
            </w14:solidFill>
          </w14:textFill>
        </w:rPr>
        <w:t>一是2020年区财政安排学前教育债券建设资金6000万元；二是2020年教育系统义务教育营养改善计划补助资金951.55万元通过我局本级拨付学校使用，并由我局统一填报决算</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5"/>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-53340</wp:posOffset>
            </wp:positionH>
            <wp:positionV relativeFrom="paragraph">
              <wp:posOffset>86995</wp:posOffset>
            </wp:positionV>
            <wp:extent cx="5309235" cy="1728470"/>
            <wp:effectExtent l="5080" t="4445" r="19685" b="57785"/>
            <wp:wrapTight wrapText="bothSides">
              <wp:wrapPolygon>
                <wp:start x="-21" y="-56"/>
                <wp:lineTo x="-21" y="21370"/>
                <wp:lineTo x="21525" y="21370"/>
                <wp:lineTo x="21525" y="-56"/>
                <wp:lineTo x="-21"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outlineLvl w:val="9"/>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7" w:name="_Toc15377209"/>
      <w:bookmarkStart w:id="28" w:name="_Toc17246"/>
      <w:bookmarkStart w:id="29"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7"/>
      <w:bookmarkEnd w:id="28"/>
      <w:bookmarkEnd w:id="29"/>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0" w:name="_Toc15377210"/>
      <w:r>
        <w:rPr>
          <w:rFonts w:hint="eastAsia" w:ascii="楷体" w:hAnsi="楷体" w:eastAsia="楷体" w:cs="楷体"/>
          <w:b w:val="0"/>
          <w:bCs/>
          <w:color w:val="auto"/>
          <w:sz w:val="32"/>
          <w:szCs w:val="32"/>
          <w:highlight w:val="none"/>
        </w:rPr>
        <w:t>（一）一般公共预算财政拨款支出决算总体情况</w:t>
      </w:r>
      <w:bookmarkEnd w:id="30"/>
    </w:p>
    <w:p>
      <w:pPr>
        <w:spacing w:line="600" w:lineRule="exact"/>
        <w:ind w:firstLine="640" w:firstLineChars="200"/>
        <w:outlineLvl w:val="2"/>
        <w:rPr>
          <w:rFonts w:hint="default"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6482.53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8760.43万元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2277.90</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26.00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Style w:val="15"/>
          <w:rFonts w:hint="eastAsia" w:ascii="仿宋" w:hAnsi="仿宋" w:eastAsia="仿宋" w:cstheme="minorBidi"/>
          <w:b w:val="0"/>
          <w:bCs/>
          <w:color w:val="000000" w:themeColor="text1"/>
          <w:sz w:val="32"/>
          <w:szCs w:val="32"/>
          <w:highlight w:val="none"/>
          <w:lang w:val="en-US" w:eastAsia="zh-CN"/>
          <w14:textFill>
            <w14:solidFill>
              <w14:schemeClr w14:val="tx1"/>
            </w14:solidFill>
          </w14:textFill>
        </w:rPr>
        <w:t>2020年“智慧广元”二期建设资金项目实施，项目采购资金支出1884.48万元</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5080</wp:posOffset>
            </wp:positionH>
            <wp:positionV relativeFrom="paragraph">
              <wp:posOffset>280035</wp:posOffset>
            </wp:positionV>
            <wp:extent cx="5309235" cy="1728470"/>
            <wp:effectExtent l="5080" t="4445" r="19685" b="19685"/>
            <wp:wrapTight wrapText="bothSides">
              <wp:wrapPolygon>
                <wp:start x="-21" y="-56"/>
                <wp:lineTo x="-21" y="21370"/>
                <wp:lineTo x="21525" y="21370"/>
                <wp:lineTo x="21525" y="-56"/>
                <wp:lineTo x="-21" y="-5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1" w:name="_Toc15377211"/>
      <w:r>
        <w:rPr>
          <w:rFonts w:hint="eastAsia" w:ascii="楷体" w:hAnsi="楷体" w:eastAsia="楷体" w:cs="楷体"/>
          <w:b w:val="0"/>
          <w:bCs/>
          <w:color w:val="auto"/>
          <w:sz w:val="32"/>
          <w:szCs w:val="32"/>
          <w:highlight w:val="none"/>
        </w:rPr>
        <w:t>（二）一般公共预算财政拨款支出决算结构情况</w:t>
      </w:r>
      <w:bookmarkEnd w:id="31"/>
    </w:p>
    <w:p>
      <w:pPr>
        <w:spacing w:line="600" w:lineRule="exact"/>
        <w:ind w:firstLine="640"/>
        <w:outlineLvl w:val="2"/>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6482.53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6339.10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104.30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39.15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r>
        <w:rPr>
          <w:rFonts w:hint="eastAsia" w:ascii="仿宋" w:hAnsi="仿宋" w:eastAsia="仿宋"/>
          <w:b/>
          <w:color w:val="auto"/>
          <w:sz w:val="32"/>
          <w:szCs w:val="32"/>
          <w:highlight w:val="none"/>
          <w:lang w:val="en-US" w:eastAsia="zh-CN"/>
        </w:rPr>
        <w:t xml:space="preserve"> </w:t>
      </w:r>
    </w:p>
    <w:p>
      <w:pPr>
        <w:spacing w:line="600" w:lineRule="exact"/>
        <w:ind w:firstLine="640" w:firstLineChars="200"/>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40640</wp:posOffset>
            </wp:positionH>
            <wp:positionV relativeFrom="paragraph">
              <wp:posOffset>54610</wp:posOffset>
            </wp:positionV>
            <wp:extent cx="5298440" cy="2101215"/>
            <wp:effectExtent l="4445" t="4445" r="12065" b="88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2"/>
        <w:rPr>
          <w:rFonts w:hint="eastAsia" w:ascii="楷体" w:hAnsi="楷体" w:eastAsia="楷体" w:cs="楷体"/>
          <w:b w:val="0"/>
          <w:bCs/>
          <w:color w:val="auto"/>
          <w:sz w:val="32"/>
          <w:szCs w:val="32"/>
          <w:highlight w:val="none"/>
        </w:rPr>
      </w:pPr>
      <w:bookmarkStart w:id="32" w:name="_Toc15377212"/>
      <w:r>
        <w:rPr>
          <w:rFonts w:hint="eastAsia" w:ascii="楷体" w:hAnsi="楷体" w:eastAsia="楷体" w:cs="楷体"/>
          <w:b w:val="0"/>
          <w:bCs/>
          <w:color w:val="auto"/>
          <w:sz w:val="32"/>
          <w:szCs w:val="32"/>
          <w:highlight w:val="none"/>
        </w:rPr>
        <w:t>（三）一般公共预算财政拨款支出决算具体情况</w:t>
      </w:r>
      <w:bookmarkEnd w:id="32"/>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Fonts w:ascii="仿宋" w:hAnsi="仿宋" w:eastAsia="仿宋"/>
          <w:color w:val="auto"/>
          <w:sz w:val="32"/>
          <w:szCs w:val="32"/>
          <w:highlight w:val="none"/>
        </w:rPr>
      </w:pPr>
      <w:bookmarkStart w:id="33" w:name="_Toc15378460"/>
      <w:bookmarkStart w:id="34" w:name="_Toc15377444"/>
      <w:bookmarkStart w:id="35"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6482.53万元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64.87</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3"/>
      <w:bookmarkEnd w:id="34"/>
      <w:bookmarkEnd w:id="35"/>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Fonts w:hint="default" w:ascii="仿宋" w:hAnsi="仿宋" w:eastAsia="仿宋"/>
          <w:b/>
          <w:color w:val="000000" w:themeColor="text1"/>
          <w:sz w:val="32"/>
          <w:szCs w:val="32"/>
          <w:highlight w:val="none"/>
          <w:lang w:val="en-US" w:eastAsia="zh-CN"/>
          <w14:textFill>
            <w14:solidFill>
              <w14:schemeClr w14:val="tx1"/>
            </w14:solidFill>
          </w14:textFill>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lang w:val="en-US" w:eastAsia="zh-CN"/>
        </w:rPr>
        <w:t>教育支出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val="en-US" w:eastAsia="zh-CN"/>
        </w:rPr>
        <w:t>教育管理事务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行政运行</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377.89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98.69</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val="en-US" w:eastAsia="zh-CN"/>
        </w:rPr>
        <w:t>小于</w:t>
      </w:r>
      <w:r>
        <w:rPr>
          <w:rStyle w:val="15"/>
          <w:rFonts w:hint="eastAsia" w:ascii="仿宋" w:hAnsi="仿宋" w:eastAsia="仿宋"/>
          <w:b w:val="0"/>
          <w:bCs/>
          <w:color w:val="auto"/>
          <w:sz w:val="32"/>
          <w:szCs w:val="32"/>
          <w:highlight w:val="none"/>
        </w:rPr>
        <w:t>预算数的主要原因是</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年末因人员变动追加的社保缴费资金于次年1月支付。</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5"/>
          <w:rFonts w:hint="eastAsia" w:ascii="仿宋" w:hAnsi="仿宋" w:eastAsia="仿宋"/>
          <w:b w:val="0"/>
          <w:bCs/>
          <w:color w:val="000000" w:themeColor="text1"/>
          <w:sz w:val="32"/>
          <w:szCs w:val="32"/>
          <w:highlight w:val="none"/>
          <w14:textFill>
            <w14:solidFill>
              <w14:schemeClr w14:val="tx1"/>
            </w14:solidFill>
          </w14:textFill>
        </w:rPr>
      </w:pPr>
      <w:r>
        <w:rPr>
          <w:rStyle w:val="15"/>
          <w:rFonts w:ascii="仿宋" w:hAnsi="仿宋" w:eastAsia="仿宋"/>
          <w:bCs/>
          <w:color w:val="000000" w:themeColor="text1"/>
          <w:sz w:val="32"/>
          <w:szCs w:val="32"/>
          <w:highlight w:val="none"/>
          <w14:textFill>
            <w14:solidFill>
              <w14:schemeClr w14:val="tx1"/>
            </w14:solidFill>
          </w14:textFill>
        </w:rPr>
        <w:t>2.</w:t>
      </w:r>
      <w:r>
        <w:rPr>
          <w:rStyle w:val="15"/>
          <w:rFonts w:hint="eastAsia" w:ascii="仿宋" w:hAnsi="仿宋" w:eastAsia="仿宋"/>
          <w:bCs/>
          <w:color w:val="000000" w:themeColor="text1"/>
          <w:sz w:val="32"/>
          <w:szCs w:val="32"/>
          <w:highlight w:val="none"/>
          <w14:textFill>
            <w14:solidFill>
              <w14:schemeClr w14:val="tx1"/>
            </w14:solidFill>
          </w14:textFill>
        </w:rPr>
        <w:t>教育</w:t>
      </w:r>
      <w:r>
        <w:rPr>
          <w:rStyle w:val="15"/>
          <w:rFonts w:hint="eastAsia" w:ascii="仿宋" w:hAnsi="仿宋" w:eastAsia="仿宋"/>
          <w:bCs/>
          <w:color w:val="000000" w:themeColor="text1"/>
          <w:sz w:val="32"/>
          <w:szCs w:val="32"/>
          <w:highlight w:val="none"/>
          <w:lang w:val="en-US" w:eastAsia="zh-CN"/>
          <w14:textFill>
            <w14:solidFill>
              <w14:schemeClr w14:val="tx1"/>
            </w14:solidFill>
          </w14:textFill>
        </w:rPr>
        <w:t>支出</w:t>
      </w:r>
      <w:r>
        <w:rPr>
          <w:rStyle w:val="15"/>
          <w:rFonts w:hint="eastAsia" w:ascii="仿宋" w:hAnsi="仿宋" w:eastAsia="仿宋"/>
          <w:bCs/>
          <w:color w:val="000000" w:themeColor="text1"/>
          <w:sz w:val="32"/>
          <w:szCs w:val="32"/>
          <w:highlight w:val="none"/>
          <w14:textFill>
            <w14:solidFill>
              <w14:schemeClr w14:val="tx1"/>
            </w14:solidFill>
          </w14:textFill>
        </w:rPr>
        <w:t>（</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val="en-US" w:eastAsia="zh-CN"/>
        </w:rPr>
        <w:t>教育管理事务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其它教育管理事务</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0.00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w:t>
      </w:r>
      <w:r>
        <w:rPr>
          <w:rStyle w:val="15"/>
          <w:rFonts w:hint="eastAsia" w:ascii="仿宋" w:hAnsi="仿宋" w:eastAsia="仿宋"/>
          <w:b w:val="0"/>
          <w:bCs/>
          <w:color w:val="000000" w:themeColor="text1"/>
          <w:sz w:val="32"/>
          <w:szCs w:val="32"/>
          <w:highlight w:val="none"/>
          <w14:textFill>
            <w14:solidFill>
              <w14:schemeClr w14:val="tx1"/>
            </w14:solidFill>
          </w14:textFill>
        </w:rPr>
        <w:t>是</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年末安排革命老区建设项目正在实施，尚未拨付资金</w:t>
      </w:r>
      <w:r>
        <w:rPr>
          <w:rStyle w:val="15"/>
          <w:rFonts w:hint="eastAsia" w:ascii="仿宋" w:hAnsi="仿宋" w:eastAsia="仿宋"/>
          <w:b w:val="0"/>
          <w:bCs/>
          <w:color w:val="000000" w:themeColor="text1"/>
          <w:sz w:val="32"/>
          <w:szCs w:val="32"/>
          <w:highlight w:val="none"/>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beforeLines="0" w:line="550" w:lineRule="exact"/>
        <w:ind w:firstLine="642" w:firstLineChars="200"/>
        <w:textAlignment w:val="auto"/>
        <w:outlineLvl w:val="2"/>
        <w:rPr>
          <w:rStyle w:val="15"/>
          <w:rFonts w:hint="default" w:ascii="仿宋" w:hAnsi="仿宋" w:eastAsia="仿宋"/>
          <w:b w:val="0"/>
          <w:bCs/>
          <w:color w:val="000000" w:themeColor="text1"/>
          <w:sz w:val="32"/>
          <w:szCs w:val="32"/>
          <w:highlight w:val="none"/>
          <w:lang w:val="en-US" w:eastAsia="zh-CN"/>
          <w14:textFill>
            <w14:solidFill>
              <w14:schemeClr w14:val="tx1"/>
            </w14:solidFill>
          </w14:textFill>
        </w:rPr>
      </w:pPr>
      <w:r>
        <w:rPr>
          <w:rStyle w:val="15"/>
          <w:rFonts w:hint="eastAsia" w:ascii="仿宋" w:hAnsi="仿宋" w:eastAsia="仿宋" w:cstheme="minorBidi"/>
          <w:bCs/>
          <w:color w:val="auto"/>
          <w:kern w:val="2"/>
          <w:sz w:val="32"/>
          <w:szCs w:val="32"/>
          <w:highlight w:val="none"/>
          <w:lang w:val="en-US" w:eastAsia="zh-CN" w:bidi="ar-SA"/>
        </w:rPr>
        <w:t>3</w:t>
      </w:r>
      <w:r>
        <w:rPr>
          <w:rStyle w:val="15"/>
          <w:rFonts w:ascii="仿宋" w:hAnsi="仿宋" w:eastAsia="仿宋" w:cstheme="minorBidi"/>
          <w:bCs/>
          <w:color w:val="auto"/>
          <w:kern w:val="2"/>
          <w:sz w:val="32"/>
          <w:szCs w:val="32"/>
          <w:highlight w:val="none"/>
          <w:lang w:val="en-US" w:eastAsia="zh-CN" w:bidi="ar-SA"/>
        </w:rPr>
        <w:t>.</w:t>
      </w:r>
      <w:r>
        <w:rPr>
          <w:rStyle w:val="15"/>
          <w:rFonts w:hint="eastAsia" w:ascii="仿宋" w:hAnsi="仿宋" w:eastAsia="仿宋" w:cstheme="minorBidi"/>
          <w:bCs/>
          <w:color w:val="auto"/>
          <w:kern w:val="2"/>
          <w:sz w:val="32"/>
          <w:szCs w:val="32"/>
          <w:highlight w:val="none"/>
          <w:lang w:val="en-US" w:eastAsia="zh-CN" w:bidi="ar-SA"/>
        </w:rPr>
        <w:t>教育支出（类）普通教育（款）学前教育（项）</w:t>
      </w:r>
      <w:r>
        <w:rPr>
          <w:rStyle w:val="15"/>
          <w:rFonts w:ascii="仿宋" w:hAnsi="仿宋" w:eastAsia="仿宋" w:cstheme="minorBidi"/>
          <w:bCs/>
          <w:color w:val="auto"/>
          <w:kern w:val="2"/>
          <w:sz w:val="32"/>
          <w:szCs w:val="32"/>
          <w:highlight w:val="none"/>
          <w:lang w:val="en-US" w:eastAsia="zh-CN" w:bidi="ar-SA"/>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4515.02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61.55</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一是年末下达的学前教育发展专项补助资金项目正在实施，项目资金573万元未拨付使用；二是学前教育债券建设正在实施，项目资金2219.13万元结转下年。</w:t>
      </w:r>
    </w:p>
    <w:p>
      <w:pPr>
        <w:pStyle w:val="5"/>
        <w:keepNext w:val="0"/>
        <w:keepLines w:val="0"/>
        <w:pageBreakBefore w:val="0"/>
        <w:widowControl w:val="0"/>
        <w:kinsoku/>
        <w:wordWrap/>
        <w:overflowPunct/>
        <w:topLinePunct w:val="0"/>
        <w:autoSpaceDE/>
        <w:autoSpaceDN/>
        <w:bidi w:val="0"/>
        <w:adjustRightInd/>
        <w:snapToGrid w:val="0"/>
        <w:spacing w:beforeLines="0" w:line="550" w:lineRule="exact"/>
        <w:ind w:firstLine="642" w:firstLineChars="200"/>
        <w:textAlignment w:val="auto"/>
        <w:outlineLvl w:val="2"/>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教育支出（类）普通教育（款）小学教育（项）</w:t>
      </w:r>
      <w:r>
        <w:rPr>
          <w:rStyle w:val="15"/>
          <w:rFonts w:ascii="仿宋" w:hAnsi="仿宋" w:eastAsia="仿宋" w:cstheme="minorBidi"/>
          <w:bCs/>
          <w:color w:val="auto"/>
          <w:kern w:val="2"/>
          <w:sz w:val="32"/>
          <w:szCs w:val="32"/>
          <w:highlight w:val="none"/>
          <w:lang w:val="en-US" w:eastAsia="zh-CN" w:bidi="ar-SA"/>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0.00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深化教育改革和能力提升工作经费等项目正在实施，项目资金60万元结转下年</w:t>
      </w:r>
      <w:r>
        <w:rPr>
          <w:rStyle w:val="15"/>
          <w:rFonts w:hint="eastAsia" w:ascii="仿宋" w:hAnsi="仿宋" w:eastAsia="仿宋"/>
          <w:b w:val="0"/>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教育支出（类）普通教育（款）初中教育（项）</w:t>
      </w:r>
      <w:r>
        <w:rPr>
          <w:rStyle w:val="15"/>
          <w:rFonts w:ascii="仿宋" w:hAnsi="仿宋" w:eastAsia="仿宋" w:cstheme="minorBidi"/>
          <w:bCs/>
          <w:color w:val="auto"/>
          <w:kern w:val="2"/>
          <w:sz w:val="32"/>
          <w:szCs w:val="32"/>
          <w:highlight w:val="none"/>
          <w:lang w:val="en-US" w:eastAsia="zh-CN" w:bidi="ar-SA"/>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736.49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98.26</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本级直属事业单位人员奖励性绩效工资结转至下年1月支付。</w:t>
      </w:r>
    </w:p>
    <w:p>
      <w:pPr>
        <w:pStyle w:val="5"/>
        <w:keepNext w:val="0"/>
        <w:keepLines w:val="0"/>
        <w:pageBreakBefore w:val="0"/>
        <w:widowControl w:val="0"/>
        <w:kinsoku/>
        <w:wordWrap/>
        <w:overflowPunct/>
        <w:topLinePunct w:val="0"/>
        <w:autoSpaceDE/>
        <w:autoSpaceDN/>
        <w:bidi w:val="0"/>
        <w:adjustRightInd/>
        <w:snapToGrid w:val="0"/>
        <w:spacing w:beforeLines="0" w:line="550" w:lineRule="exact"/>
        <w:ind w:firstLine="642" w:firstLineChars="200"/>
        <w:textAlignment w:val="auto"/>
        <w:outlineLvl w:val="2"/>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Style w:val="15"/>
          <w:rFonts w:hint="eastAsia" w:ascii="仿宋" w:hAnsi="仿宋" w:eastAsia="仿宋"/>
          <w:bCs/>
          <w:color w:val="auto"/>
          <w:sz w:val="32"/>
          <w:szCs w:val="32"/>
          <w:highlight w:val="none"/>
          <w:lang w:val="en-US" w:eastAsia="zh-CN"/>
        </w:rPr>
        <w:t>6</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教育支出（类）普通教育（款）高中教育（项）</w:t>
      </w:r>
      <w:r>
        <w:rPr>
          <w:rStyle w:val="15"/>
          <w:rFonts w:ascii="仿宋" w:hAnsi="仿宋" w:eastAsia="仿宋" w:cstheme="minorBidi"/>
          <w:bCs/>
          <w:color w:val="auto"/>
          <w:kern w:val="2"/>
          <w:sz w:val="32"/>
          <w:szCs w:val="32"/>
          <w:highlight w:val="none"/>
          <w:lang w:val="en-US" w:eastAsia="zh-CN" w:bidi="ar-SA"/>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10.18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3.16</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年末下达的区级优质教育质量考核项目正在实施，项目资金300.00万元结转下年。</w:t>
      </w:r>
    </w:p>
    <w:p>
      <w:pPr>
        <w:pStyle w:val="5"/>
        <w:keepNext w:val="0"/>
        <w:keepLines w:val="0"/>
        <w:pageBreakBefore w:val="0"/>
        <w:widowControl w:val="0"/>
        <w:kinsoku/>
        <w:wordWrap/>
        <w:overflowPunct/>
        <w:topLinePunct w:val="0"/>
        <w:autoSpaceDE/>
        <w:autoSpaceDN/>
        <w:bidi w:val="0"/>
        <w:adjustRightInd/>
        <w:snapToGrid w:val="0"/>
        <w:spacing w:beforeLines="0" w:line="550" w:lineRule="exact"/>
        <w:ind w:firstLine="642" w:firstLineChars="200"/>
        <w:textAlignment w:val="auto"/>
        <w:outlineLvl w:val="2"/>
        <w:rPr>
          <w:rStyle w:val="15"/>
          <w:rFonts w:hint="default" w:ascii="仿宋" w:hAnsi="仿宋" w:eastAsia="仿宋"/>
          <w:b w:val="0"/>
          <w:bCs/>
          <w:color w:val="000000" w:themeColor="text1"/>
          <w:sz w:val="32"/>
          <w:szCs w:val="32"/>
          <w:highlight w:val="none"/>
          <w:lang w:val="en-US" w:eastAsia="zh-CN"/>
          <w14:textFill>
            <w14:solidFill>
              <w14:schemeClr w14:val="tx1"/>
            </w14:solidFill>
          </w14:textFill>
        </w:rPr>
      </w:pPr>
      <w:r>
        <w:rPr>
          <w:rStyle w:val="15"/>
          <w:rFonts w:hint="eastAsia" w:ascii="仿宋" w:hAnsi="仿宋" w:eastAsia="仿宋"/>
          <w:bCs/>
          <w:color w:val="auto"/>
          <w:sz w:val="32"/>
          <w:szCs w:val="32"/>
          <w:highlight w:val="none"/>
          <w:lang w:val="en-US" w:eastAsia="zh-CN"/>
        </w:rPr>
        <w:t>7</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教育支出（类）普通教育（款）高等教育（项）</w:t>
      </w:r>
      <w:r>
        <w:rPr>
          <w:rStyle w:val="15"/>
          <w:rFonts w:ascii="仿宋" w:hAnsi="仿宋" w:eastAsia="仿宋" w:cstheme="minorBidi"/>
          <w:bCs/>
          <w:color w:val="auto"/>
          <w:kern w:val="2"/>
          <w:sz w:val="32"/>
          <w:szCs w:val="32"/>
          <w:highlight w:val="none"/>
          <w:lang w:val="en-US" w:eastAsia="zh-CN" w:bidi="ar-SA"/>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85.00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val="en-US" w:eastAsia="zh-CN"/>
        </w:rPr>
        <w:t>等于</w:t>
      </w:r>
      <w:r>
        <w:rPr>
          <w:rStyle w:val="15"/>
          <w:rFonts w:hint="eastAsia" w:ascii="仿宋" w:hAnsi="仿宋" w:eastAsia="仿宋"/>
          <w:b w:val="0"/>
          <w:bCs/>
          <w:color w:val="auto"/>
          <w:sz w:val="32"/>
          <w:szCs w:val="32"/>
          <w:highlight w:val="none"/>
        </w:rPr>
        <w:t>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建档立卡全日制本专科学费生活费补助等项目年初预算精准，</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项目实施中及时根据支出情况调整预算。</w:t>
      </w:r>
    </w:p>
    <w:p>
      <w:pPr>
        <w:pStyle w:val="5"/>
        <w:keepNext w:val="0"/>
        <w:keepLines w:val="0"/>
        <w:pageBreakBefore w:val="0"/>
        <w:widowControl w:val="0"/>
        <w:kinsoku/>
        <w:wordWrap/>
        <w:overflowPunct/>
        <w:topLinePunct w:val="0"/>
        <w:autoSpaceDE/>
        <w:autoSpaceDN/>
        <w:bidi w:val="0"/>
        <w:adjustRightInd/>
        <w:snapToGrid w:val="0"/>
        <w:spacing w:beforeLines="0" w:line="550" w:lineRule="exact"/>
        <w:ind w:firstLine="642" w:firstLineChars="200"/>
        <w:textAlignment w:val="auto"/>
        <w:outlineLvl w:val="2"/>
        <w:rPr>
          <w:rStyle w:val="15"/>
          <w:rFonts w:hint="default"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pPr>
      <w:r>
        <w:rPr>
          <w:rStyle w:val="15"/>
          <w:rFonts w:hint="eastAsia" w:ascii="仿宋" w:hAnsi="仿宋" w:eastAsia="仿宋"/>
          <w:bCs/>
          <w:color w:val="auto"/>
          <w:sz w:val="32"/>
          <w:szCs w:val="32"/>
          <w:highlight w:val="none"/>
          <w:lang w:val="en-US" w:eastAsia="zh-CN"/>
        </w:rPr>
        <w:t>8</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教育支出（类）普通教育（款）其他普通教育（项）</w:t>
      </w:r>
      <w:r>
        <w:rPr>
          <w:rStyle w:val="15"/>
          <w:rFonts w:ascii="仿宋" w:hAnsi="仿宋" w:eastAsia="仿宋" w:cstheme="minorBidi"/>
          <w:bCs/>
          <w:color w:val="auto"/>
          <w:kern w:val="2"/>
          <w:sz w:val="32"/>
          <w:szCs w:val="32"/>
          <w:highlight w:val="none"/>
          <w:lang w:val="en-US" w:eastAsia="zh-CN" w:bidi="ar-SA"/>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254.79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48.08</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年末下达的小区配套园转普惠补助经费等项目正在实施，项目资金193.19万元结转下年使用。</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5"/>
          <w:rFonts w:hint="default" w:ascii="仿宋" w:hAnsi="仿宋" w:eastAsia="仿宋"/>
          <w:bCs/>
          <w:color w:val="000000" w:themeColor="text1"/>
          <w:sz w:val="32"/>
          <w:szCs w:val="32"/>
          <w:highlight w:val="none"/>
          <w:lang w:val="en-US" w:eastAsia="zh-CN"/>
          <w14:textFill>
            <w14:solidFill>
              <w14:schemeClr w14:val="tx1"/>
            </w14:solidFill>
          </w14:textFill>
        </w:rPr>
      </w:pPr>
      <w:r>
        <w:rPr>
          <w:rStyle w:val="15"/>
          <w:rFonts w:hint="eastAsia" w:ascii="仿宋" w:hAnsi="仿宋" w:eastAsia="仿宋"/>
          <w:bCs/>
          <w:color w:val="auto"/>
          <w:sz w:val="32"/>
          <w:szCs w:val="32"/>
          <w:highlight w:val="none"/>
          <w:lang w:val="en-US" w:eastAsia="zh-CN"/>
        </w:rPr>
        <w:t>9</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教育支出（类）职业教育（款）中等职业教育（项）</w:t>
      </w:r>
      <w:r>
        <w:rPr>
          <w:rStyle w:val="15"/>
          <w:rFonts w:ascii="仿宋" w:hAnsi="仿宋" w:eastAsia="仿宋" w:cstheme="minorBidi"/>
          <w:bCs/>
          <w:color w:val="auto"/>
          <w:kern w:val="2"/>
          <w:sz w:val="32"/>
          <w:szCs w:val="32"/>
          <w:highlight w:val="none"/>
          <w:lang w:val="en-US" w:eastAsia="zh-CN" w:bidi="ar-SA"/>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11.80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88.99</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年末下达</w:t>
      </w:r>
      <w:r>
        <w:rPr>
          <w:rStyle w:val="15"/>
          <w:rFonts w:hint="eastAsia" w:ascii="仿宋" w:hAnsi="仿宋" w:eastAsia="仿宋"/>
          <w:b w:val="0"/>
          <w:bCs/>
          <w:color w:val="000000" w:themeColor="text1"/>
          <w:sz w:val="32"/>
          <w:szCs w:val="32"/>
          <w:highlight w:val="none"/>
          <w14:textFill>
            <w14:solidFill>
              <w14:schemeClr w14:val="tx1"/>
            </w14:solidFill>
          </w14:textFill>
        </w:rPr>
        <w:t>建档立卡贫困家庭中职学生补助</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项目正在实施，项目资金1.46万元结转下年使用。</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5"/>
          <w:rFonts w:ascii="仿宋" w:hAnsi="仿宋" w:eastAsia="仿宋"/>
          <w:bCs/>
          <w:color w:val="000000" w:themeColor="text1"/>
          <w:sz w:val="32"/>
          <w:szCs w:val="32"/>
          <w:highlight w:val="none"/>
          <w14:textFill>
            <w14:solidFill>
              <w14:schemeClr w14:val="tx1"/>
            </w14:solidFill>
          </w14:textFill>
        </w:rPr>
      </w:pPr>
      <w:r>
        <w:rPr>
          <w:rStyle w:val="15"/>
          <w:rFonts w:hint="eastAsia" w:ascii="仿宋" w:hAnsi="仿宋" w:eastAsia="仿宋"/>
          <w:bCs/>
          <w:color w:val="auto"/>
          <w:sz w:val="32"/>
          <w:szCs w:val="32"/>
          <w:highlight w:val="none"/>
          <w:lang w:val="en-US" w:eastAsia="zh-CN"/>
        </w:rPr>
        <w:t>10</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教育支出（类）职业教育（款）高等职业教育（项）</w:t>
      </w:r>
      <w:r>
        <w:rPr>
          <w:rStyle w:val="15"/>
          <w:rFonts w:ascii="仿宋" w:hAnsi="仿宋" w:eastAsia="仿宋" w:cstheme="minorBidi"/>
          <w:bCs/>
          <w:color w:val="auto"/>
          <w:kern w:val="2"/>
          <w:sz w:val="32"/>
          <w:szCs w:val="32"/>
          <w:highlight w:val="none"/>
          <w:lang w:val="en-US" w:eastAsia="zh-CN" w:bidi="ar-SA"/>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17.2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val="en-US" w:eastAsia="zh-CN"/>
        </w:rPr>
        <w:t>等于</w:t>
      </w:r>
      <w:r>
        <w:rPr>
          <w:rStyle w:val="15"/>
          <w:rFonts w:hint="eastAsia" w:ascii="仿宋" w:hAnsi="仿宋" w:eastAsia="仿宋"/>
          <w:b w:val="0"/>
          <w:bCs/>
          <w:color w:val="auto"/>
          <w:sz w:val="32"/>
          <w:szCs w:val="32"/>
          <w:highlight w:val="none"/>
        </w:rPr>
        <w:t>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建档立卡全日制本专科学费生活费补助等项目年初预算精准，</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项目实施中及时根据支出情况调整预算。</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5"/>
          <w:rFonts w:hint="default" w:ascii="仿宋" w:hAnsi="仿宋" w:eastAsia="仿宋"/>
          <w:bCs/>
          <w:color w:val="000000" w:themeColor="text1"/>
          <w:sz w:val="32"/>
          <w:szCs w:val="32"/>
          <w:highlight w:val="none"/>
          <w:lang w:val="en-US" w:eastAsia="zh-CN"/>
          <w14:textFill>
            <w14:solidFill>
              <w14:schemeClr w14:val="tx1"/>
            </w14:solidFill>
          </w14:textFill>
        </w:rPr>
      </w:pPr>
      <w:r>
        <w:rPr>
          <w:rStyle w:val="15"/>
          <w:rFonts w:hint="eastAsia" w:ascii="仿宋" w:hAnsi="仿宋" w:eastAsia="仿宋"/>
          <w:bCs/>
          <w:color w:val="auto"/>
          <w:sz w:val="32"/>
          <w:szCs w:val="32"/>
          <w:highlight w:val="none"/>
          <w:lang w:val="en-US" w:eastAsia="zh-CN"/>
        </w:rPr>
        <w:t>11</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教育支出（类）教育费附加安排的支出（款）城市中小学教育设施（项）</w:t>
      </w:r>
      <w:r>
        <w:rPr>
          <w:rStyle w:val="15"/>
          <w:rFonts w:ascii="仿宋" w:hAnsi="仿宋" w:eastAsia="仿宋" w:cstheme="minorBidi"/>
          <w:bCs/>
          <w:color w:val="auto"/>
          <w:kern w:val="2"/>
          <w:sz w:val="32"/>
          <w:szCs w:val="32"/>
          <w:highlight w:val="none"/>
          <w:lang w:val="en-US" w:eastAsia="zh-CN" w:bidi="ar-SA"/>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268.73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98.57</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val="en-US" w:eastAsia="zh-CN"/>
        </w:rPr>
        <w:t>小于</w:t>
      </w:r>
      <w:r>
        <w:rPr>
          <w:rStyle w:val="15"/>
          <w:rFonts w:hint="eastAsia" w:ascii="仿宋" w:hAnsi="仿宋" w:eastAsia="仿宋"/>
          <w:b w:val="0"/>
          <w:bCs/>
          <w:color w:val="auto"/>
          <w:sz w:val="32"/>
          <w:szCs w:val="32"/>
          <w:highlight w:val="none"/>
        </w:rPr>
        <w:t>预算数的主要原因是</w:t>
      </w:r>
      <w:r>
        <w:rPr>
          <w:rStyle w:val="15"/>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智慧广元</w:t>
      </w:r>
      <w:r>
        <w:rPr>
          <w:rStyle w:val="15"/>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一期建设部分设备质保金3.91万元结转下年。</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5"/>
          <w:rFonts w:hint="default" w:ascii="仿宋" w:hAnsi="仿宋" w:eastAsia="仿宋"/>
          <w:bCs/>
          <w:color w:val="000000" w:themeColor="text1"/>
          <w:sz w:val="32"/>
          <w:szCs w:val="32"/>
          <w:highlight w:val="none"/>
          <w:lang w:val="en-US" w:eastAsia="zh-CN"/>
          <w14:textFill>
            <w14:solidFill>
              <w14:schemeClr w14:val="tx1"/>
            </w14:solidFill>
          </w14:textFill>
        </w:rPr>
      </w:pPr>
      <w:r>
        <w:rPr>
          <w:rStyle w:val="15"/>
          <w:rFonts w:hint="eastAsia" w:ascii="仿宋" w:hAnsi="仿宋" w:eastAsia="仿宋"/>
          <w:bCs/>
          <w:color w:val="auto"/>
          <w:sz w:val="32"/>
          <w:szCs w:val="32"/>
          <w:highlight w:val="none"/>
          <w:lang w:val="en-US" w:eastAsia="zh-CN"/>
        </w:rPr>
        <w:t>12</w:t>
      </w:r>
      <w:r>
        <w:rPr>
          <w:rStyle w:val="15"/>
          <w:rFonts w:ascii="仿宋" w:hAnsi="仿宋" w:eastAsia="仿宋"/>
          <w:bCs/>
          <w:color w:val="auto"/>
          <w:sz w:val="32"/>
          <w:szCs w:val="32"/>
          <w:highlight w:val="none"/>
        </w:rPr>
        <w:t>.</w:t>
      </w:r>
      <w:r>
        <w:rPr>
          <w:rStyle w:val="15"/>
          <w:rFonts w:hint="eastAsia" w:ascii="仿宋" w:hAnsi="仿宋" w:eastAsia="仿宋" w:cstheme="minorBidi"/>
          <w:bCs/>
          <w:color w:val="auto"/>
          <w:kern w:val="2"/>
          <w:sz w:val="32"/>
          <w:szCs w:val="32"/>
          <w:highlight w:val="none"/>
          <w:lang w:val="en-US" w:eastAsia="zh-CN" w:bidi="ar-SA"/>
        </w:rPr>
        <w:t>教育支出（类）其他教育支出（款）其他教育支出（项）</w:t>
      </w:r>
      <w:r>
        <w:rPr>
          <w:rStyle w:val="15"/>
          <w:rFonts w:ascii="仿宋" w:hAnsi="仿宋" w:eastAsia="仿宋" w:cstheme="minorBidi"/>
          <w:bCs/>
          <w:color w:val="auto"/>
          <w:kern w:val="2"/>
          <w:sz w:val="32"/>
          <w:szCs w:val="32"/>
          <w:highlight w:val="none"/>
          <w:lang w:val="en-US" w:eastAsia="zh-CN" w:bidi="ar-SA"/>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val="en-US" w:eastAsia="zh-CN"/>
        </w:rPr>
        <w:t>等于</w:t>
      </w:r>
      <w:r>
        <w:rPr>
          <w:rStyle w:val="15"/>
          <w:rFonts w:hint="eastAsia" w:ascii="仿宋" w:hAnsi="仿宋" w:eastAsia="仿宋"/>
          <w:b w:val="0"/>
          <w:bCs/>
          <w:color w:val="auto"/>
          <w:sz w:val="32"/>
          <w:szCs w:val="32"/>
          <w:highlight w:val="none"/>
        </w:rPr>
        <w:t>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年初预算根据项目实际编列</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，项目实施中及时根据支出情况调整预算。</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pPr>
      <w:r>
        <w:rPr>
          <w:rStyle w:val="15"/>
          <w:rFonts w:hint="eastAsia" w:ascii="仿宋" w:hAnsi="仿宋" w:eastAsia="仿宋"/>
          <w:bCs/>
          <w:color w:val="auto"/>
          <w:sz w:val="32"/>
          <w:szCs w:val="32"/>
          <w:highlight w:val="none"/>
          <w:lang w:val="en-US" w:eastAsia="zh-CN"/>
        </w:rPr>
        <w:t>13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val="en-US"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行政单位离退休</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10.28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项目实施中及时根据支出情况调整预算。</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color w:val="000000" w:themeColor="text1"/>
          <w14:textFill>
            <w14:solidFill>
              <w14:schemeClr w14:val="tx1"/>
            </w14:solidFill>
          </w14:textFill>
        </w:rPr>
      </w:pPr>
      <w:r>
        <w:rPr>
          <w:rStyle w:val="15"/>
          <w:rFonts w:hint="eastAsia" w:ascii="仿宋" w:hAnsi="仿宋" w:eastAsia="仿宋"/>
          <w:bCs/>
          <w:color w:val="auto"/>
          <w:sz w:val="32"/>
          <w:szCs w:val="32"/>
          <w:highlight w:val="none"/>
          <w:lang w:val="en-US" w:eastAsia="zh-CN"/>
        </w:rPr>
        <w:t>14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val="en-US"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机关事业单位基本养老保险缴费支出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77.83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，项目实施中及时根据支出情况调整预算。</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color w:val="000000" w:themeColor="text1"/>
          <w14:textFill>
            <w14:solidFill>
              <w14:schemeClr w14:val="tx1"/>
            </w14:solidFill>
          </w14:textFill>
        </w:rPr>
      </w:pPr>
      <w:r>
        <w:rPr>
          <w:rStyle w:val="15"/>
          <w:rFonts w:hint="eastAsia" w:ascii="仿宋" w:hAnsi="仿宋" w:eastAsia="仿宋"/>
          <w:bCs/>
          <w:color w:val="auto"/>
          <w:sz w:val="32"/>
          <w:szCs w:val="32"/>
          <w:highlight w:val="none"/>
          <w:lang w:val="en-US" w:eastAsia="zh-CN"/>
        </w:rPr>
        <w:t>15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val="en-US"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机关事业单位职业年金缴费支出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11.52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项目实施中及时根据支出情况调整预算。</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pPr>
      <w:r>
        <w:rPr>
          <w:rStyle w:val="15"/>
          <w:rFonts w:hint="eastAsia" w:ascii="仿宋" w:hAnsi="仿宋" w:eastAsia="仿宋"/>
          <w:bCs/>
          <w:color w:val="auto"/>
          <w:sz w:val="32"/>
          <w:szCs w:val="32"/>
          <w:highlight w:val="none"/>
          <w:lang w:val="en-US" w:eastAsia="zh-CN"/>
        </w:rPr>
        <w:t>16</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val="en-US" w:eastAsia="zh-CN"/>
        </w:rPr>
        <w:t>行政事业单位医疗</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行政单位医疗</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项目实施中及时根据支出情况调整预算。</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Fonts w:ascii="仿宋" w:hAnsi="仿宋" w:eastAsia="仿宋"/>
          <w:color w:val="000000" w:themeColor="text1"/>
          <w:sz w:val="32"/>
          <w:szCs w:val="32"/>
          <w:highlight w:val="none"/>
          <w14:textFill>
            <w14:solidFill>
              <w14:schemeClr w14:val="tx1"/>
            </w14:solidFill>
          </w14:textFill>
        </w:rPr>
      </w:pPr>
      <w:r>
        <w:rPr>
          <w:rStyle w:val="15"/>
          <w:rFonts w:hint="eastAsia" w:ascii="仿宋" w:hAnsi="仿宋" w:eastAsia="仿宋"/>
          <w:bCs/>
          <w:color w:val="auto"/>
          <w:sz w:val="32"/>
          <w:szCs w:val="32"/>
          <w:highlight w:val="none"/>
          <w:lang w:val="en-US" w:eastAsia="zh-CN"/>
        </w:rPr>
        <w:t>17</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val="en-US" w:eastAsia="zh-CN"/>
        </w:rPr>
        <w:t>行政事业单位医疗</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事业单位医疗</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31.75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hint="eastAsia" w:ascii="仿宋" w:hAnsi="仿宋" w:eastAsia="仿宋"/>
          <w:b w:val="0"/>
          <w:bCs/>
          <w:color w:val="auto"/>
          <w:sz w:val="32"/>
          <w:szCs w:val="32"/>
          <w:highlight w:val="none"/>
        </w:rPr>
        <w:t>，决算数等于预算数的主要原因是</w:t>
      </w:r>
      <w:r>
        <w:rPr>
          <w:rStyle w:val="15"/>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项目实施中及时根据支出情况调整预算。</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keepNext w:val="0"/>
        <w:keepLines w:val="0"/>
        <w:pageBreakBefore w:val="0"/>
        <w:widowControl w:val="0"/>
        <w:tabs>
          <w:tab w:val="right" w:pos="8306"/>
        </w:tabs>
        <w:kinsoku/>
        <w:wordWrap/>
        <w:overflowPunct/>
        <w:topLinePunct w:val="0"/>
        <w:autoSpaceDE/>
        <w:autoSpaceDN/>
        <w:bidi w:val="0"/>
        <w:adjustRightInd/>
        <w:snapToGrid w:val="0"/>
        <w:spacing w:line="550" w:lineRule="exact"/>
        <w:ind w:firstLine="640"/>
        <w:textAlignment w:val="auto"/>
        <w:outlineLvl w:val="1"/>
        <w:rPr>
          <w:rStyle w:val="26"/>
          <w:color w:val="auto"/>
          <w:highlight w:val="none"/>
        </w:rPr>
      </w:pPr>
      <w:bookmarkStart w:id="36" w:name="_Toc22707"/>
      <w:bookmarkStart w:id="37" w:name="_Toc15377214"/>
      <w:bookmarkStart w:id="38"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6"/>
      <w:bookmarkEnd w:id="37"/>
      <w:bookmarkEnd w:id="38"/>
      <w:r>
        <w:rPr>
          <w:rStyle w:val="26"/>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w:t>
      </w:r>
      <w:r>
        <w:rPr>
          <w:rFonts w:ascii="仿宋" w:hAnsi="仿宋" w:eastAsia="仿宋"/>
          <w:color w:val="auto"/>
          <w:spacing w:val="-6"/>
          <w:sz w:val="32"/>
          <w:szCs w:val="32"/>
          <w:highlight w:val="none"/>
        </w:rPr>
        <w:t>0</w:t>
      </w:r>
      <w:r>
        <w:rPr>
          <w:rFonts w:hint="eastAsia" w:ascii="仿宋" w:hAnsi="仿宋" w:eastAsia="仿宋"/>
          <w:color w:val="auto"/>
          <w:spacing w:val="-6"/>
          <w:sz w:val="32"/>
          <w:szCs w:val="32"/>
          <w:highlight w:val="none"/>
          <w:lang w:val="en-US" w:eastAsia="zh-CN"/>
        </w:rPr>
        <w:t>21</w:t>
      </w:r>
      <w:r>
        <w:rPr>
          <w:rFonts w:hint="eastAsia" w:ascii="仿宋" w:hAnsi="仿宋" w:eastAsia="仿宋"/>
          <w:color w:val="auto"/>
          <w:spacing w:val="-6"/>
          <w:sz w:val="32"/>
          <w:szCs w:val="32"/>
          <w:highlight w:val="none"/>
        </w:rPr>
        <w:t>年一般公共预算财政拨款基本支出</w:t>
      </w:r>
      <w:r>
        <w:rPr>
          <w:rFonts w:hint="eastAsia" w:ascii="仿宋" w:hAnsi="仿宋" w:eastAsia="仿宋"/>
          <w:color w:val="auto"/>
          <w:spacing w:val="-6"/>
          <w:sz w:val="32"/>
          <w:szCs w:val="32"/>
          <w:highlight w:val="none"/>
          <w:lang w:val="en-US" w:eastAsia="zh-CN"/>
        </w:rPr>
        <w:t>1183.24</w:t>
      </w:r>
      <w:r>
        <w:rPr>
          <w:rFonts w:hint="eastAsia" w:ascii="仿宋" w:hAnsi="仿宋" w:eastAsia="仿宋"/>
          <w:color w:val="auto"/>
          <w:spacing w:val="-6"/>
          <w:sz w:val="32"/>
          <w:szCs w:val="32"/>
          <w:highlight w:val="none"/>
        </w:rPr>
        <w:t>万元，其中：</w:t>
      </w:r>
    </w:p>
    <w:p>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1082.76</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100.47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1"/>
        <w:rPr>
          <w:rStyle w:val="26"/>
          <w:rFonts w:ascii="黑体" w:hAnsi="黑体" w:eastAsia="黑体"/>
          <w:b w:val="0"/>
          <w:color w:val="auto"/>
          <w:highlight w:val="none"/>
        </w:rPr>
      </w:pPr>
      <w:bookmarkStart w:id="39" w:name="_Toc15396609"/>
      <w:bookmarkStart w:id="40" w:name="_Toc17578"/>
      <w:bookmarkStart w:id="41" w:name="_Toc15377215"/>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9"/>
      <w:bookmarkEnd w:id="40"/>
      <w:bookmarkEnd w:id="41"/>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hint="eastAsia" w:ascii="楷体" w:hAnsi="楷体" w:eastAsia="楷体" w:cs="楷体"/>
          <w:b w:val="0"/>
          <w:bCs/>
          <w:color w:val="auto"/>
          <w:sz w:val="32"/>
          <w:szCs w:val="32"/>
          <w:highlight w:val="none"/>
        </w:rPr>
      </w:pPr>
      <w:bookmarkStart w:id="42" w:name="_Toc15377216"/>
      <w:r>
        <w:rPr>
          <w:rFonts w:hint="eastAsia" w:ascii="楷体" w:hAnsi="楷体" w:eastAsia="楷体" w:cs="楷体"/>
          <w:b w:val="0"/>
          <w:bCs/>
          <w:color w:val="auto"/>
          <w:sz w:val="32"/>
          <w:szCs w:val="32"/>
          <w:highlight w:val="none"/>
        </w:rPr>
        <w:t>（一）“三公”经费财政拨款支出决算总体情况说明</w:t>
      </w:r>
      <w:bookmarkEnd w:id="42"/>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1.90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39.58</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000000" w:themeColor="text1"/>
          <w:sz w:val="32"/>
          <w:szCs w:val="32"/>
          <w:highlight w:val="none"/>
          <w:lang w:val="en-US" w:eastAsia="zh-CN"/>
          <w14:textFill>
            <w14:solidFill>
              <w14:schemeClr w14:val="tx1"/>
            </w14:solidFill>
          </w14:textFill>
        </w:rPr>
        <w:t>受国内新冠病毒肺炎疫情影响，年度公务接待活动次数、接待人数均大幅度减少，公务接待支出降幅较大</w:t>
      </w:r>
      <w:r>
        <w:rPr>
          <w:rFonts w:hint="eastAsia" w:ascii="仿宋" w:hAnsi="仿宋" w:eastAsia="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hint="eastAsia" w:ascii="楷体" w:hAnsi="楷体" w:eastAsia="楷体" w:cs="楷体"/>
          <w:b w:val="0"/>
          <w:bCs/>
          <w:color w:val="auto"/>
          <w:sz w:val="32"/>
          <w:szCs w:val="32"/>
          <w:highlight w:val="none"/>
        </w:rPr>
      </w:pPr>
      <w:bookmarkStart w:id="43" w:name="_Toc15377217"/>
      <w:r>
        <w:rPr>
          <w:rFonts w:hint="eastAsia" w:ascii="楷体" w:hAnsi="楷体" w:eastAsia="楷体" w:cs="楷体"/>
          <w:b w:val="0"/>
          <w:bCs/>
          <w:color w:val="auto"/>
          <w:sz w:val="32"/>
          <w:szCs w:val="32"/>
          <w:highlight w:val="none"/>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outlineLvl w:val="9"/>
        <w:rPr>
          <w:rFonts w:hint="eastAsia" w:ascii="仿宋" w:hAnsi="仿宋" w:eastAsia="仿宋"/>
          <w:color w:val="auto"/>
          <w:sz w:val="32"/>
          <w:szCs w:val="32"/>
          <w:highlight w:val="none"/>
        </w:rPr>
      </w:pPr>
      <w:r>
        <w:rPr>
          <w:rFonts w:ascii="仿宋" w:hAnsi="仿宋" w:eastAsia="仿宋"/>
          <w:sz w:val="32"/>
          <w:szCs w:val="32"/>
        </w:rPr>
        <w:drawing>
          <wp:anchor distT="0" distB="0" distL="114300" distR="114300" simplePos="0" relativeHeight="251665408" behindDoc="0" locked="0" layoutInCell="1" allowOverlap="1">
            <wp:simplePos x="0" y="0"/>
            <wp:positionH relativeFrom="column">
              <wp:posOffset>167005</wp:posOffset>
            </wp:positionH>
            <wp:positionV relativeFrom="paragraph">
              <wp:posOffset>115570</wp:posOffset>
            </wp:positionV>
            <wp:extent cx="5073650" cy="2635250"/>
            <wp:effectExtent l="4445" t="4445" r="8255" b="82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outlineLvl w:val="9"/>
        <w:rPr>
          <w:rFonts w:hint="eastAsia" w:ascii="仿宋" w:hAnsi="仿宋" w:eastAsia="仿宋"/>
          <w:color w:val="auto"/>
          <w:sz w:val="32"/>
          <w:szCs w:val="32"/>
          <w:highlight w:val="none"/>
        </w:rPr>
      </w:pPr>
    </w:p>
    <w:p>
      <w:pPr>
        <w:spacing w:line="600" w:lineRule="exact"/>
        <w:ind w:firstLine="640"/>
        <w:outlineLvl w:val="9"/>
        <w:rPr>
          <w:rFonts w:hint="eastAsia" w:ascii="仿宋" w:hAnsi="仿宋" w:eastAsia="仿宋"/>
          <w:color w:val="auto"/>
          <w:sz w:val="32"/>
          <w:szCs w:val="32"/>
          <w:highlight w:val="none"/>
        </w:rPr>
      </w:pPr>
    </w:p>
    <w:p>
      <w:pPr>
        <w:spacing w:line="600" w:lineRule="exact"/>
        <w:ind w:firstLine="640"/>
        <w:outlineLvl w:val="9"/>
        <w:rPr>
          <w:rFonts w:hint="eastAsia" w:ascii="仿宋" w:hAnsi="仿宋" w:eastAsia="仿宋"/>
          <w:color w:val="auto"/>
          <w:sz w:val="32"/>
          <w:szCs w:val="32"/>
          <w:highlight w:val="none"/>
        </w:rPr>
      </w:pPr>
    </w:p>
    <w:p>
      <w:pPr>
        <w:spacing w:line="600" w:lineRule="exact"/>
        <w:ind w:firstLine="640"/>
        <w:outlineLvl w:val="9"/>
        <w:rPr>
          <w:rFonts w:hint="eastAsia" w:ascii="仿宋" w:hAnsi="仿宋" w:eastAsia="仿宋"/>
          <w:color w:val="auto"/>
          <w:sz w:val="32"/>
          <w:szCs w:val="32"/>
          <w:highlight w:val="none"/>
        </w:rPr>
      </w:pPr>
    </w:p>
    <w:p>
      <w:pPr>
        <w:spacing w:line="600" w:lineRule="exact"/>
        <w:ind w:firstLine="640"/>
        <w:outlineLvl w:val="9"/>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1"/>
        <w:rPr>
          <w:rFonts w:ascii="仿宋" w:hAnsi="仿宋" w:eastAsia="仿宋"/>
          <w:color w:val="auto"/>
          <w:sz w:val="32"/>
          <w:szCs w:val="32"/>
          <w:highlight w:val="none"/>
        </w:rPr>
      </w:pPr>
      <w:bookmarkStart w:id="44" w:name="_Toc1682"/>
      <w:r>
        <w:rPr>
          <w:rFonts w:hint="eastAsia" w:ascii="仿宋" w:hAnsi="仿宋" w:eastAsia="仿宋"/>
          <w:color w:val="auto"/>
          <w:sz w:val="32"/>
          <w:szCs w:val="32"/>
          <w:highlight w:val="none"/>
        </w:rPr>
        <w:t>（图7：“三公”经费财政拨款支出结构）（饼状图）</w:t>
      </w:r>
      <w:bookmarkEnd w:id="44"/>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Fonts w:hint="eastAsia" w:ascii="仿宋_GB2312" w:eastAsia="仿宋_GB2312"/>
          <w:color w:val="auto"/>
          <w:sz w:val="32"/>
          <w:szCs w:val="32"/>
          <w:highlight w:val="none"/>
          <w:lang w:val="en-US" w:eastAsia="zh-CN"/>
        </w:rPr>
        <w:t>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当年未安排因公出国（境）支出预算，无因公出国（境）支出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val="en-US" w:eastAsia="zh-CN"/>
        </w:rPr>
        <w:t>本年度未安排因公出国</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我局公务用车已于2016年全部移交区机关事务局统一管理，未保留公务用车，2021年未安排公务用车购置及运行维护费支出预算，无公务用车购置及运行维护费支出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keepNext w:val="0"/>
        <w:keepLines w:val="0"/>
        <w:pageBreakBefore w:val="0"/>
        <w:widowControl w:val="0"/>
        <w:kinsoku/>
        <w:wordWrap/>
        <w:overflowPunct/>
        <w:topLinePunct w:val="0"/>
        <w:bidi w:val="0"/>
        <w:snapToGrid/>
        <w:spacing w:line="560" w:lineRule="exact"/>
        <w:ind w:firstLine="640"/>
        <w:textAlignment w:val="auto"/>
        <w:outlineLvl w:val="2"/>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1.90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39.58</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2.89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60.33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themeColor="text1"/>
          <w:sz w:val="32"/>
          <w:szCs w:val="32"/>
          <w:highlight w:val="none"/>
          <w:lang w:val="en-US" w:eastAsia="zh-CN"/>
          <w14:textFill>
            <w14:solidFill>
              <w14:schemeClr w14:val="tx1"/>
            </w14:solidFill>
          </w14:textFill>
        </w:rPr>
        <w:t>受国内新冠病毒肺炎疫情影响，年度公务接待活动次数、接待人数均大幅度减少，公务接待支出降幅较大</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auto"/>
          <w:sz w:val="32"/>
          <w:szCs w:val="32"/>
          <w:highlight w:val="none"/>
        </w:rPr>
        <w:t>其中：</w:t>
      </w:r>
    </w:p>
    <w:p>
      <w:pPr>
        <w:keepNext w:val="0"/>
        <w:keepLines w:val="0"/>
        <w:pageBreakBefore w:val="0"/>
        <w:widowControl w:val="0"/>
        <w:kinsoku/>
        <w:wordWrap/>
        <w:overflowPunct/>
        <w:topLinePunct w:val="0"/>
        <w:bidi w:val="0"/>
        <w:snapToGrid/>
        <w:spacing w:line="560" w:lineRule="exact"/>
        <w:ind w:firstLine="640"/>
        <w:textAlignment w:val="auto"/>
        <w:outlineLvl w:val="2"/>
        <w:rPr>
          <w:rFonts w:hint="default"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1.90</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196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1.90</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朝天区教科局考察学前教育管理工作公务接待支出963.00元；（2）昭化区教育局考察农村微型学校联盟工作开展情况公务接待支出896.00元；（3）北京人民数据管理有限公司考察我区心理健康教育活动开展情况公务接待支出893.00元；（4）旺苍县教育系统考察我区学校布局调整、区域教育规划发展等工作公务接待支出1828.00元；（5）苍溪县教育系统考察组调研我区学校安防能力建设工作公务接待支出1150.00元；（6）苍溪县教科局考察学习农村小规模学校建设公务接待支出528.00元；（7）四川艺术职业学院对接书法培训帮扶等工作公务接待支出690.00元；（8）省教育学会、省教科院温馨学校建设课题调研公务接待支出1480.00元；（9）中国卫健医疗大数据学会荣山职教园区项目规划调研公务接待支出1120.00元；（10）青川县教育局考察学习我区校园文化建设和农村小规模学校建设公务接待支出1000.00元；（11）苍溪县教育督导考察组两项改革后半篇基础教育布局优化考察等工作公务接待支出1180.00元；（12）青川县教工委考察学习学校安防能力建设公务接待支出1000.00元；（13）苍溪县幼教考察组调研我区小区配套幼儿园治理等工作公务接待支出768.00元；（14）省教育督导委办公室民办学校招生核查工作公务接待支出1076.00元；（15）剑阁县教育局幼儿园管理、校园文化建设考察工作公务接待支出1560.00元；（16）青川县教育系统小微学校建设考察公务接待支出495.00元；（17）省教育厅政府履行教育职责专项督导公务接待支出1680.00元；（18）西安铁路局闲置资产调研公务接待支出739.00元。</w:t>
      </w:r>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26"/>
          <w:rFonts w:ascii="黑体" w:hAnsi="黑体" w:eastAsia="黑体"/>
          <w:color w:val="auto"/>
          <w:highlight w:val="none"/>
        </w:rPr>
      </w:pPr>
      <w:bookmarkStart w:id="45" w:name="_Toc21094"/>
      <w:bookmarkStart w:id="46" w:name="_Toc15377218"/>
      <w:bookmarkStart w:id="47" w:name="_Toc15396610"/>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5"/>
      <w:bookmarkEnd w:id="46"/>
      <w:bookmarkEnd w:id="47"/>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keepNext w:val="0"/>
        <w:keepLines w:val="0"/>
        <w:pageBreakBefore w:val="0"/>
        <w:widowControl w:val="0"/>
        <w:numPr>
          <w:ilvl w:val="0"/>
          <w:numId w:val="1"/>
        </w:numPr>
        <w:kinsoku/>
        <w:wordWrap/>
        <w:overflowPunct/>
        <w:topLinePunct w:val="0"/>
        <w:bidi w:val="0"/>
        <w:snapToGrid/>
        <w:spacing w:line="560" w:lineRule="exact"/>
        <w:ind w:firstLine="640"/>
        <w:textAlignment w:val="auto"/>
        <w:outlineLvl w:val="1"/>
        <w:rPr>
          <w:rStyle w:val="26"/>
          <w:rFonts w:ascii="黑体" w:hAnsi="黑体" w:eastAsia="黑体"/>
          <w:b w:val="0"/>
          <w:color w:val="auto"/>
          <w:highlight w:val="none"/>
        </w:rPr>
      </w:pPr>
      <w:bookmarkStart w:id="48" w:name="_Toc4469"/>
      <w:bookmarkStart w:id="49" w:name="_Toc15396611"/>
      <w:bookmarkStart w:id="50" w:name="_Toc15377219"/>
      <w:r>
        <w:rPr>
          <w:rStyle w:val="26"/>
          <w:rFonts w:hint="eastAsia" w:ascii="黑体" w:hAnsi="黑体" w:eastAsia="黑体"/>
          <w:b w:val="0"/>
          <w:color w:val="auto"/>
          <w:highlight w:val="none"/>
        </w:rPr>
        <w:t>国有资本经营预算支出决算情况说明</w:t>
      </w:r>
      <w:bookmarkEnd w:id="48"/>
      <w:bookmarkEnd w:id="49"/>
      <w:bookmarkEnd w:id="50"/>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keepNext w:val="0"/>
        <w:keepLines w:val="0"/>
        <w:pageBreakBefore w:val="0"/>
        <w:widowControl w:val="0"/>
        <w:numPr>
          <w:ilvl w:val="0"/>
          <w:numId w:val="1"/>
        </w:numPr>
        <w:kinsoku/>
        <w:wordWrap/>
        <w:overflowPunct/>
        <w:topLinePunct w:val="0"/>
        <w:bidi w:val="0"/>
        <w:snapToGrid/>
        <w:spacing w:line="560" w:lineRule="exact"/>
        <w:ind w:firstLine="640"/>
        <w:textAlignment w:val="auto"/>
        <w:outlineLvl w:val="1"/>
        <w:rPr>
          <w:rStyle w:val="26"/>
          <w:rFonts w:hint="eastAsia" w:ascii="黑体" w:hAnsi="黑体" w:eastAsia="黑体"/>
          <w:b w:val="0"/>
          <w:color w:val="auto"/>
          <w:highlight w:val="none"/>
        </w:rPr>
      </w:pPr>
      <w:bookmarkStart w:id="51" w:name="_Toc10003"/>
      <w:bookmarkStart w:id="52" w:name="_Toc15396612"/>
      <w:bookmarkStart w:id="53" w:name="_Toc15377221"/>
      <w:r>
        <w:rPr>
          <w:rStyle w:val="26"/>
          <w:rFonts w:hint="eastAsia" w:ascii="黑体" w:hAnsi="黑体" w:eastAsia="黑体"/>
          <w:b w:val="0"/>
          <w:color w:val="auto"/>
          <w:highlight w:val="none"/>
        </w:rPr>
        <w:t>其他重要事项的情况说明</w:t>
      </w:r>
      <w:bookmarkEnd w:id="51"/>
      <w:bookmarkEnd w:id="52"/>
      <w:bookmarkEnd w:id="53"/>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4" w:name="_Toc15377222"/>
      <w:r>
        <w:rPr>
          <w:rFonts w:hint="eastAsia" w:ascii="楷体" w:hAnsi="楷体" w:eastAsia="楷体" w:cs="楷体"/>
          <w:b w:val="0"/>
          <w:bCs/>
          <w:color w:val="auto"/>
          <w:sz w:val="32"/>
          <w:szCs w:val="32"/>
          <w:highlight w:val="none"/>
        </w:rPr>
        <w:t>（一）机关运行经费支出情况</w:t>
      </w:r>
      <w:bookmarkEnd w:id="54"/>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default" w:ascii="仿宋_GB2312" w:eastAsia="仿宋_GB2312"/>
          <w:color w:val="000000" w:themeColor="text1"/>
          <w:sz w:val="32"/>
          <w:szCs w:val="32"/>
          <w:highlight w:val="none"/>
          <w:lang w:val="en-US" w:eastAsia="zh-CN"/>
          <w14:textFill>
            <w14:solidFill>
              <w14:schemeClr w14:val="tx1"/>
            </w14:solidFill>
          </w14:textFill>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区教育局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100.47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增加84.35</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19.11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000000" w:themeColor="text1"/>
          <w:sz w:val="32"/>
          <w:szCs w:val="32"/>
          <w:highlight w:val="none"/>
          <w:lang w:val="en-US" w:eastAsia="zh-CN"/>
          <w14:textFill>
            <w14:solidFill>
              <w14:schemeClr w14:val="tx1"/>
            </w14:solidFill>
          </w14:textFill>
        </w:rPr>
        <w:t>一</w:t>
      </w:r>
      <w:r>
        <w:rPr>
          <w:rFonts w:hint="eastAsia" w:ascii="仿宋_GB2312" w:eastAsia="仿宋_GB2312"/>
          <w:color w:val="000000" w:themeColor="text1"/>
          <w:sz w:val="32"/>
          <w:szCs w:val="32"/>
          <w:highlight w:val="none"/>
          <w14:textFill>
            <w14:solidFill>
              <w14:schemeClr w14:val="tx1"/>
            </w14:solidFill>
          </w14:textFill>
        </w:rPr>
        <w:t>是</w:t>
      </w:r>
      <w:r>
        <w:rPr>
          <w:rFonts w:hint="eastAsia" w:ascii="仿宋_GB2312" w:eastAsia="仿宋_GB2312"/>
          <w:color w:val="000000" w:themeColor="text1"/>
          <w:sz w:val="32"/>
          <w:szCs w:val="32"/>
          <w:highlight w:val="none"/>
          <w:lang w:val="en-US" w:eastAsia="zh-CN"/>
          <w14:textFill>
            <w14:solidFill>
              <w14:schemeClr w14:val="tx1"/>
            </w14:solidFill>
          </w14:textFill>
        </w:rPr>
        <w:t>本年度机关实际工作人数增加；二是标准化考场高清改造设备投入运行后运行维护支出增加。</w:t>
      </w:r>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5" w:name="_Toc15377223"/>
      <w:r>
        <w:rPr>
          <w:rFonts w:hint="eastAsia" w:ascii="楷体" w:hAnsi="楷体" w:eastAsia="楷体" w:cs="楷体"/>
          <w:b w:val="0"/>
          <w:bCs/>
          <w:color w:val="auto"/>
          <w:sz w:val="32"/>
          <w:szCs w:val="32"/>
          <w:highlight w:val="none"/>
        </w:rPr>
        <w:t>（二）政府采购支出情况</w:t>
      </w:r>
      <w:bookmarkEnd w:id="55"/>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区教育局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6" w:name="_Toc15377224"/>
      <w:r>
        <w:rPr>
          <w:rFonts w:hint="eastAsia" w:ascii="楷体" w:hAnsi="楷体" w:eastAsia="楷体" w:cs="楷体"/>
          <w:b w:val="0"/>
          <w:bCs/>
          <w:color w:val="auto"/>
          <w:sz w:val="32"/>
          <w:szCs w:val="32"/>
          <w:highlight w:val="none"/>
        </w:rPr>
        <w:t>（三）国有资产占有使用情况</w:t>
      </w:r>
      <w:bookmarkEnd w:id="56"/>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利州区教育局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rPr>
        <w:t>（四）预算绩效管理情况</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标准化考点运行维护</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4个项目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both"/>
        <w:textAlignment w:val="auto"/>
        <w:outlineLvl w:val="2"/>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w:t>
      </w:r>
      <w:r>
        <w:rPr>
          <w:rFonts w:hint="eastAsia" w:ascii="仿宋" w:hAnsi="仿宋" w:eastAsia="仿宋"/>
          <w:b/>
          <w:bCs w:val="0"/>
          <w:color w:val="auto"/>
          <w:sz w:val="30"/>
          <w:szCs w:val="30"/>
          <w:highlight w:val="none"/>
        </w:rPr>
        <w:t>注：</w:t>
      </w:r>
      <w:r>
        <w:rPr>
          <w:rFonts w:hint="eastAsia" w:ascii="仿宋" w:hAnsi="仿宋" w:eastAsia="仿宋"/>
          <w:b/>
          <w:bCs w:val="0"/>
          <w:color w:val="auto"/>
          <w:sz w:val="30"/>
          <w:szCs w:val="30"/>
          <w:highlight w:val="none"/>
          <w:lang w:eastAsia="zh-CN"/>
        </w:rPr>
        <w:t>单位</w:t>
      </w:r>
      <w:r>
        <w:rPr>
          <w:rFonts w:hint="eastAsia" w:ascii="仿宋_GB2312" w:hAnsi="仿宋_GB2312" w:eastAsia="仿宋_GB2312" w:cs="仿宋_GB2312"/>
          <w:b/>
          <w:bCs w:val="0"/>
          <w:color w:val="auto"/>
          <w:sz w:val="30"/>
          <w:szCs w:val="30"/>
          <w:highlight w:val="none"/>
          <w:lang w:val="en-US" w:eastAsia="zh-CN"/>
        </w:rPr>
        <w:t>2021年特定目标类部门预算项目绩效目标自评表为本部门2021年部门整体支出绩效评价报告中涉及本单位的附表</w:t>
      </w:r>
      <w:r>
        <w:rPr>
          <w:rFonts w:hint="eastAsia" w:ascii="仿宋" w:hAnsi="仿宋" w:eastAsia="仿宋"/>
          <w:b/>
          <w:bCs w:val="0"/>
          <w:color w:val="auto"/>
          <w:sz w:val="30"/>
          <w:szCs w:val="30"/>
          <w:highlight w:val="none"/>
        </w:rPr>
        <w:t>）</w:t>
      </w:r>
    </w:p>
    <w:p>
      <w:pPr>
        <w:pStyle w:val="5"/>
        <w:outlineLvl w:val="9"/>
        <w:rPr>
          <w:highlight w:val="yellow"/>
        </w:rPr>
      </w:pPr>
    </w:p>
    <w:p>
      <w:pPr>
        <w:widowControl/>
        <w:jc w:val="left"/>
        <w:outlineLvl w:val="9"/>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2"/>
        </w:numPr>
        <w:spacing w:line="600" w:lineRule="exact"/>
        <w:ind w:firstLine="660" w:firstLineChars="150"/>
        <w:jc w:val="center"/>
        <w:outlineLvl w:val="0"/>
        <w:rPr>
          <w:rStyle w:val="25"/>
          <w:rFonts w:ascii="黑体" w:hAnsi="黑体" w:eastAsia="黑体"/>
          <w:b w:val="0"/>
          <w:color w:val="auto"/>
          <w:highlight w:val="none"/>
        </w:rPr>
      </w:pPr>
      <w:bookmarkStart w:id="57" w:name="_Toc32389"/>
      <w:bookmarkStart w:id="58" w:name="_Toc15377225"/>
      <w:bookmarkStart w:id="59"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7"/>
      <w:bookmarkEnd w:id="58"/>
      <w:bookmarkEnd w:id="59"/>
    </w:p>
    <w:p>
      <w:pPr>
        <w:keepNext w:val="0"/>
        <w:keepLines w:val="0"/>
        <w:pageBreakBefore w:val="0"/>
        <w:widowControl w:val="0"/>
        <w:kinsoku/>
        <w:wordWrap/>
        <w:overflowPunct/>
        <w:topLinePunct w:val="0"/>
        <w:bidi w:val="0"/>
        <w:snapToGrid w:val="0"/>
        <w:spacing w:line="560" w:lineRule="exact"/>
        <w:jc w:val="left"/>
        <w:textAlignment w:val="auto"/>
        <w:outlineLvl w:val="9"/>
        <w:rPr>
          <w:rFonts w:ascii="宋体"/>
          <w:b/>
          <w:color w:val="auto"/>
          <w:sz w:val="44"/>
          <w:szCs w:val="44"/>
          <w:highlight w:val="none"/>
        </w:rPr>
      </w:pP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1"/>
        <w:rPr>
          <w:rFonts w:ascii="仿宋_GB2312" w:eastAsia="仿宋_GB2312"/>
          <w:color w:val="auto"/>
          <w:sz w:val="32"/>
          <w:szCs w:val="32"/>
        </w:rPr>
      </w:pPr>
      <w:bookmarkStart w:id="60"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60"/>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1"/>
        <w:rPr>
          <w:rFonts w:ascii="仿宋_GB2312" w:eastAsia="仿宋_GB2312"/>
          <w:color w:val="auto"/>
          <w:sz w:val="32"/>
          <w:szCs w:val="32"/>
        </w:rPr>
      </w:pPr>
      <w:bookmarkStart w:id="61" w:name="_Toc18447"/>
      <w:r>
        <w:rPr>
          <w:rFonts w:hint="eastAsia" w:ascii="仿宋_GB2312" w:eastAsia="仿宋_GB2312"/>
          <w:color w:val="auto"/>
          <w:sz w:val="32"/>
          <w:szCs w:val="32"/>
        </w:rPr>
        <w:t>2.事业收入：指事业单位开展专业业务活动及辅助活动取得的收入。</w:t>
      </w:r>
      <w:bookmarkEnd w:id="61"/>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1"/>
        <w:rPr>
          <w:rFonts w:ascii="仿宋_GB2312" w:eastAsia="仿宋_GB2312"/>
          <w:color w:val="auto"/>
          <w:sz w:val="32"/>
          <w:szCs w:val="32"/>
        </w:rPr>
      </w:pPr>
      <w:bookmarkStart w:id="62" w:name="_Toc20496"/>
      <w:r>
        <w:rPr>
          <w:rFonts w:hint="eastAsia" w:ascii="仿宋_GB2312" w:eastAsia="仿宋_GB2312"/>
          <w:color w:val="auto"/>
          <w:sz w:val="32"/>
          <w:szCs w:val="32"/>
        </w:rPr>
        <w:t>6.年初结转和结余：指以前年度尚未完成、结转到本年按有关规定继续使用的资金。</w:t>
      </w:r>
      <w:bookmarkEnd w:id="62"/>
      <w:r>
        <w:rPr>
          <w:rFonts w:hint="eastAsia" w:ascii="仿宋_GB2312" w:eastAsia="仿宋_GB2312"/>
          <w:color w:val="auto"/>
          <w:sz w:val="32"/>
          <w:szCs w:val="32"/>
        </w:rPr>
        <w:t xml:space="preserve"> </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1"/>
        <w:rPr>
          <w:rFonts w:ascii="仿宋_GB2312" w:eastAsia="仿宋_GB2312"/>
          <w:color w:val="auto"/>
          <w:sz w:val="32"/>
          <w:szCs w:val="32"/>
        </w:rPr>
      </w:pPr>
      <w:bookmarkStart w:id="63" w:name="_Toc1650"/>
      <w:r>
        <w:rPr>
          <w:rFonts w:hint="eastAsia" w:ascii="仿宋_GB2312" w:eastAsia="仿宋_GB2312"/>
          <w:color w:val="auto"/>
          <w:sz w:val="32"/>
          <w:szCs w:val="32"/>
        </w:rPr>
        <w:t>8、年末结转和结余：指单位按有关规定结转到下年或以后年度继续使用的资金。</w:t>
      </w:r>
      <w:bookmarkEnd w:id="63"/>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9.教育支出（类）教育管理事务（款）行政运行（项）:反映教育行政单位（包括实行公务员管理的事业单位）的基本支出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11. 教育支出（类）教育管理事务（款）其它教育管理事务支出（项）:反映除上述项目以外其它用户教育管理事务方面的支出。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12. 教育支出（类）普通教育（款）学前教育（项）:反映各部门举办的学前教育支出。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14. 教育支出（类）普通教育（款）初中教育（项）: 反映各部门举办的初中教育支出。政府各部门对社会中介组织等举办的初中教育的资助，如捐赠、补贴等，也在本科目中反映。</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15. 教育支出（类）普通教育（款）高中教育（项）: 反映各部门举办的高级中学教育支出。政府各部门对社会中介组织等举办的高级中学的资助，如捐赠、补贴等，也在本科目中反映。</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16. 教育支出（类）普通教育（款）其它普通教育（项）: 反映除上述项目以外其他用于普通教育方面的支出。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17. 教育支出（类）职业教育（款）职业高中教育（项）: 反映各部门举办的职业中学、农业中学（含普通高中改制的）、半工（农）半读中学的支出或补助费</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18. 教育</w:t>
      </w:r>
      <w:r>
        <w:rPr>
          <w:rFonts w:hint="eastAsia" w:ascii="仿宋_GB2312" w:eastAsia="仿宋_GB2312"/>
          <w:color w:val="auto"/>
          <w:spacing w:val="-6"/>
          <w:sz w:val="32"/>
          <w:szCs w:val="32"/>
        </w:rPr>
        <w:t>支出（类）职业教育（款）高等职业教育（项）:反映经国家批准设立的高等职业大学、专科职业教育等方面的</w:t>
      </w:r>
      <w:r>
        <w:rPr>
          <w:rFonts w:hint="eastAsia" w:ascii="仿宋_GB2312" w:eastAsia="仿宋_GB2312"/>
          <w:color w:val="auto"/>
          <w:sz w:val="32"/>
          <w:szCs w:val="32"/>
        </w:rPr>
        <w:t>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19. 教育支出（类）特殊教育（款）特殊学校教育（项）: 指各部门举办的盲童学校、聋哑学校、智力落后儿童学校、其它生理缺陷儿童学校的支出。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20. 教育支出（类）特殊教育（款）工读学校教育（项）:指各部门举办的工读学校的支出。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21. 教育支出（类）教育附加费安排的支出（款）农村中小学校舍建设（项）:反映教育附加费安排用于农村中小学校舍新建、改建、修缮和维护的支出。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22. 教育支出（类）教育附加费安排的支出（款）城市中小学校舍建设（项）: 反映教育附加费安排用于城市中小学校舍新建、改建、修缮和维护的支出。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23. 教育支出（类）教育附加费安排的支出（款）其它教育附加费安排的支出（项）: 指除上述项目以外的教育附加费支出。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24. 教育支出（类）其它教育支出（款）其他教育支出（项）: 指上述项目以外其他用于教育方面的支出。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25. 社会保障和就业支出（类）行政事业单位离退休（款）机关事业单位基本养老保险缴费支出（项）: 指机关事业单位实施养老保险制度由单位缴纳的基本养老保险费支出。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26. 社会保障和就业支出（类）行政事业单位离退休（款）机关事业单位职业年金缴费支出（项）: 指机关事业单位实施养老保险制度由单位实际缴纳的职业年金支出。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27. 社会保障和就业支出（类）抚恤（款）死亡抚恤（项）: 指按规定用于烈士和牺牲、病故人员家属的一次性和定期抚恤金以及丧葬补助费。</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30. 农林水支出（类）扶贫（款）其它扶贫支出（项）: 指除上述项目以外其他用于扶贫方面的支出。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31. 住房保障支出（类）住房改革支出（款）住房公积金（项）: 指行政事业单位按人力资源和社会保障部、财政部规定的基本工资和津贴补贴以及规定比例为职工缴纳的住房公积金。</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32. 其他支出（类）其他支出（款）其他支出（项）: 指上述项目以外其他不能划分到具体功能科目中的支出项目。</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33.</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基本支出：指为保障机构正常运转、完成日常工作任务而发生的人员支出和公用支出。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34.</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项目支出：指在基本支出之外为完成特定行政任务和事业发展目标所发生的支出。 </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35.</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36.</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rPr>
        <w:t>37.</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val="0"/>
        <w:spacing w:line="560" w:lineRule="exact"/>
        <w:ind w:firstLine="64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keepNext w:val="0"/>
        <w:keepLines w:val="0"/>
        <w:pageBreakBefore w:val="0"/>
        <w:widowControl w:val="0"/>
        <w:kinsoku/>
        <w:wordWrap/>
        <w:overflowPunct/>
        <w:topLinePunct w:val="0"/>
        <w:bidi w:val="0"/>
        <w:snapToGrid w:val="0"/>
        <w:spacing w:line="560" w:lineRule="exact"/>
        <w:ind w:firstLine="642"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numPr>
          <w:ilvl w:val="0"/>
          <w:numId w:val="2"/>
        </w:numPr>
        <w:spacing w:line="600" w:lineRule="exact"/>
        <w:ind w:left="0" w:leftChars="0" w:firstLine="0" w:firstLineChars="0"/>
        <w:jc w:val="center"/>
        <w:outlineLvl w:val="0"/>
        <w:rPr>
          <w:rStyle w:val="25"/>
          <w:rFonts w:hint="eastAsia" w:ascii="黑体" w:hAnsi="黑体" w:eastAsia="黑体"/>
          <w:b w:val="0"/>
          <w:color w:val="auto"/>
          <w:highlight w:val="none"/>
        </w:rPr>
      </w:pPr>
      <w:bookmarkStart w:id="64" w:name="_Toc15377226"/>
      <w:r>
        <w:rPr>
          <w:rFonts w:ascii="宋体"/>
          <w:b/>
          <w:color w:val="auto"/>
          <w:sz w:val="44"/>
          <w:szCs w:val="44"/>
          <w:highlight w:val="none"/>
        </w:rPr>
        <w:br w:type="page"/>
      </w:r>
      <w:bookmarkStart w:id="65" w:name="_Toc15396614"/>
      <w:bookmarkStart w:id="66" w:name="_Toc24843"/>
      <w:r>
        <w:rPr>
          <w:rStyle w:val="25"/>
          <w:rFonts w:hint="eastAsia" w:ascii="黑体" w:hAnsi="黑体" w:eastAsia="黑体"/>
          <w:b w:val="0"/>
          <w:color w:val="auto"/>
          <w:highlight w:val="none"/>
        </w:rPr>
        <w:t>附件</w:t>
      </w:r>
      <w:bookmarkEnd w:id="65"/>
      <w:bookmarkEnd w:id="66"/>
    </w:p>
    <w:p>
      <w:pPr>
        <w:outlineLvl w:val="1"/>
        <w:rPr>
          <w:rFonts w:hint="default" w:eastAsia="仿宋_GB2312"/>
          <w:lang w:val="en-US" w:eastAsia="zh-CN"/>
        </w:rPr>
      </w:pPr>
      <w:bookmarkStart w:id="67" w:name="_Toc23859"/>
      <w:r>
        <w:rPr>
          <w:rFonts w:hint="eastAsia"/>
          <w:lang w:val="en-US" w:eastAsia="zh-CN"/>
        </w:rPr>
        <w:t>附件1：</w:t>
      </w:r>
      <w:bookmarkEnd w:id="67"/>
    </w:p>
    <w:p>
      <w:pPr>
        <w:widowControl/>
        <w:spacing w:line="580" w:lineRule="exact"/>
        <w:contextualSpacing/>
        <w:jc w:val="center"/>
        <w:outlineLvl w:val="2"/>
        <w:rPr>
          <w:rFonts w:hint="eastAsia" w:ascii="方正小标宋简体" w:hAnsi="宋体" w:eastAsia="方正小标宋简体"/>
          <w:sz w:val="44"/>
          <w:szCs w:val="44"/>
          <w:shd w:val="clear" w:color="auto" w:fill="FFFFFF"/>
          <w:lang w:val="en-US" w:eastAsia="zh-CN"/>
        </w:rPr>
      </w:pPr>
      <w:r>
        <w:rPr>
          <w:rFonts w:hint="eastAsia" w:ascii="方正小标宋简体" w:hAnsi="宋体" w:eastAsia="方正小标宋简体"/>
          <w:sz w:val="44"/>
          <w:szCs w:val="44"/>
          <w:shd w:val="clear" w:color="auto" w:fill="FFFFFF"/>
          <w:lang w:val="en-US" w:eastAsia="zh-CN"/>
        </w:rPr>
        <w:t>广元市利州区教育局</w:t>
      </w:r>
    </w:p>
    <w:p>
      <w:pPr>
        <w:widowControl/>
        <w:spacing w:line="580" w:lineRule="exact"/>
        <w:contextualSpacing/>
        <w:jc w:val="center"/>
        <w:outlineLvl w:val="2"/>
        <w:rPr>
          <w:rFonts w:hint="eastAsia"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202</w:t>
      </w:r>
      <w:r>
        <w:rPr>
          <w:rFonts w:hint="eastAsia" w:ascii="方正小标宋简体" w:hAnsi="宋体" w:eastAsia="方正小标宋简体"/>
          <w:sz w:val="44"/>
          <w:szCs w:val="44"/>
          <w:shd w:val="clear" w:color="auto" w:fill="FFFFFF"/>
          <w:lang w:val="en-US" w:eastAsia="zh-CN"/>
        </w:rPr>
        <w:t>1</w:t>
      </w:r>
      <w:r>
        <w:rPr>
          <w:rFonts w:hint="eastAsia" w:ascii="方正小标宋简体" w:hAnsi="宋体" w:eastAsia="方正小标宋简体"/>
          <w:sz w:val="44"/>
          <w:szCs w:val="44"/>
          <w:shd w:val="clear" w:color="auto" w:fill="FFFFFF"/>
        </w:rPr>
        <w:t>年</w:t>
      </w:r>
      <w:r>
        <w:rPr>
          <w:rFonts w:hint="eastAsia" w:ascii="方正小标宋简体" w:hAnsi="宋体" w:eastAsia="方正小标宋简体"/>
          <w:sz w:val="44"/>
          <w:szCs w:val="44"/>
          <w:shd w:val="clear" w:color="auto" w:fill="FFFFFF"/>
          <w:lang w:val="en-US" w:eastAsia="zh-CN"/>
        </w:rPr>
        <w:t>部门</w:t>
      </w:r>
      <w:r>
        <w:rPr>
          <w:rFonts w:hint="eastAsia" w:ascii="方正小标宋简体" w:hAnsi="宋体" w:eastAsia="方正小标宋简体"/>
          <w:sz w:val="44"/>
          <w:szCs w:val="44"/>
          <w:shd w:val="clear" w:color="auto" w:fill="FFFFFF"/>
        </w:rPr>
        <w:t>整体支出绩效评价报告</w:t>
      </w:r>
    </w:p>
    <w:p>
      <w:pPr>
        <w:pStyle w:val="5"/>
        <w:keepNext w:val="0"/>
        <w:keepLines w:val="0"/>
        <w:pageBreakBefore w:val="0"/>
        <w:widowControl w:val="0"/>
        <w:kinsoku/>
        <w:wordWrap/>
        <w:overflowPunct/>
        <w:topLinePunct w:val="0"/>
        <w:autoSpaceDE/>
        <w:autoSpaceDN/>
        <w:bidi w:val="0"/>
        <w:snapToGrid w:val="0"/>
        <w:spacing w:beforeLines="0" w:line="540" w:lineRule="exact"/>
        <w:textAlignment w:val="auto"/>
        <w:outlineLvl w:val="9"/>
        <w:rPr>
          <w:rFonts w:hint="eastAsia"/>
        </w:rPr>
      </w:pPr>
    </w:p>
    <w:p>
      <w:pPr>
        <w:keepNext w:val="0"/>
        <w:keepLines w:val="0"/>
        <w:pageBreakBefore w:val="0"/>
        <w:widowControl w:val="0"/>
        <w:kinsoku/>
        <w:wordWrap/>
        <w:overflowPunct/>
        <w:topLinePunct w:val="0"/>
        <w:autoSpaceDE/>
        <w:autoSpaceDN/>
        <w:bidi w:val="0"/>
        <w:snapToGrid w:val="0"/>
        <w:spacing w:line="540" w:lineRule="exact"/>
        <w:ind w:left="0" w:firstLine="640" w:firstLineChars="200"/>
        <w:contextualSpacing/>
        <w:jc w:val="both"/>
        <w:textAlignment w:val="auto"/>
        <w:outlineLvl w:val="2"/>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根据广元市利州区财政局《关于开展2022年部门、政策和项目支出绩效评价工作的通知》（广利财发〔2022〕7号）要求，我局高度重视，及时组织各股室（中心）对2021年度我局整体支出绩效评价进行了自评，现将有关情况报告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outlineLvl w:val="1"/>
        <w:rPr>
          <w:rFonts w:hint="eastAsia" w:ascii="方正黑体简体" w:hAnsi="宋体" w:eastAsia="方正黑体简体" w:cs="宋体"/>
          <w:color w:val="000000"/>
          <w:kern w:val="0"/>
          <w:sz w:val="32"/>
          <w:szCs w:val="32"/>
          <w:shd w:val="clear" w:color="auto" w:fill="FFFFFF"/>
          <w:lang w:val="zh-CN"/>
        </w:rPr>
      </w:pPr>
      <w:bookmarkStart w:id="68" w:name="_Toc30037"/>
      <w:r>
        <w:rPr>
          <w:rFonts w:hint="eastAsia" w:ascii="方正黑体简体" w:hAnsi="宋体" w:eastAsia="方正黑体简体" w:cs="宋体"/>
          <w:color w:val="000000"/>
          <w:kern w:val="0"/>
          <w:sz w:val="32"/>
          <w:szCs w:val="32"/>
          <w:shd w:val="clear" w:color="auto" w:fill="FFFFFF"/>
          <w:lang w:val="zh-CN"/>
        </w:rPr>
        <w:t>部门（单位）概况</w:t>
      </w:r>
      <w:bookmarkEnd w:id="68"/>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rPr>
      </w:pPr>
      <w:r>
        <w:rPr>
          <w:rFonts w:hint="eastAsia" w:ascii="楷体" w:hAnsi="楷体" w:eastAsia="楷体" w:cs="楷体"/>
          <w:sz w:val="32"/>
          <w:szCs w:val="32"/>
        </w:rPr>
        <w:t>（一）机构组成</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contextualSpacing/>
        <w:jc w:val="both"/>
        <w:textAlignment w:val="auto"/>
        <w:outlineLvl w:val="2"/>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广元市利州区教育局下属二级单位59个，其中行政单位1个，参照公务员法管理的事业单位0个，其他事业单位58个。</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rPr>
      </w:pPr>
      <w:r>
        <w:rPr>
          <w:rFonts w:hint="eastAsia" w:ascii="楷体" w:hAnsi="楷体" w:eastAsia="楷体" w:cs="楷体"/>
          <w:sz w:val="32"/>
          <w:szCs w:val="32"/>
        </w:rPr>
        <w:t>（二）机构职能</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_GB2312" w:hAnsi="Calibri" w:eastAsia="仿宋_GB2312" w:cs="仿宋"/>
          <w:color w:val="auto"/>
          <w:kern w:val="0"/>
          <w:sz w:val="32"/>
          <w:szCs w:val="32"/>
          <w:highlight w:val="none"/>
          <w:lang w:val="en-US" w:eastAsia="zh-CN" w:bidi="ar-SA"/>
        </w:rPr>
      </w:pPr>
      <w:r>
        <w:rPr>
          <w:rFonts w:hint="eastAsia" w:ascii="仿宋" w:hAnsi="仿宋" w:eastAsia="仿宋" w:cs="仿宋_GB2312"/>
          <w:sz w:val="32"/>
          <w:szCs w:val="32"/>
        </w:rPr>
        <w:t>1．</w:t>
      </w:r>
      <w:r>
        <w:rPr>
          <w:rFonts w:hint="eastAsia" w:ascii="仿宋_GB2312" w:hAnsi="Calibri" w:eastAsia="仿宋_GB2312" w:cs="仿宋"/>
          <w:color w:val="auto"/>
          <w:kern w:val="0"/>
          <w:sz w:val="32"/>
          <w:szCs w:val="32"/>
          <w:highlight w:val="none"/>
          <w:lang w:val="en-US" w:eastAsia="zh-CN" w:bidi="ar-SA"/>
        </w:rPr>
        <w:t>贯彻执行党和国家关于教育改革和发展的各项方针、政策，拟订全区教育事业发展规划和有关教育的规范性文件并组织实施；指导协调全区学校的教育、教学体制改革。</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2．负责教育系统教育经费的统筹管理，参与拟订筹措教育经费、教育拨款、教育基建投资办法和方案；监督教育经费的筹措和使用；宣传贯彻执行国家和省市有关学生资助工作方针和政策，统筹管理全区贫困家庭学生资助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3．负责推进义务教育均衡发展和促进教育公平，负责义务教育的宏观指导与协调；指导普通高中教育、幼儿教育、特殊教育工作，全面实施素质教育；督促检查全区各类学校的办学标准、教学基本要求、教学基本条件的落实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4．指导全区的教育督导工作；组织指导对基础教育发展水平、质量的监测工作。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5．统筹管理和协调全区社会力量办学的教育工作。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6．指导全区学校的依法治校、安全、综合治理、档案、保密、计划生育工作。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7．统筹管理和协调全区学校体育、卫生与艺术教育工作。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8．指导全区教育系统人事制度改革工作，推行和实施校长、教师聘任制。</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9．主管全区教师工作；组织实施各级各类教师资格证书制度；统筹规划学校教师和管理人员队伍建设；负责全区中小学（含幼儿园）校（园）长、教师的继续教育和课程改革新教材的培训工作；会同有关部门负责全区中小学教师专业技术职务评审工作；指导全区教育系统人才队伍建设。</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10．统筹管理各类学历教育的招生考试工作，会同有关部门编制并监督实施成人高校、中等职业学校和普通高中的招生计划，组织协调招生管理工作；指导大中专学校开展就业创业工作。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11．负责中等职业学校和专业的设置、合并、撤销的组织论证和申报指导工作；负责社会力量举办各级各类学校及教育机构的申报、评估、审批（备案）和管理工作。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12．指导和管理教育系统的科学研究工作，组织、协调高、中等职业学校、成人教育学校的科技开发、科研成果转化和教育兴农工作。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13．组织指导教育方面的对外交流与合作、对外宣传。</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14．指导、协调各级各类学校后勤保障、信息化建设以及教学仪器设备和图书资料装备工作；指导、管理教育信息统计、分析和发布；指导有关的教育学会、协会工作。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pPr>
      <w:r>
        <w:rPr>
          <w:rFonts w:hint="eastAsia" w:ascii="仿宋" w:hAnsi="仿宋" w:eastAsia="仿宋" w:cs="仿宋_GB2312"/>
          <w:sz w:val="32"/>
          <w:szCs w:val="32"/>
        </w:rPr>
        <w:t>15．贯彻执行国家语言文字工作的方针、政策，编制语言文字工作中长期规划；组织协调语言文字的规范和标准的监督检查；指导和组织推广普通话、推行规范汉字；开展普通话培训和测试工作。</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lang w:val="zh-CN"/>
        </w:rPr>
      </w:pPr>
      <w:r>
        <w:rPr>
          <w:rFonts w:hint="eastAsia" w:ascii="楷体" w:hAnsi="楷体" w:eastAsia="楷体" w:cs="楷体"/>
          <w:sz w:val="32"/>
          <w:szCs w:val="32"/>
          <w:lang w:val="zh-CN"/>
        </w:rPr>
        <w:t>（三）</w:t>
      </w:r>
      <w:r>
        <w:rPr>
          <w:rFonts w:hint="eastAsia" w:ascii="楷体" w:hAnsi="楷体" w:eastAsia="楷体" w:cs="楷体"/>
          <w:sz w:val="32"/>
          <w:szCs w:val="32"/>
        </w:rPr>
        <w:t>人员概况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全区现有公民办学校</w:t>
      </w:r>
      <w:r>
        <w:rPr>
          <w:rFonts w:hint="eastAsia" w:ascii="仿宋" w:hAnsi="仿宋" w:eastAsia="仿宋" w:cs="仿宋_GB2312"/>
          <w:color w:val="000000" w:themeColor="text1"/>
          <w:sz w:val="32"/>
          <w:szCs w:val="32"/>
          <w:lang w:val="en-US" w:eastAsia="zh-CN"/>
          <w14:textFill>
            <w14:solidFill>
              <w14:schemeClr w14:val="tx1"/>
            </w14:solidFill>
          </w14:textFill>
        </w:rPr>
        <w:t>148</w:t>
      </w:r>
      <w:r>
        <w:rPr>
          <w:rFonts w:hint="eastAsia" w:ascii="仿宋" w:hAnsi="仿宋" w:eastAsia="仿宋" w:cs="仿宋_GB2312"/>
          <w:color w:val="000000" w:themeColor="text1"/>
          <w:sz w:val="32"/>
          <w:szCs w:val="32"/>
          <w14:textFill>
            <w14:solidFill>
              <w14:schemeClr w14:val="tx1"/>
            </w14:solidFill>
          </w14:textFill>
        </w:rPr>
        <w:t>所，学生80117人，教师5555人。其中：公办学校</w:t>
      </w:r>
      <w:r>
        <w:rPr>
          <w:rFonts w:hint="eastAsia" w:ascii="仿宋" w:hAnsi="仿宋" w:eastAsia="仿宋" w:cs="仿宋_GB2312"/>
          <w:color w:val="000000" w:themeColor="text1"/>
          <w:sz w:val="32"/>
          <w:szCs w:val="32"/>
          <w:lang w:val="en-US" w:eastAsia="zh-CN"/>
          <w14:textFill>
            <w14:solidFill>
              <w14:schemeClr w14:val="tx1"/>
            </w14:solidFill>
          </w14:textFill>
        </w:rPr>
        <w:t>59</w:t>
      </w:r>
      <w:r>
        <w:rPr>
          <w:rFonts w:hint="eastAsia" w:ascii="仿宋" w:hAnsi="仿宋" w:eastAsia="仿宋" w:cs="仿宋_GB2312"/>
          <w:color w:val="000000" w:themeColor="text1"/>
          <w:sz w:val="32"/>
          <w:szCs w:val="32"/>
          <w14:textFill>
            <w14:solidFill>
              <w14:schemeClr w14:val="tx1"/>
            </w14:solidFill>
          </w14:textFill>
        </w:rPr>
        <w:t>所，在校学生59046人，教职工3567人。民办学校89所，在校学生21071人，教职工1988人。培训机构166家。</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contextualSpacing/>
        <w:jc w:val="both"/>
        <w:textAlignment w:val="auto"/>
        <w:outlineLvl w:val="1"/>
        <w:rPr>
          <w:rFonts w:hint="eastAsia" w:ascii="方正黑体简体" w:hAnsi="宋体" w:eastAsia="方正黑体简体" w:cs="宋体"/>
          <w:color w:val="000000"/>
          <w:kern w:val="0"/>
          <w:sz w:val="32"/>
          <w:szCs w:val="32"/>
          <w:shd w:val="clear" w:color="auto" w:fill="FFFFFF"/>
        </w:rPr>
      </w:pPr>
      <w:bookmarkStart w:id="69" w:name="_Toc13772"/>
      <w:r>
        <w:rPr>
          <w:rFonts w:hint="eastAsia" w:ascii="方正黑体简体" w:hAnsi="宋体" w:eastAsia="方正黑体简体" w:cs="宋体"/>
          <w:color w:val="000000"/>
          <w:kern w:val="0"/>
          <w:sz w:val="32"/>
          <w:szCs w:val="32"/>
          <w:shd w:val="clear" w:color="auto" w:fill="FFFFFF"/>
        </w:rPr>
        <w:t>二、部门财政资金收支情况</w:t>
      </w:r>
      <w:bookmarkEnd w:id="69"/>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lang w:val="zh-CN"/>
        </w:rPr>
      </w:pPr>
      <w:r>
        <w:rPr>
          <w:rFonts w:hint="eastAsia" w:ascii="楷体" w:hAnsi="楷体" w:eastAsia="楷体" w:cs="楷体"/>
          <w:sz w:val="32"/>
          <w:szCs w:val="32"/>
          <w:lang w:val="zh-CN"/>
        </w:rPr>
        <w:t>（一）部门财政资金收入情况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sz w:val="32"/>
          <w:szCs w:val="32"/>
          <w:lang w:eastAsia="zh-CN"/>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年</w:t>
      </w:r>
      <w:r>
        <w:rPr>
          <w:rFonts w:hint="eastAsia" w:ascii="仿宋" w:hAnsi="仿宋" w:eastAsia="仿宋" w:cs="仿宋_GB2312"/>
          <w:sz w:val="32"/>
          <w:szCs w:val="32"/>
          <w:lang w:eastAsia="zh-CN"/>
        </w:rPr>
        <w:t>度</w:t>
      </w:r>
      <w:r>
        <w:rPr>
          <w:rFonts w:hint="eastAsia" w:ascii="仿宋" w:hAnsi="仿宋" w:eastAsia="仿宋" w:cs="仿宋_GB2312"/>
          <w:sz w:val="32"/>
          <w:szCs w:val="32"/>
        </w:rPr>
        <w:t>利州区教育局本年一般公共预算财政拨款收75128</w:t>
      </w:r>
      <w:r>
        <w:rPr>
          <w:rFonts w:hint="eastAsia" w:ascii="仿宋" w:hAnsi="仿宋" w:eastAsia="仿宋" w:cs="仿宋_GB2312"/>
          <w:sz w:val="32"/>
          <w:szCs w:val="32"/>
          <w:lang w:val="en-US" w:eastAsia="zh-CN"/>
        </w:rPr>
        <w:t>.06</w:t>
      </w:r>
      <w:r>
        <w:rPr>
          <w:rFonts w:hint="eastAsia" w:ascii="仿宋" w:hAnsi="仿宋" w:eastAsia="仿宋" w:cs="仿宋_GB2312"/>
          <w:sz w:val="32"/>
          <w:szCs w:val="32"/>
          <w:lang w:eastAsia="zh-CN"/>
        </w:rPr>
        <w:t>万元。</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lang w:val="zh-CN"/>
        </w:rPr>
      </w:pPr>
      <w:r>
        <w:rPr>
          <w:rFonts w:hint="eastAsia" w:ascii="楷体" w:hAnsi="楷体" w:eastAsia="楷体" w:cs="楷体"/>
          <w:sz w:val="32"/>
          <w:szCs w:val="32"/>
          <w:lang w:val="zh-CN"/>
        </w:rPr>
        <w:t>（二）部门财政资金支出情况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default" w:ascii="仿宋" w:hAnsi="仿宋" w:eastAsia="仿宋" w:cs="仿宋_GB2312"/>
          <w:sz w:val="32"/>
          <w:szCs w:val="32"/>
          <w:lang w:val="en-US" w:eastAsia="zh-CN"/>
        </w:rPr>
      </w:pPr>
      <w:r>
        <w:rPr>
          <w:rFonts w:hint="eastAsia" w:ascii="仿宋" w:hAnsi="仿宋" w:eastAsia="仿宋" w:cs="仿宋_GB2312"/>
          <w:sz w:val="32"/>
          <w:szCs w:val="32"/>
          <w:lang w:val="zh-CN"/>
        </w:rPr>
        <w:t>20</w:t>
      </w:r>
      <w:r>
        <w:rPr>
          <w:rFonts w:hint="eastAsia" w:ascii="仿宋" w:hAnsi="仿宋" w:eastAsia="仿宋" w:cs="仿宋_GB2312"/>
          <w:sz w:val="32"/>
          <w:szCs w:val="32"/>
          <w:lang w:val="en-US" w:eastAsia="zh-CN"/>
        </w:rPr>
        <w:t>21</w:t>
      </w:r>
      <w:r>
        <w:rPr>
          <w:rFonts w:hint="eastAsia" w:ascii="仿宋" w:hAnsi="仿宋" w:eastAsia="仿宋" w:cs="仿宋_GB2312"/>
          <w:sz w:val="32"/>
          <w:szCs w:val="32"/>
          <w:lang w:val="zh-CN"/>
        </w:rPr>
        <w:t>年度利州区教育局本年一般公共预算财政拨款支出79513</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val="zh-CN"/>
        </w:rPr>
        <w:t>9</w:t>
      </w:r>
      <w:r>
        <w:rPr>
          <w:rFonts w:hint="eastAsia" w:ascii="仿宋" w:hAnsi="仿宋" w:eastAsia="仿宋" w:cs="仿宋_GB2312"/>
          <w:sz w:val="32"/>
          <w:szCs w:val="32"/>
          <w:lang w:val="en-US" w:eastAsia="zh-CN"/>
        </w:rPr>
        <w:t>4万元。其中人员经费支出54565.91万元；公用经费支出7348.59万元；项目支出17599.44万元。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contextualSpacing/>
        <w:jc w:val="both"/>
        <w:textAlignment w:val="auto"/>
        <w:outlineLvl w:val="1"/>
        <w:rPr>
          <w:rFonts w:hint="eastAsia" w:ascii="方正仿宋简体" w:hAnsi="宋体" w:eastAsia="方正仿宋简体" w:cs="宋体"/>
          <w:color w:val="000000"/>
          <w:kern w:val="0"/>
          <w:sz w:val="32"/>
          <w:szCs w:val="32"/>
          <w:shd w:val="clear" w:color="auto" w:fill="FFFFFF"/>
        </w:rPr>
      </w:pPr>
      <w:bookmarkStart w:id="70" w:name="_Toc3522"/>
      <w:r>
        <w:rPr>
          <w:rFonts w:hint="eastAsia" w:ascii="方正黑体简体" w:hAnsi="宋体" w:eastAsia="方正黑体简体" w:cs="宋体"/>
          <w:color w:val="000000"/>
          <w:kern w:val="0"/>
          <w:sz w:val="32"/>
          <w:szCs w:val="32"/>
          <w:shd w:val="clear" w:color="auto" w:fill="FFFFFF"/>
          <w:lang w:eastAsia="zh-CN"/>
        </w:rPr>
        <w:t>三、</w:t>
      </w:r>
      <w:r>
        <w:rPr>
          <w:rFonts w:hint="eastAsia" w:ascii="方正黑体简体" w:hAnsi="宋体" w:eastAsia="方正黑体简体" w:cs="宋体"/>
          <w:color w:val="000000"/>
          <w:kern w:val="0"/>
          <w:sz w:val="32"/>
          <w:szCs w:val="32"/>
          <w:shd w:val="clear" w:color="auto" w:fill="FFFFFF"/>
        </w:rPr>
        <w:t>部门整体预算绩效管理情况</w:t>
      </w:r>
      <w:bookmarkEnd w:id="70"/>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rPr>
      </w:pPr>
      <w:r>
        <w:rPr>
          <w:rFonts w:hint="eastAsia" w:ascii="楷体" w:hAnsi="楷体" w:eastAsia="楷体" w:cs="楷体"/>
          <w:sz w:val="32"/>
          <w:szCs w:val="32"/>
        </w:rPr>
        <w:t>（一）部门预算管理</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部门绩效目标制定</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（4）绩效目标相关指标设定与预算安排金额相对应，未超预算安排资金。</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预算编制</w:t>
      </w:r>
      <w:r>
        <w:rPr>
          <w:rFonts w:hint="eastAsia" w:ascii="仿宋" w:hAnsi="仿宋" w:eastAsia="仿宋" w:cs="仿宋_GB2312"/>
          <w:sz w:val="32"/>
          <w:szCs w:val="32"/>
        </w:rPr>
        <w:t>和执行</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rPr>
      </w:pPr>
      <w:r>
        <w:rPr>
          <w:rFonts w:hint="eastAsia" w:ascii="楷体" w:hAnsi="楷体" w:eastAsia="楷体" w:cs="楷体"/>
          <w:sz w:val="32"/>
          <w:szCs w:val="32"/>
        </w:rPr>
        <w:t>（二）专项预算管理。</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1.专项预算编制情况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000000"/>
          <w:sz w:val="32"/>
          <w:szCs w:val="32"/>
        </w:rPr>
      </w:pPr>
      <w:r>
        <w:rPr>
          <w:rFonts w:hint="eastAsia" w:ascii="仿宋" w:hAnsi="仿宋" w:eastAsia="仿宋" w:cs="仿宋_GB2312"/>
          <w:color w:val="000000"/>
          <w:sz w:val="32"/>
          <w:szCs w:val="32"/>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2.专项预算执行</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sz w:val="32"/>
          <w:szCs w:val="32"/>
        </w:rPr>
      </w:pPr>
      <w:r>
        <w:rPr>
          <w:rFonts w:hint="eastAsia" w:ascii="仿宋" w:hAnsi="仿宋" w:eastAsia="仿宋" w:cs="仿宋_GB2312"/>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sz w:val="32"/>
          <w:szCs w:val="32"/>
          <w:lang w:val="zh-CN"/>
        </w:rPr>
      </w:pPr>
      <w:r>
        <w:rPr>
          <w:rFonts w:hint="eastAsia" w:ascii="仿宋" w:hAnsi="仿宋" w:eastAsia="仿宋" w:cs="仿宋_GB2312"/>
          <w:sz w:val="32"/>
          <w:szCs w:val="32"/>
        </w:rPr>
        <w:t>3.专项预</w:t>
      </w:r>
      <w:r>
        <w:rPr>
          <w:rFonts w:hint="eastAsia" w:ascii="仿宋" w:hAnsi="仿宋" w:eastAsia="仿宋" w:cs="仿宋_GB2312"/>
          <w:sz w:val="32"/>
          <w:szCs w:val="32"/>
          <w:lang w:val="zh-CN"/>
        </w:rPr>
        <w:t>算绩效目标完成情况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rPr>
      </w:pPr>
      <w:r>
        <w:rPr>
          <w:rFonts w:hint="eastAsia" w:ascii="仿宋" w:hAnsi="仿宋" w:eastAsia="仿宋" w:cs="仿宋_GB2312"/>
          <w:sz w:val="32"/>
          <w:szCs w:val="32"/>
          <w:lang w:val="zh-CN"/>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年局机关和</w:t>
      </w:r>
      <w:r>
        <w:rPr>
          <w:rFonts w:hint="eastAsia" w:ascii="仿宋" w:hAnsi="仿宋" w:eastAsia="仿宋" w:cs="仿宋_GB2312"/>
          <w:color w:val="000000"/>
          <w:sz w:val="32"/>
          <w:szCs w:val="32"/>
        </w:rPr>
        <w:t>下属学校各类财政专项预算支出共</w:t>
      </w:r>
      <w:r>
        <w:rPr>
          <w:rFonts w:hint="eastAsia" w:ascii="仿宋_GB2312" w:eastAsia="仿宋_GB2312"/>
          <w:color w:val="000000"/>
          <w:sz w:val="32"/>
          <w:szCs w:val="32"/>
          <w:lang w:val="en-US" w:eastAsia="zh-CN"/>
        </w:rPr>
        <w:t>17599.44</w:t>
      </w:r>
      <w:r>
        <w:rPr>
          <w:rFonts w:hint="eastAsia" w:ascii="仿宋" w:hAnsi="仿宋" w:eastAsia="仿宋" w:cs="仿宋_GB2312"/>
          <w:color w:val="000000"/>
          <w:sz w:val="32"/>
          <w:szCs w:val="32"/>
        </w:rPr>
        <w:t>万元，除个别年末下达的项目未来得及实施外，其余一般公共预算和政府性基金预算项目预算完成率均达到85%以上。</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contextualSpacing/>
        <w:jc w:val="both"/>
        <w:textAlignment w:val="auto"/>
        <w:outlineLvl w:val="1"/>
        <w:rPr>
          <w:rFonts w:hint="eastAsia" w:ascii="方正黑体简体" w:hAnsi="宋体" w:eastAsia="方正黑体简体" w:cs="宋体"/>
          <w:color w:val="000000"/>
          <w:kern w:val="0"/>
          <w:sz w:val="32"/>
          <w:szCs w:val="32"/>
          <w:shd w:val="clear" w:color="auto" w:fill="FFFFFF"/>
        </w:rPr>
      </w:pPr>
      <w:bookmarkStart w:id="71" w:name="_Toc24063"/>
      <w:r>
        <w:rPr>
          <w:rFonts w:hint="eastAsia" w:ascii="方正黑体简体" w:hAnsi="宋体" w:eastAsia="方正黑体简体" w:cs="宋体"/>
          <w:color w:val="000000"/>
          <w:kern w:val="0"/>
          <w:sz w:val="32"/>
          <w:szCs w:val="32"/>
          <w:shd w:val="clear" w:color="auto" w:fill="FFFFFF"/>
        </w:rPr>
        <w:t>四、评价结论及建议</w:t>
      </w:r>
      <w:bookmarkEnd w:id="71"/>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lang w:val="zh-CN"/>
        </w:rPr>
      </w:pPr>
      <w:r>
        <w:rPr>
          <w:rFonts w:hint="eastAsia" w:ascii="楷体" w:hAnsi="楷体" w:eastAsia="楷体" w:cs="楷体"/>
          <w:sz w:val="32"/>
          <w:szCs w:val="32"/>
          <w:lang w:val="zh-CN"/>
        </w:rPr>
        <w:t>（一）评价结论</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default" w:ascii="仿宋" w:hAnsi="仿宋" w:eastAsia="仿宋" w:cs="仿宋_GB2312"/>
          <w:sz w:val="32"/>
          <w:szCs w:val="32"/>
          <w:lang w:val="en-US" w:eastAsia="zh-CN"/>
        </w:rPr>
      </w:pPr>
      <w:r>
        <w:rPr>
          <w:rFonts w:hint="eastAsia" w:ascii="仿宋" w:hAnsi="仿宋" w:eastAsia="仿宋" w:cs="仿宋_GB2312"/>
          <w:sz w:val="32"/>
          <w:szCs w:val="32"/>
          <w:lang w:val="zh-CN"/>
        </w:rPr>
        <w:t>经过202</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年区级部门整体支出绩效自我评价，综合得分为</w:t>
      </w:r>
      <w:r>
        <w:rPr>
          <w:rFonts w:hint="eastAsia" w:ascii="仿宋" w:hAnsi="仿宋" w:eastAsia="仿宋" w:cs="仿宋_GB2312"/>
          <w:sz w:val="32"/>
          <w:szCs w:val="32"/>
          <w:lang w:val="en-US" w:eastAsia="zh-CN"/>
        </w:rPr>
        <w:t>98分。</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lang w:val="zh-CN"/>
        </w:rPr>
      </w:pPr>
      <w:r>
        <w:rPr>
          <w:rFonts w:hint="eastAsia" w:ascii="楷体" w:hAnsi="楷体" w:eastAsia="楷体" w:cs="楷体"/>
          <w:sz w:val="32"/>
          <w:szCs w:val="32"/>
          <w:lang w:val="zh-CN"/>
        </w:rPr>
        <w:t>（二）存在问题</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sz w:val="32"/>
          <w:szCs w:val="32"/>
          <w:lang w:val="zh-CN"/>
        </w:rPr>
      </w:pPr>
      <w:r>
        <w:rPr>
          <w:rFonts w:hint="eastAsia" w:ascii="仿宋" w:hAnsi="仿宋" w:eastAsia="仿宋" w:cs="仿宋_GB2312"/>
          <w:sz w:val="32"/>
          <w:szCs w:val="32"/>
          <w:lang w:val="zh-CN" w:eastAsia="zh-CN"/>
        </w:rPr>
        <w:t>经过</w:t>
      </w:r>
      <w:r>
        <w:rPr>
          <w:rFonts w:hint="eastAsia" w:ascii="仿宋" w:hAnsi="仿宋" w:eastAsia="仿宋" w:cs="仿宋_GB2312"/>
          <w:sz w:val="32"/>
          <w:szCs w:val="32"/>
          <w:lang w:val="zh-CN"/>
        </w:rPr>
        <w:t>区级部门整体支出绩效自评，发现存在一些问题：</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sz w:val="32"/>
          <w:szCs w:val="32"/>
          <w:lang w:val="zh-CN"/>
        </w:rPr>
      </w:pPr>
      <w:r>
        <w:rPr>
          <w:rFonts w:hint="eastAsia" w:ascii="仿宋" w:hAnsi="仿宋" w:eastAsia="仿宋" w:cs="仿宋_GB2312"/>
          <w:sz w:val="32"/>
          <w:szCs w:val="32"/>
          <w:lang w:val="zh-CN"/>
        </w:rPr>
        <w:t>评价部门绩效目标未纳入部门党组（委）会（办公会）集体决策范围；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部门日常公用经费、项目支出中“办公费、印刷费、水费、电费、物业管理费”等科目年初预算数与决算数偏差程度</w:t>
      </w:r>
      <w:r>
        <w:rPr>
          <w:rFonts w:hint="eastAsia" w:ascii="仿宋" w:hAnsi="仿宋" w:eastAsia="仿宋" w:cs="仿宋_GB2312"/>
          <w:sz w:val="32"/>
          <w:szCs w:val="32"/>
          <w:lang w:val="zh-CN" w:eastAsia="zh-CN"/>
        </w:rPr>
        <w:t>在</w:t>
      </w:r>
      <w:r>
        <w:rPr>
          <w:rFonts w:hint="eastAsia" w:ascii="仿宋" w:hAnsi="仿宋" w:eastAsia="仿宋" w:cs="仿宋_GB2312"/>
          <w:sz w:val="32"/>
          <w:szCs w:val="32"/>
          <w:lang w:val="en-US" w:eastAsia="zh-CN"/>
        </w:rPr>
        <w:t>10%-20%之间；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_GB2312"/>
          <w:sz w:val="32"/>
          <w:szCs w:val="32"/>
          <w:lang w:val="zh-CN" w:eastAsia="zh-CN"/>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lang w:val="zh-CN"/>
        </w:rPr>
        <w:t>部门预算项目12月预算执行进度</w:t>
      </w:r>
      <w:r>
        <w:rPr>
          <w:rFonts w:hint="eastAsia" w:ascii="仿宋" w:hAnsi="仿宋" w:eastAsia="仿宋" w:cs="仿宋_GB2312"/>
          <w:sz w:val="32"/>
          <w:szCs w:val="32"/>
          <w:lang w:val="zh-CN" w:eastAsia="zh-CN"/>
        </w:rPr>
        <w:t>未</w:t>
      </w:r>
      <w:r>
        <w:rPr>
          <w:rFonts w:hint="eastAsia" w:ascii="仿宋" w:hAnsi="仿宋" w:eastAsia="仿宋" w:cs="仿宋_GB2312"/>
          <w:sz w:val="32"/>
          <w:szCs w:val="32"/>
          <w:lang w:val="zh-CN"/>
        </w:rPr>
        <w:t>达到100%</w:t>
      </w:r>
      <w:r>
        <w:rPr>
          <w:rFonts w:hint="eastAsia" w:ascii="仿宋" w:hAnsi="仿宋" w:eastAsia="仿宋" w:cs="仿宋_GB2312"/>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_GB2312"/>
          <w:sz w:val="32"/>
          <w:szCs w:val="32"/>
          <w:lang w:val="zh-CN" w:eastAsia="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rPr>
        <w:t>部门预算项目资金</w:t>
      </w:r>
      <w:r>
        <w:rPr>
          <w:rFonts w:hint="eastAsia" w:ascii="仿宋" w:hAnsi="仿宋" w:eastAsia="仿宋" w:cs="仿宋_GB2312"/>
          <w:sz w:val="32"/>
          <w:szCs w:val="32"/>
          <w:lang w:val="zh-CN" w:eastAsia="zh-CN"/>
        </w:rPr>
        <w:t>有</w:t>
      </w:r>
      <w:r>
        <w:rPr>
          <w:rFonts w:hint="eastAsia" w:ascii="仿宋" w:hAnsi="仿宋" w:eastAsia="仿宋" w:cs="仿宋_GB2312"/>
          <w:sz w:val="32"/>
          <w:szCs w:val="32"/>
          <w:lang w:val="zh-CN"/>
        </w:rPr>
        <w:t>结余</w:t>
      </w:r>
      <w:r>
        <w:rPr>
          <w:rFonts w:hint="eastAsia" w:ascii="仿宋" w:hAnsi="仿宋" w:eastAsia="仿宋" w:cs="仿宋_GB2312"/>
          <w:sz w:val="32"/>
          <w:szCs w:val="32"/>
          <w:lang w:val="zh-CN" w:eastAsia="zh-CN"/>
        </w:rPr>
        <w:t>率较大；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方正仿宋简体" w:hAnsi="宋体" w:eastAsia="方正仿宋简体" w:cs="宋体"/>
          <w:color w:val="000000"/>
          <w:kern w:val="0"/>
          <w:sz w:val="32"/>
          <w:szCs w:val="32"/>
          <w:shd w:val="clear" w:color="auto" w:fill="FFFFFF"/>
          <w:lang w:val="en-US" w:eastAsia="zh-CN"/>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lang w:val="zh-CN"/>
        </w:rPr>
        <w:t>部门</w:t>
      </w:r>
      <w:r>
        <w:rPr>
          <w:rFonts w:hint="eastAsia" w:ascii="仿宋" w:hAnsi="仿宋" w:eastAsia="仿宋" w:cs="仿宋_GB2312"/>
          <w:sz w:val="32"/>
          <w:szCs w:val="32"/>
          <w:lang w:val="zh-CN" w:eastAsia="zh-CN"/>
        </w:rPr>
        <w:t>未</w:t>
      </w:r>
      <w:r>
        <w:rPr>
          <w:rFonts w:hint="eastAsia" w:ascii="仿宋" w:hAnsi="仿宋" w:eastAsia="仿宋" w:cs="仿宋_GB2312"/>
          <w:sz w:val="32"/>
          <w:szCs w:val="32"/>
          <w:lang w:val="zh-CN"/>
        </w:rPr>
        <w:t>按要求将部门整体绩效自评情况和自行组织的评价情况向社会公开</w:t>
      </w:r>
      <w:r>
        <w:rPr>
          <w:rFonts w:hint="eastAsia" w:ascii="方正仿宋简体" w:hAnsi="宋体" w:eastAsia="方正仿宋简体" w:cs="宋体"/>
          <w:color w:val="000000"/>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sz w:val="32"/>
          <w:szCs w:val="32"/>
          <w:lang w:val="zh-CN"/>
        </w:rPr>
      </w:pPr>
      <w:r>
        <w:rPr>
          <w:rFonts w:hint="eastAsia" w:ascii="楷体" w:hAnsi="楷体" w:eastAsia="楷体" w:cs="楷体"/>
          <w:sz w:val="32"/>
          <w:szCs w:val="32"/>
          <w:lang w:val="zh-CN"/>
        </w:rPr>
        <w:t>（三）改进建议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lang w:val="zh-CN"/>
        </w:rPr>
        <w:t>评价部门绩效目标纳入部门党组（委）会（办公会）集体决策范围；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2.严格执行预算，减小</w:t>
      </w:r>
      <w:r>
        <w:rPr>
          <w:rFonts w:hint="eastAsia" w:ascii="仿宋" w:hAnsi="仿宋" w:eastAsia="仿宋" w:cs="仿宋"/>
          <w:color w:val="000000"/>
          <w:kern w:val="0"/>
          <w:sz w:val="32"/>
          <w:szCs w:val="32"/>
          <w:shd w:val="clear" w:color="auto" w:fill="FFFFFF"/>
          <w:lang w:val="zh-CN"/>
        </w:rPr>
        <w:t>部门日常公用经费、项目支出中“办公费、印刷费、水费、电费、物业管理费”等科目年初预算数与决算数偏差程度</w:t>
      </w:r>
      <w:r>
        <w:rPr>
          <w:rFonts w:hint="eastAsia" w:ascii="仿宋" w:hAnsi="仿宋" w:eastAsia="仿宋" w:cs="仿宋"/>
          <w:color w:val="000000"/>
          <w:kern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lang w:val="zh-CN"/>
        </w:rPr>
        <w:t>加快部门预算项目12月预算执行进度，尽量</w:t>
      </w:r>
      <w:r>
        <w:rPr>
          <w:rFonts w:hint="eastAsia" w:ascii="仿宋" w:hAnsi="仿宋" w:eastAsia="仿宋" w:cs="仿宋"/>
          <w:color w:val="000000"/>
          <w:kern w:val="0"/>
          <w:sz w:val="32"/>
          <w:szCs w:val="32"/>
          <w:shd w:val="clear" w:color="auto" w:fill="FFFFFF"/>
          <w:lang w:val="zh-CN" w:eastAsia="zh-CN"/>
        </w:rPr>
        <w:t>未</w:t>
      </w:r>
      <w:r>
        <w:rPr>
          <w:rFonts w:hint="eastAsia" w:ascii="仿宋" w:hAnsi="仿宋" w:eastAsia="仿宋" w:cs="仿宋"/>
          <w:color w:val="000000"/>
          <w:kern w:val="0"/>
          <w:sz w:val="32"/>
          <w:szCs w:val="32"/>
          <w:shd w:val="clear" w:color="auto" w:fill="FFFFFF"/>
          <w:lang w:val="zh-CN"/>
        </w:rPr>
        <w:t>达到100%；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lang w:val="zh-CN"/>
        </w:rPr>
        <w:t>合理安排资金使用进度，减小部门预算项目资金结余</w:t>
      </w:r>
      <w:r>
        <w:rPr>
          <w:rFonts w:hint="eastAsia" w:ascii="仿宋" w:hAnsi="仿宋" w:eastAsia="仿宋" w:cs="仿宋"/>
          <w:color w:val="000000"/>
          <w:kern w:val="0"/>
          <w:sz w:val="32"/>
          <w:szCs w:val="32"/>
          <w:shd w:val="clear" w:color="auto" w:fill="FFFFFF"/>
          <w:lang w:val="zh-CN" w:eastAsia="zh-CN"/>
        </w:rPr>
        <w:t>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lang w:val="zh-CN"/>
        </w:rPr>
        <w:t>部门按要求将部门整体绩效自评情况和自行组织的评价情况向社会公开。</w:t>
      </w:r>
    </w:p>
    <w:p>
      <w:pPr>
        <w:pStyle w:val="5"/>
        <w:numPr>
          <w:ilvl w:val="0"/>
          <w:numId w:val="0"/>
        </w:numPr>
        <w:ind w:leftChars="150"/>
        <w:outlineLvl w:val="9"/>
      </w:pPr>
    </w:p>
    <w:p>
      <w:pPr>
        <w:pStyle w:val="5"/>
        <w:numPr>
          <w:ilvl w:val="0"/>
          <w:numId w:val="0"/>
        </w:numPr>
        <w:ind w:leftChars="150"/>
        <w:outlineLvl w:val="9"/>
      </w:pPr>
    </w:p>
    <w:p>
      <w:pPr>
        <w:outlineLvl w:val="9"/>
        <w:rPr>
          <w:rFonts w:hint="eastAsia"/>
          <w:lang w:val="en-US" w:eastAsia="zh-CN"/>
        </w:rPr>
      </w:pPr>
      <w:r>
        <w:rPr>
          <w:rFonts w:hint="eastAsia"/>
          <w:lang w:val="en-US" w:eastAsia="zh-CN"/>
        </w:rPr>
        <w:br w:type="page"/>
      </w:r>
    </w:p>
    <w:p>
      <w:pPr>
        <w:pStyle w:val="5"/>
        <w:outlineLvl w:val="1"/>
        <w:rPr>
          <w:rFonts w:hint="eastAsia"/>
          <w:lang w:val="en-US" w:eastAsia="zh-CN"/>
        </w:rPr>
      </w:pPr>
      <w:bookmarkStart w:id="72" w:name="_Toc14430"/>
      <w:r>
        <w:rPr>
          <w:rFonts w:hint="eastAsia"/>
          <w:lang w:val="en-US" w:eastAsia="zh-CN"/>
        </w:rPr>
        <w:t>附件2.1：</w:t>
      </w:r>
      <w:bookmarkEnd w:id="72"/>
    </w:p>
    <w:p>
      <w:pPr>
        <w:pStyle w:val="31"/>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2"/>
        <w:rPr>
          <w:rFonts w:hint="eastAsia" w:ascii="方正小标宋简体" w:hAnsi="宋体" w:eastAsia="方正小标宋简体" w:cs="Times New Roman"/>
          <w:color w:val="auto"/>
          <w:kern w:val="2"/>
          <w:sz w:val="44"/>
          <w:szCs w:val="44"/>
          <w:shd w:val="clear" w:color="auto" w:fill="FFFFFF"/>
          <w:lang w:val="en-US" w:eastAsia="zh-CN" w:bidi="ar-SA"/>
        </w:rPr>
      </w:pPr>
      <w:r>
        <w:rPr>
          <w:rFonts w:hint="eastAsia" w:ascii="方正小标宋简体" w:hAnsi="宋体" w:eastAsia="方正小标宋简体" w:cs="Times New Roman"/>
          <w:color w:val="auto"/>
          <w:kern w:val="2"/>
          <w:sz w:val="44"/>
          <w:szCs w:val="44"/>
          <w:shd w:val="clear" w:color="auto" w:fill="FFFFFF"/>
          <w:lang w:val="en-US" w:eastAsia="zh-CN" w:bidi="ar-SA"/>
        </w:rPr>
        <w:t>广元市利州区教育局</w:t>
      </w:r>
    </w:p>
    <w:p>
      <w:pPr>
        <w:pStyle w:val="31"/>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2"/>
        <w:rPr>
          <w:rFonts w:hint="eastAsia" w:ascii="方正小标宋简体" w:hAnsi="宋体" w:eastAsia="方正小标宋简体" w:cs="Times New Roman"/>
          <w:color w:val="auto"/>
          <w:kern w:val="2"/>
          <w:sz w:val="44"/>
          <w:szCs w:val="44"/>
          <w:shd w:val="clear" w:color="auto" w:fill="FFFFFF"/>
          <w:lang w:val="en-US" w:eastAsia="zh-CN" w:bidi="ar-SA"/>
        </w:rPr>
      </w:pPr>
      <w:r>
        <w:rPr>
          <w:rFonts w:hint="eastAsia" w:ascii="方正小标宋简体" w:hAnsi="宋体" w:eastAsia="方正小标宋简体" w:cs="Times New Roman"/>
          <w:color w:val="auto"/>
          <w:kern w:val="2"/>
          <w:sz w:val="44"/>
          <w:szCs w:val="44"/>
          <w:shd w:val="clear" w:color="auto" w:fill="FFFFFF"/>
          <w:lang w:val="en-US" w:eastAsia="zh-CN" w:bidi="ar-SA"/>
        </w:rPr>
        <w:t>标准化考点运行维护项目支出绩效自评</w:t>
      </w:r>
    </w:p>
    <w:p>
      <w:pPr>
        <w:pStyle w:val="31"/>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2"/>
        <w:rPr>
          <w:rFonts w:hint="eastAsia" w:ascii="方正小标宋简体" w:hAnsi="宋体" w:eastAsia="方正小标宋简体" w:cs="Times New Roman"/>
          <w:color w:val="auto"/>
          <w:kern w:val="2"/>
          <w:sz w:val="44"/>
          <w:szCs w:val="44"/>
          <w:shd w:val="clear" w:color="auto" w:fill="FFFFFF"/>
          <w:lang w:val="en-US" w:eastAsia="zh-CN" w:bidi="ar-SA"/>
        </w:rPr>
      </w:pPr>
      <w:r>
        <w:rPr>
          <w:rFonts w:hint="eastAsia" w:ascii="方正小标宋简体" w:hAnsi="宋体" w:eastAsia="方正小标宋简体" w:cs="Times New Roman"/>
          <w:color w:val="auto"/>
          <w:kern w:val="2"/>
          <w:sz w:val="44"/>
          <w:szCs w:val="44"/>
          <w:shd w:val="clear" w:color="auto" w:fill="FFFFFF"/>
          <w:lang w:val="en-US" w:eastAsia="zh-CN" w:bidi="ar-SA"/>
        </w:rPr>
        <w:t>报     告</w:t>
      </w:r>
    </w:p>
    <w:p>
      <w:pPr>
        <w:keepNext w:val="0"/>
        <w:keepLines w:val="0"/>
        <w:pageBreakBefore w:val="0"/>
        <w:widowControl w:val="0"/>
        <w:kinsoku/>
        <w:wordWrap/>
        <w:overflowPunct/>
        <w:topLinePunct w:val="0"/>
        <w:autoSpaceDE/>
        <w:autoSpaceDN/>
        <w:bidi w:val="0"/>
        <w:adjustRightInd w:val="0"/>
        <w:snapToGrid w:val="0"/>
        <w:spacing w:line="536" w:lineRule="exact"/>
        <w:ind w:firstLine="642" w:firstLineChars="200"/>
        <w:textAlignment w:val="auto"/>
        <w:outlineLvl w:val="9"/>
        <w:rPr>
          <w:rFonts w:hint="eastAsia" w:ascii="方正黑体简体" w:hAnsi="宋体" w:eastAsia="方正黑体简体"/>
          <w:b/>
          <w:bCs/>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1"/>
        <w:rPr>
          <w:rFonts w:hint="eastAsia" w:ascii="方正黑体简体" w:hAnsi="宋体" w:eastAsia="方正黑体简体"/>
          <w:b w:val="0"/>
          <w:bCs w:val="0"/>
          <w:sz w:val="32"/>
          <w:szCs w:val="32"/>
          <w:lang w:val="zh-CN"/>
        </w:rPr>
      </w:pPr>
      <w:bookmarkStart w:id="73" w:name="_Toc3502"/>
      <w:r>
        <w:rPr>
          <w:rFonts w:hint="eastAsia" w:ascii="方正黑体简体" w:hAnsi="宋体" w:eastAsia="方正黑体简体"/>
          <w:b w:val="0"/>
          <w:bCs w:val="0"/>
          <w:sz w:val="32"/>
          <w:szCs w:val="32"/>
          <w:lang w:val="zh-CN"/>
        </w:rPr>
        <w:t>一、项目概况</w:t>
      </w:r>
      <w:bookmarkEnd w:id="73"/>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outlineLvl w:val="2"/>
        <w:rPr>
          <w:rFonts w:ascii="仿宋" w:hAnsi="仿宋" w:eastAsia="仿宋" w:cs="仿宋_GB2312"/>
          <w:b w:val="0"/>
          <w:bCs w:val="0"/>
          <w:sz w:val="32"/>
          <w:szCs w:val="32"/>
        </w:rPr>
      </w:pPr>
      <w:r>
        <w:rPr>
          <w:rFonts w:hint="eastAsia" w:ascii="仿宋" w:hAnsi="仿宋" w:eastAsia="仿宋" w:cs="仿宋_GB2312"/>
          <w:b w:val="0"/>
          <w:bCs w:val="0"/>
          <w:sz w:val="32"/>
          <w:szCs w:val="32"/>
        </w:rPr>
        <w:t>及时维护标准化考场设施设备，通过远程技术调试和保障、巡检维护和设备保养等措施，确保区级巡查指挥平台、国家教育考试标准化考点网上巡查及考务指挥平台平稳运行；积极推动省市标准化考点高清升级改造工作，确保国家教育考试数据互通互联。年度资金总额20万元，项目资金由本级财政分担。</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（二）项目绩效目标</w:t>
      </w:r>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2"/>
        <w:rPr>
          <w:rFonts w:ascii="仿宋" w:hAnsi="仿宋" w:eastAsia="仿宋" w:cs="仿宋_GB2312"/>
          <w:b w:val="0"/>
          <w:bCs w:val="0"/>
          <w:sz w:val="32"/>
          <w:szCs w:val="32"/>
          <w:lang w:val="zh-CN"/>
        </w:rPr>
      </w:pPr>
      <w:r>
        <w:rPr>
          <w:rFonts w:hint="eastAsia" w:ascii="仿宋" w:hAnsi="仿宋" w:eastAsia="仿宋" w:cs="仿宋_GB2312"/>
          <w:b w:val="0"/>
          <w:bCs w:val="0"/>
          <w:sz w:val="32"/>
          <w:szCs w:val="32"/>
        </w:rPr>
        <w:t>该项目按照国家标准化考点相关规范执行维护任务，完善设施设备管理使用制度，强化规范操作，注重设施设备保养和维护，减少设备更换成本，规范教师监考行为，维护考试工作人员正当权利，促进教育考试公正公平、有效震慑考试舞弊行为。</w:t>
      </w:r>
    </w:p>
    <w:p>
      <w:pPr>
        <w:keepNext w:val="0"/>
        <w:keepLines w:val="0"/>
        <w:pageBreakBefore w:val="0"/>
        <w:widowControl w:val="0"/>
        <w:numPr>
          <w:ilvl w:val="0"/>
          <w:numId w:val="4"/>
        </w:numPr>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项目自评步骤及方法</w:t>
      </w:r>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1"/>
        <w:rPr>
          <w:rFonts w:hint="eastAsia" w:ascii="仿宋" w:hAnsi="仿宋" w:eastAsia="仿宋" w:cs="仿宋_GB2312"/>
          <w:b w:val="0"/>
          <w:bCs w:val="0"/>
          <w:sz w:val="32"/>
          <w:szCs w:val="32"/>
          <w:lang w:val="zh-CN"/>
        </w:rPr>
      </w:pPr>
      <w:bookmarkStart w:id="74" w:name="_Toc20323"/>
      <w:r>
        <w:rPr>
          <w:rFonts w:hint="eastAsia" w:ascii="仿宋" w:hAnsi="仿宋" w:eastAsia="仿宋" w:cs="仿宋_GB2312"/>
          <w:b w:val="0"/>
          <w:bCs w:val="0"/>
          <w:sz w:val="32"/>
          <w:szCs w:val="32"/>
          <w:lang w:val="zh-CN"/>
        </w:rPr>
        <w:t>分级评分法、是否评分法、缺错项扣分法</w:t>
      </w:r>
      <w:bookmarkEnd w:id="74"/>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1"/>
        <w:rPr>
          <w:rFonts w:hint="eastAsia" w:ascii="方正黑体简体" w:hAnsi="宋体" w:eastAsia="方正黑体简体"/>
          <w:b w:val="0"/>
          <w:bCs w:val="0"/>
          <w:sz w:val="32"/>
          <w:szCs w:val="32"/>
          <w:lang w:val="zh-CN"/>
        </w:rPr>
      </w:pPr>
      <w:bookmarkStart w:id="75" w:name="_Toc14473"/>
      <w:r>
        <w:rPr>
          <w:rFonts w:hint="eastAsia" w:ascii="方正黑体简体" w:hAnsi="宋体" w:eastAsia="方正黑体简体"/>
          <w:b w:val="0"/>
          <w:bCs w:val="0"/>
          <w:sz w:val="32"/>
          <w:szCs w:val="32"/>
          <w:lang w:val="zh-CN"/>
        </w:rPr>
        <w:t>二、项目资金申报及使用情况</w:t>
      </w:r>
      <w:bookmarkEnd w:id="75"/>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仿宋" w:hAnsi="仿宋" w:eastAsia="仿宋" w:cs="仿宋_GB2312"/>
          <w:b w:val="0"/>
          <w:bCs w:val="0"/>
          <w:color w:val="000000" w:themeColor="text1"/>
          <w:sz w:val="32"/>
          <w:szCs w:val="32"/>
          <w14:textFill>
            <w14:solidFill>
              <w14:schemeClr w14:val="tx1"/>
            </w14:solidFill>
          </w14:textFill>
        </w:rPr>
      </w:pPr>
      <w:r>
        <w:rPr>
          <w:rFonts w:hint="eastAsia" w:ascii="仿宋" w:hAnsi="仿宋" w:eastAsia="仿宋" w:cs="仿宋_GB2312"/>
          <w:b w:val="0"/>
          <w:bCs w:val="0"/>
          <w:color w:val="000000" w:themeColor="text1"/>
          <w:sz w:val="32"/>
          <w:szCs w:val="32"/>
          <w14:textFill>
            <w14:solidFill>
              <w14:schemeClr w14:val="tx1"/>
            </w14:solidFill>
          </w14:textFill>
        </w:rPr>
        <w:t>202</w:t>
      </w:r>
      <w:r>
        <w:rPr>
          <w:rFonts w:hint="eastAsia" w:ascii="仿宋" w:hAnsi="仿宋" w:eastAsia="仿宋" w:cs="仿宋_GB2312"/>
          <w:b w:val="0"/>
          <w:bCs w:val="0"/>
          <w:color w:val="000000" w:themeColor="text1"/>
          <w:sz w:val="32"/>
          <w:szCs w:val="32"/>
          <w:lang w:val="en-US" w:eastAsia="zh-CN"/>
          <w14:textFill>
            <w14:solidFill>
              <w14:schemeClr w14:val="tx1"/>
            </w14:solidFill>
          </w14:textFill>
        </w:rPr>
        <w:t>1</w:t>
      </w:r>
      <w:r>
        <w:rPr>
          <w:rFonts w:hint="eastAsia" w:ascii="仿宋" w:hAnsi="仿宋" w:eastAsia="仿宋" w:cs="仿宋_GB2312"/>
          <w:b w:val="0"/>
          <w:bCs w:val="0"/>
          <w:color w:val="000000" w:themeColor="text1"/>
          <w:sz w:val="32"/>
          <w:szCs w:val="32"/>
          <w14:textFill>
            <w14:solidFill>
              <w14:schemeClr w14:val="tx1"/>
            </w14:solidFill>
          </w14:textFill>
        </w:rPr>
        <w:t>年标准化考点运行维护费项目收到财政拨款20万元。</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2"/>
        <w:rPr>
          <w:rFonts w:ascii="仿宋" w:hAnsi="仿宋" w:eastAsia="仿宋" w:cs="仿宋_GB2312"/>
          <w:b w:val="0"/>
          <w:bCs w:val="0"/>
          <w:color w:val="000000" w:themeColor="text1"/>
          <w:sz w:val="32"/>
          <w:szCs w:val="32"/>
          <w14:textFill>
            <w14:solidFill>
              <w14:schemeClr w14:val="tx1"/>
            </w14:solidFill>
          </w14:textFill>
        </w:rPr>
      </w:pPr>
      <w:r>
        <w:rPr>
          <w:rFonts w:hint="eastAsia" w:ascii="仿宋" w:hAnsi="仿宋" w:eastAsia="仿宋" w:cs="仿宋_GB2312"/>
          <w:b w:val="0"/>
          <w:bCs w:val="0"/>
          <w:color w:val="000000" w:themeColor="text1"/>
          <w:sz w:val="32"/>
          <w:szCs w:val="32"/>
          <w14:textFill>
            <w14:solidFill>
              <w14:schemeClr w14:val="tx1"/>
            </w14:solidFill>
          </w14:textFill>
        </w:rPr>
        <w:t>202</w:t>
      </w:r>
      <w:r>
        <w:rPr>
          <w:rFonts w:hint="eastAsia" w:ascii="仿宋" w:hAnsi="仿宋" w:eastAsia="仿宋" w:cs="仿宋_GB2312"/>
          <w:b w:val="0"/>
          <w:bCs w:val="0"/>
          <w:color w:val="000000" w:themeColor="text1"/>
          <w:sz w:val="32"/>
          <w:szCs w:val="32"/>
          <w:lang w:val="en-US" w:eastAsia="zh-CN"/>
          <w14:textFill>
            <w14:solidFill>
              <w14:schemeClr w14:val="tx1"/>
            </w14:solidFill>
          </w14:textFill>
        </w:rPr>
        <w:t>1</w:t>
      </w:r>
      <w:r>
        <w:rPr>
          <w:rFonts w:hint="eastAsia" w:ascii="仿宋" w:hAnsi="仿宋" w:eastAsia="仿宋" w:cs="仿宋_GB2312"/>
          <w:b w:val="0"/>
          <w:bCs w:val="0"/>
          <w:color w:val="000000" w:themeColor="text1"/>
          <w:sz w:val="32"/>
          <w:szCs w:val="32"/>
          <w14:textFill>
            <w14:solidFill>
              <w14:schemeClr w14:val="tx1"/>
            </w14:solidFill>
          </w14:textFill>
        </w:rPr>
        <w:t>年标准化考点运行维护费项目收到财政拨款20万元。能够满足及时维护标准化考场设施设备，通过远程技术调试和保障、巡检维护和设备保养等项目。</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仿宋" w:hAnsi="仿宋" w:eastAsia="仿宋" w:cs="仿宋_GB2312"/>
          <w:b w:val="0"/>
          <w:bCs w:val="0"/>
          <w:sz w:val="32"/>
          <w:szCs w:val="32"/>
        </w:rPr>
      </w:pPr>
      <w:r>
        <w:rPr>
          <w:rFonts w:hint="eastAsia" w:ascii="仿宋" w:hAnsi="仿宋" w:eastAsia="仿宋" w:cs="仿宋_GB2312"/>
          <w:b w:val="0"/>
          <w:bCs w:val="0"/>
          <w:color w:val="000000" w:themeColor="text1"/>
          <w:sz w:val="32"/>
          <w:szCs w:val="32"/>
          <w14:textFill>
            <w14:solidFill>
              <w14:schemeClr w14:val="tx1"/>
            </w14:solidFill>
          </w14:textFill>
        </w:rPr>
        <w:t>截止202</w:t>
      </w:r>
      <w:r>
        <w:rPr>
          <w:rFonts w:hint="eastAsia" w:ascii="仿宋" w:hAnsi="仿宋" w:eastAsia="仿宋" w:cs="仿宋_GB2312"/>
          <w:b w:val="0"/>
          <w:bCs w:val="0"/>
          <w:color w:val="000000" w:themeColor="text1"/>
          <w:sz w:val="32"/>
          <w:szCs w:val="32"/>
          <w:lang w:val="en-US" w:eastAsia="zh-CN"/>
          <w14:textFill>
            <w14:solidFill>
              <w14:schemeClr w14:val="tx1"/>
            </w14:solidFill>
          </w14:textFill>
        </w:rPr>
        <w:t>1</w:t>
      </w:r>
      <w:r>
        <w:rPr>
          <w:rFonts w:hint="eastAsia" w:ascii="仿宋" w:hAnsi="仿宋" w:eastAsia="仿宋" w:cs="仿宋_GB2312"/>
          <w:b w:val="0"/>
          <w:bCs w:val="0"/>
          <w:color w:val="000000" w:themeColor="text1"/>
          <w:sz w:val="32"/>
          <w:szCs w:val="32"/>
          <w14:textFill>
            <w14:solidFill>
              <w14:schemeClr w14:val="tx1"/>
            </w14:solidFill>
          </w14:textFill>
        </w:rPr>
        <w:t>年12月31日实际拨付标准化考点运行维护费项目资金20万元，当年结转项目资金0.00万元，项目资金累计结余0.00万元。</w:t>
      </w:r>
      <w:r>
        <w:rPr>
          <w:rFonts w:hint="eastAsia" w:ascii="仿宋" w:hAnsi="仿宋" w:eastAsia="仿宋" w:cs="仿宋_GB2312"/>
          <w:b w:val="0"/>
          <w:bCs w:val="0"/>
          <w:sz w:val="32"/>
          <w:szCs w:val="32"/>
        </w:rPr>
        <w:t>在资金使用上，各校按照市、区教育主管部门要求，制定了相应的财务管理制度，做到专款专用、专项核算。</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（三）项目财务管理情况</w:t>
      </w:r>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2"/>
        <w:rPr>
          <w:rFonts w:ascii="仿宋_GB2312" w:hAnsi="仿宋_GB2312" w:eastAsia="仿宋_GB2312" w:cs="仿宋_GB2312"/>
          <w:b w:val="0"/>
          <w:bCs w:val="0"/>
          <w:sz w:val="32"/>
          <w:szCs w:val="32"/>
          <w:lang w:val="zh-CN"/>
        </w:rPr>
      </w:pPr>
      <w:r>
        <w:rPr>
          <w:rFonts w:hint="eastAsia" w:ascii="仿宋" w:hAnsi="仿宋" w:eastAsia="仿宋" w:cs="仿宋_GB2312"/>
          <w:b w:val="0"/>
          <w:bCs w:val="0"/>
          <w:color w:val="000000" w:themeColor="text1"/>
          <w:sz w:val="32"/>
          <w:szCs w:val="32"/>
          <w14:textFill>
            <w14:solidFill>
              <w14:schemeClr w14:val="tx1"/>
            </w14:solidFill>
          </w14:textFill>
        </w:rPr>
        <w:t>标准化考点运行维护费专项经费</w:t>
      </w:r>
      <w:r>
        <w:rPr>
          <w:rFonts w:hint="eastAsia" w:ascii="仿宋" w:hAnsi="仿宋" w:eastAsia="仿宋" w:cs="仿宋_GB2312"/>
          <w:b w:val="0"/>
          <w:bCs w:val="0"/>
          <w:sz w:val="32"/>
          <w:szCs w:val="32"/>
        </w:rPr>
        <w:t>资金支出手续齐全，收支票据规范，原始凭证合规，无不合规凭证等现象，无超范围使用或挪作他用的现象，确保了</w:t>
      </w:r>
      <w:r>
        <w:rPr>
          <w:rFonts w:hint="eastAsia" w:ascii="仿宋" w:hAnsi="仿宋" w:eastAsia="仿宋" w:cs="仿宋_GB2312"/>
          <w:b w:val="0"/>
          <w:bCs w:val="0"/>
          <w:color w:val="000000" w:themeColor="text1"/>
          <w:sz w:val="32"/>
          <w:szCs w:val="32"/>
          <w14:textFill>
            <w14:solidFill>
              <w14:schemeClr w14:val="tx1"/>
            </w14:solidFill>
          </w14:textFill>
        </w:rPr>
        <w:t>标准化考点运行维护费专项经费</w:t>
      </w:r>
      <w:r>
        <w:rPr>
          <w:rFonts w:hint="eastAsia" w:ascii="仿宋" w:hAnsi="仿宋" w:eastAsia="仿宋" w:cs="仿宋_GB2312"/>
          <w:b w:val="0"/>
          <w:bCs w:val="0"/>
          <w:sz w:val="32"/>
          <w:szCs w:val="32"/>
        </w:rPr>
        <w:t>资金足额用于国家标准化考点建设和执行维护任务。</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1"/>
        <w:rPr>
          <w:rFonts w:hint="eastAsia" w:ascii="方正黑体简体" w:hAnsi="宋体" w:eastAsia="方正黑体简体"/>
          <w:b w:val="0"/>
          <w:bCs w:val="0"/>
          <w:sz w:val="32"/>
          <w:szCs w:val="32"/>
          <w:lang w:val="zh-CN"/>
        </w:rPr>
      </w:pPr>
      <w:bookmarkStart w:id="76" w:name="_Toc22708"/>
      <w:r>
        <w:rPr>
          <w:rFonts w:hint="eastAsia" w:ascii="方正黑体简体" w:hAnsi="宋体" w:eastAsia="方正黑体简体"/>
          <w:b w:val="0"/>
          <w:bCs w:val="0"/>
          <w:sz w:val="32"/>
          <w:szCs w:val="32"/>
          <w:lang w:val="zh-CN"/>
        </w:rPr>
        <w:t>三、项目实施及管理情况</w:t>
      </w:r>
      <w:bookmarkEnd w:id="76"/>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2"/>
        <w:rPr>
          <w:rFonts w:ascii="仿宋" w:hAnsi="仿宋" w:eastAsia="仿宋" w:cs="仿宋_GB2312"/>
          <w:b w:val="0"/>
          <w:bCs w:val="0"/>
          <w:sz w:val="32"/>
          <w:szCs w:val="32"/>
        </w:rPr>
      </w:pPr>
      <w:r>
        <w:rPr>
          <w:rFonts w:hint="eastAsia" w:ascii="仿宋" w:hAnsi="仿宋" w:eastAsia="仿宋" w:cs="仿宋_GB2312"/>
          <w:b w:val="0"/>
          <w:bCs w:val="0"/>
          <w:sz w:val="32"/>
          <w:szCs w:val="32"/>
        </w:rPr>
        <w:t>202</w:t>
      </w:r>
      <w:r>
        <w:rPr>
          <w:rFonts w:hint="eastAsia" w:ascii="仿宋" w:hAnsi="仿宋" w:eastAsia="仿宋" w:cs="仿宋_GB2312"/>
          <w:b w:val="0"/>
          <w:bCs w:val="0"/>
          <w:sz w:val="32"/>
          <w:szCs w:val="32"/>
          <w:lang w:val="en-US" w:eastAsia="zh-CN"/>
        </w:rPr>
        <w:t>1</w:t>
      </w:r>
      <w:r>
        <w:rPr>
          <w:rFonts w:hint="eastAsia" w:ascii="仿宋" w:hAnsi="仿宋" w:eastAsia="仿宋" w:cs="仿宋_GB2312"/>
          <w:b w:val="0"/>
          <w:bCs w:val="0"/>
          <w:sz w:val="32"/>
          <w:szCs w:val="32"/>
        </w:rPr>
        <w:t>年度全区</w:t>
      </w:r>
      <w:r>
        <w:rPr>
          <w:rFonts w:hint="eastAsia" w:ascii="仿宋" w:hAnsi="仿宋" w:eastAsia="仿宋" w:cs="仿宋_GB2312"/>
          <w:b w:val="0"/>
          <w:bCs w:val="0"/>
          <w:color w:val="000000" w:themeColor="text1"/>
          <w:sz w:val="32"/>
          <w:szCs w:val="32"/>
          <w:lang w:eastAsia="zh-CN"/>
          <w14:textFill>
            <w14:solidFill>
              <w14:schemeClr w14:val="tx1"/>
            </w14:solidFill>
          </w14:textFill>
        </w:rPr>
        <w:t>办考</w:t>
      </w:r>
      <w:r>
        <w:rPr>
          <w:rFonts w:hint="eastAsia" w:ascii="仿宋" w:hAnsi="仿宋" w:eastAsia="仿宋" w:cs="仿宋_GB2312"/>
          <w:b w:val="0"/>
          <w:bCs w:val="0"/>
          <w:color w:val="000000" w:themeColor="text1"/>
          <w:sz w:val="32"/>
          <w:szCs w:val="32"/>
          <w14:textFill>
            <w14:solidFill>
              <w14:schemeClr w14:val="tx1"/>
            </w14:solidFill>
          </w14:textFill>
        </w:rPr>
        <w:t>专项经费</w:t>
      </w:r>
      <w:r>
        <w:rPr>
          <w:rFonts w:hint="eastAsia" w:ascii="仿宋" w:hAnsi="仿宋" w:eastAsia="仿宋" w:cs="仿宋_GB2312"/>
          <w:b w:val="0"/>
          <w:bCs w:val="0"/>
          <w:sz w:val="32"/>
          <w:szCs w:val="32"/>
        </w:rPr>
        <w:t>补助资金使用率达</w:t>
      </w:r>
      <w:r>
        <w:rPr>
          <w:rFonts w:hint="eastAsia" w:ascii="仿宋" w:hAnsi="仿宋" w:eastAsia="仿宋" w:cs="仿宋_GB2312"/>
          <w:b w:val="0"/>
          <w:bCs w:val="0"/>
          <w:spacing w:val="-6"/>
          <w:sz w:val="32"/>
          <w:szCs w:val="32"/>
        </w:rPr>
        <w:t>到100%。全年支出总量严格按预算数执行，费用支付严格按照严格按照专项资金使用执行，节俭支出，有效促进标准化考场设施设备完善，远程技术调试和保障、巡检维护和设备保养等</w:t>
      </w:r>
      <w:r>
        <w:rPr>
          <w:rFonts w:hint="eastAsia" w:ascii="仿宋" w:hAnsi="仿宋" w:eastAsia="仿宋"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1"/>
        <w:rPr>
          <w:rFonts w:hint="eastAsia" w:ascii="方正黑体简体" w:hAnsi="宋体" w:eastAsia="方正黑体简体"/>
          <w:b w:val="0"/>
          <w:bCs w:val="0"/>
          <w:sz w:val="32"/>
          <w:szCs w:val="32"/>
          <w:lang w:val="zh-CN"/>
        </w:rPr>
      </w:pPr>
      <w:bookmarkStart w:id="77" w:name="_Toc29201"/>
      <w:r>
        <w:rPr>
          <w:rFonts w:hint="eastAsia" w:ascii="方正黑体简体" w:hAnsi="宋体" w:eastAsia="方正黑体简体"/>
          <w:b w:val="0"/>
          <w:bCs w:val="0"/>
          <w:sz w:val="32"/>
          <w:szCs w:val="32"/>
          <w:lang w:val="zh-CN"/>
        </w:rPr>
        <w:t>四、项目绩效情况</w:t>
      </w:r>
      <w:bookmarkEnd w:id="77"/>
      <w:r>
        <w:rPr>
          <w:rFonts w:hint="eastAsia" w:ascii="方正黑体简体" w:hAnsi="宋体" w:eastAsia="方正黑体简体"/>
          <w:b w:val="0"/>
          <w:bCs w:val="0"/>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（一）项目完成情况</w:t>
      </w:r>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2"/>
        <w:rPr>
          <w:rFonts w:ascii="仿宋" w:hAnsi="仿宋" w:eastAsia="仿宋" w:cs="仿宋_GB2312"/>
          <w:b w:val="0"/>
          <w:bCs w:val="0"/>
          <w:sz w:val="32"/>
          <w:szCs w:val="32"/>
        </w:rPr>
      </w:pPr>
      <w:r>
        <w:rPr>
          <w:rFonts w:hint="eastAsia" w:ascii="仿宋" w:hAnsi="仿宋" w:eastAsia="仿宋" w:cs="仿宋_GB2312"/>
          <w:b w:val="0"/>
          <w:bCs w:val="0"/>
          <w:sz w:val="32"/>
          <w:szCs w:val="32"/>
        </w:rPr>
        <w:t>该项目积极推动省市标准化考点高清升级改造工作，确保国家教育考试数据互通互联，国家教育考试前运行维护资金支付到位，及时对机房设施设备进行养护、更新，按照国家标准化考点相关规范执行维护任务，完善设施设备管理使用制度，强化规范操作，注重设施设备保养和维护，减少设备更换成本。</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（二）项目效益情况</w:t>
      </w:r>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2"/>
        <w:rPr>
          <w:rFonts w:ascii="仿宋" w:hAnsi="仿宋" w:eastAsia="仿宋" w:cs="仿宋_GB2312"/>
          <w:b w:val="0"/>
          <w:bCs w:val="0"/>
          <w:sz w:val="32"/>
          <w:szCs w:val="32"/>
        </w:rPr>
      </w:pPr>
      <w:r>
        <w:rPr>
          <w:rFonts w:hint="eastAsia" w:ascii="仿宋" w:hAnsi="仿宋" w:eastAsia="仿宋" w:cs="仿宋_GB2312"/>
          <w:b w:val="0"/>
          <w:bCs w:val="0"/>
          <w:sz w:val="32"/>
          <w:szCs w:val="32"/>
        </w:rPr>
        <w:t>项目的实施规范了教师监考行为，维护考试工作人员正当权利，完善诚信体系，有效遏制高科技作弊、大规模作弊行为，整合社会资源、促进教育信息化发展。</w:t>
      </w:r>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2"/>
        <w:rPr>
          <w:rFonts w:ascii="黑体" w:hAnsi="黑体" w:eastAsia="黑体" w:cs="黑体"/>
          <w:b w:val="0"/>
          <w:bCs w:val="0"/>
          <w:sz w:val="32"/>
          <w:szCs w:val="32"/>
        </w:rPr>
      </w:pPr>
      <w:r>
        <w:rPr>
          <w:rFonts w:hint="eastAsia" w:ascii="仿宋" w:hAnsi="仿宋" w:eastAsia="仿宋" w:cs="仿宋_GB2312"/>
          <w:b w:val="0"/>
          <w:bCs w:val="0"/>
          <w:sz w:val="32"/>
          <w:szCs w:val="32"/>
        </w:rPr>
        <w:t>通过问卷调查、电话访问、现场走访等形式，对社会、经济发展可持续影响100%，考点学校和考务工作人员满意度90%。</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1"/>
        <w:rPr>
          <w:rFonts w:hint="eastAsia" w:ascii="方正黑体简体" w:hAnsi="宋体" w:eastAsia="方正黑体简体"/>
          <w:b w:val="0"/>
          <w:bCs w:val="0"/>
          <w:sz w:val="32"/>
          <w:szCs w:val="32"/>
          <w:lang w:val="zh-CN"/>
        </w:rPr>
      </w:pPr>
      <w:bookmarkStart w:id="78" w:name="_Toc21073"/>
      <w:r>
        <w:rPr>
          <w:rFonts w:hint="eastAsia" w:ascii="方正黑体简体" w:hAnsi="宋体" w:eastAsia="方正黑体简体"/>
          <w:b w:val="0"/>
          <w:bCs w:val="0"/>
          <w:sz w:val="32"/>
          <w:szCs w:val="32"/>
          <w:lang w:val="zh-CN"/>
        </w:rPr>
        <w:t>五、评价结论及建议</w:t>
      </w:r>
      <w:bookmarkEnd w:id="78"/>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（一）评价结论</w:t>
      </w:r>
    </w:p>
    <w:p>
      <w:pPr>
        <w:keepNext w:val="0"/>
        <w:keepLines w:val="0"/>
        <w:pageBreakBefore w:val="0"/>
        <w:widowControl w:val="0"/>
        <w:kinsoku/>
        <w:wordWrap/>
        <w:overflowPunct/>
        <w:topLinePunct w:val="0"/>
        <w:autoSpaceDE/>
        <w:autoSpaceDN/>
        <w:bidi w:val="0"/>
        <w:snapToGrid w:val="0"/>
        <w:spacing w:line="536" w:lineRule="exact"/>
        <w:ind w:firstLine="640" w:firstLineChars="200"/>
        <w:textAlignment w:val="auto"/>
        <w:outlineLvl w:val="2"/>
        <w:rPr>
          <w:rFonts w:ascii="仿宋" w:hAnsi="仿宋" w:eastAsia="仿宋" w:cs="仿宋_GB2312"/>
          <w:b w:val="0"/>
          <w:bCs w:val="0"/>
          <w:sz w:val="32"/>
          <w:szCs w:val="32"/>
          <w:lang w:val="zh-CN"/>
        </w:rPr>
      </w:pPr>
      <w:r>
        <w:rPr>
          <w:rFonts w:hint="eastAsia" w:ascii="仿宋" w:hAnsi="仿宋" w:eastAsia="仿宋" w:cs="仿宋_GB2312"/>
          <w:b w:val="0"/>
          <w:bCs w:val="0"/>
          <w:sz w:val="32"/>
          <w:szCs w:val="32"/>
        </w:rPr>
        <w:t>该项目按照国家标准化考点相关规范执行维护任务，完善</w:t>
      </w:r>
      <w:r>
        <w:rPr>
          <w:rFonts w:hint="eastAsia" w:ascii="仿宋" w:hAnsi="仿宋" w:eastAsia="仿宋" w:cs="仿宋_GB2312"/>
          <w:b w:val="0"/>
          <w:bCs w:val="0"/>
          <w:sz w:val="32"/>
          <w:szCs w:val="32"/>
          <w:lang w:eastAsia="zh-CN"/>
        </w:rPr>
        <w:t>了</w:t>
      </w:r>
      <w:r>
        <w:rPr>
          <w:rFonts w:hint="eastAsia" w:ascii="仿宋" w:hAnsi="仿宋" w:eastAsia="仿宋" w:cs="仿宋_GB2312"/>
          <w:b w:val="0"/>
          <w:bCs w:val="0"/>
          <w:sz w:val="32"/>
          <w:szCs w:val="32"/>
        </w:rPr>
        <w:t>设施设备管理使用制度，强化规范操作，注重设施设备保养和维护，减少设备更换成本，规范教师监考行为，维护考试工作人员正当权利，促进教育考试公正公平、有效震慑考试舞弊行为。</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ascii="仿宋" w:hAnsi="仿宋" w:eastAsia="仿宋" w:cs="仿宋_GB2312"/>
          <w:b w:val="0"/>
          <w:bCs w:val="0"/>
          <w:sz w:val="32"/>
          <w:szCs w:val="32"/>
        </w:rPr>
      </w:pPr>
      <w:r>
        <w:rPr>
          <w:rFonts w:hint="eastAsia" w:ascii="仿宋" w:hAnsi="仿宋" w:eastAsia="仿宋" w:cs="仿宋_GB2312"/>
          <w:b w:val="0"/>
          <w:bCs w:val="0"/>
          <w:sz w:val="32"/>
          <w:szCs w:val="32"/>
        </w:rPr>
        <w:t>由于标准化考点建设运维资金未纳人各级单位财政经费预算，没有明确的财政预算,后续建设和运行维护资金将难以为维。近年来各级平台所需的运行维护费用都是向政府、教育局临时单独打报告申请资金,申请流程复杂，资金落实困难，长效运行维护机制得不到保障。</w:t>
      </w:r>
    </w:p>
    <w:p>
      <w:pPr>
        <w:keepNext w:val="0"/>
        <w:keepLines w:val="0"/>
        <w:pageBreakBefore w:val="0"/>
        <w:widowControl w:val="0"/>
        <w:kinsoku/>
        <w:wordWrap/>
        <w:overflowPunct/>
        <w:topLinePunct w:val="0"/>
        <w:autoSpaceDE/>
        <w:autoSpaceDN/>
        <w:bidi w:val="0"/>
        <w:adjustRightInd w:val="0"/>
        <w:snapToGrid w:val="0"/>
        <w:spacing w:line="536" w:lineRule="exact"/>
        <w:ind w:firstLine="640" w:firstLineChars="200"/>
        <w:textAlignment w:val="auto"/>
        <w:outlineLvl w:val="2"/>
        <w:rPr>
          <w:rFonts w:hint="eastAsia" w:ascii="方正楷体简体" w:hAnsi="宋体" w:eastAsia="方正楷体简体"/>
          <w:b w:val="0"/>
          <w:bCs w:val="0"/>
          <w:sz w:val="32"/>
          <w:szCs w:val="32"/>
          <w:lang w:val="zh-CN"/>
        </w:rPr>
      </w:pPr>
      <w:r>
        <w:rPr>
          <w:rFonts w:hint="eastAsia" w:ascii="方正楷体简体" w:hAnsi="宋体" w:eastAsia="方正楷体简体"/>
          <w:b w:val="0"/>
          <w:bCs w:val="0"/>
          <w:sz w:val="32"/>
          <w:szCs w:val="32"/>
          <w:lang w:val="zh-CN"/>
        </w:rPr>
        <w:t>（三）相关建议</w:t>
      </w:r>
    </w:p>
    <w:p>
      <w:pPr>
        <w:pStyle w:val="5"/>
        <w:numPr>
          <w:ilvl w:val="0"/>
          <w:numId w:val="0"/>
        </w:numPr>
        <w:ind w:firstLine="640" w:firstLineChars="200"/>
        <w:outlineLvl w:val="1"/>
        <w:rPr>
          <w:rFonts w:hint="eastAsia" w:ascii="仿宋" w:hAnsi="仿宋" w:eastAsia="仿宋" w:cs="仿宋_GB2312"/>
          <w:b w:val="0"/>
          <w:bCs w:val="0"/>
          <w:sz w:val="32"/>
          <w:szCs w:val="32"/>
        </w:rPr>
      </w:pPr>
      <w:bookmarkStart w:id="79" w:name="_Toc7867"/>
      <w:r>
        <w:rPr>
          <w:rFonts w:hint="eastAsia" w:ascii="仿宋" w:hAnsi="仿宋" w:eastAsia="仿宋" w:cs="仿宋_GB2312"/>
          <w:b w:val="0"/>
          <w:bCs w:val="0"/>
          <w:sz w:val="32"/>
          <w:szCs w:val="32"/>
        </w:rPr>
        <w:t>注重人员队伍建设，深化资源配资。</w:t>
      </w:r>
      <w:bookmarkEnd w:id="79"/>
    </w:p>
    <w:p>
      <w:pPr>
        <w:outlineLvl w:val="9"/>
        <w:rPr>
          <w:rFonts w:hint="eastAsia" w:ascii="仿宋" w:hAnsi="仿宋" w:eastAsia="仿宋" w:cs="仿宋_GB2312"/>
          <w:b w:val="0"/>
          <w:bCs w:val="0"/>
          <w:sz w:val="32"/>
          <w:szCs w:val="32"/>
        </w:rPr>
      </w:pPr>
      <w:r>
        <w:rPr>
          <w:rFonts w:hint="eastAsia" w:ascii="仿宋" w:hAnsi="仿宋" w:eastAsia="仿宋" w:cs="仿宋_GB2312"/>
          <w:b w:val="0"/>
          <w:bCs w:val="0"/>
          <w:sz w:val="32"/>
          <w:szCs w:val="32"/>
        </w:rPr>
        <w:br w:type="page"/>
      </w:r>
    </w:p>
    <w:p>
      <w:pPr>
        <w:pStyle w:val="5"/>
        <w:numPr>
          <w:ilvl w:val="0"/>
          <w:numId w:val="0"/>
        </w:numPr>
        <w:outlineLvl w:val="2"/>
        <w:rPr>
          <w:rFonts w:hint="default" w:ascii="仿宋" w:hAnsi="仿宋" w:eastAsia="仿宋" w:cs="仿宋_GB2312"/>
          <w:b w:val="0"/>
          <w:bCs w:val="0"/>
          <w:sz w:val="32"/>
          <w:szCs w:val="32"/>
          <w:lang w:val="en-US" w:eastAsia="zh-CN"/>
        </w:rPr>
      </w:pPr>
      <w:r>
        <w:rPr>
          <w:rFonts w:hint="eastAsia" w:ascii="仿宋" w:hAnsi="仿宋" w:eastAsia="仿宋" w:cs="仿宋_GB2312"/>
          <w:b w:val="0"/>
          <w:bCs w:val="0"/>
          <w:sz w:val="32"/>
          <w:szCs w:val="32"/>
          <w:lang w:val="en-US" w:eastAsia="zh-CN"/>
        </w:rPr>
        <w:t>附件2.2</w:t>
      </w:r>
    </w:p>
    <w:p>
      <w:pPr>
        <w:pStyle w:val="31"/>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2"/>
        <w:rPr>
          <w:rFonts w:hint="eastAsia" w:ascii="方正小标宋简体" w:hAnsi="方正小标宋简体" w:eastAsia="方正小标宋简体" w:cs="方正小标宋简体"/>
          <w:b w:val="0"/>
          <w:bCs/>
          <w:color w:val="auto"/>
          <w:kern w:val="2"/>
          <w:sz w:val="40"/>
          <w:szCs w:val="40"/>
          <w:lang w:val="en-US" w:eastAsia="zh-CN" w:bidi="ar-SA"/>
        </w:rPr>
      </w:pPr>
      <w:bookmarkStart w:id="80" w:name="_Toc15396618"/>
      <w:r>
        <w:rPr>
          <w:rFonts w:hint="eastAsia" w:ascii="方正小标宋简体" w:hAnsi="方正小标宋简体" w:eastAsia="方正小标宋简体" w:cs="方正小标宋简体"/>
          <w:b w:val="0"/>
          <w:bCs/>
          <w:color w:val="auto"/>
          <w:kern w:val="2"/>
          <w:sz w:val="40"/>
          <w:szCs w:val="40"/>
          <w:lang w:val="en-US" w:eastAsia="zh-CN" w:bidi="ar-SA"/>
        </w:rPr>
        <w:t>广元市利州区教育局</w:t>
      </w:r>
    </w:p>
    <w:p>
      <w:pPr>
        <w:pStyle w:val="31"/>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2"/>
        <w:rPr>
          <w:rFonts w:hint="eastAsia" w:ascii="方正小标宋简体" w:hAnsi="方正小标宋简体" w:eastAsia="方正小标宋简体" w:cs="方正小标宋简体"/>
          <w:b w:val="0"/>
          <w:bCs/>
          <w:color w:val="auto"/>
          <w:kern w:val="2"/>
          <w:sz w:val="40"/>
          <w:szCs w:val="40"/>
          <w:lang w:val="en-US" w:eastAsia="zh-CN" w:bidi="ar-SA"/>
        </w:rPr>
      </w:pPr>
      <w:r>
        <w:rPr>
          <w:rFonts w:hint="eastAsia" w:ascii="方正小标宋简体" w:hAnsi="方正小标宋简体" w:eastAsia="方正小标宋简体" w:cs="方正小标宋简体"/>
          <w:b w:val="0"/>
          <w:bCs/>
          <w:color w:val="auto"/>
          <w:kern w:val="2"/>
          <w:sz w:val="40"/>
          <w:szCs w:val="40"/>
          <w:lang w:val="en-US" w:eastAsia="zh-CN" w:bidi="ar-SA"/>
        </w:rPr>
        <w:t>挪威森林幼儿园、启迪星幼儿园营运补贴配套项目支出绩效自评报告</w:t>
      </w:r>
    </w:p>
    <w:p>
      <w:pPr>
        <w:spacing w:line="560" w:lineRule="exact"/>
        <w:jc w:val="center"/>
        <w:outlineLvl w:val="9"/>
        <w:rPr>
          <w:rFonts w:ascii="仿宋_GB2312" w:hAnsi="仿宋_GB2312" w:eastAsia="仿宋_GB2312" w:cs="仿宋_GB2312"/>
          <w:sz w:val="32"/>
          <w:szCs w:val="32"/>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left="0" w:leftChars="0" w:firstLine="640" w:firstLineChars="200"/>
        <w:jc w:val="both"/>
        <w:textAlignment w:val="auto"/>
        <w:outlineLvl w:val="1"/>
        <w:rPr>
          <w:rFonts w:ascii="黑体" w:hAnsi="黑体" w:eastAsia="黑体" w:cs="黑体"/>
          <w:bCs/>
          <w:sz w:val="32"/>
          <w:szCs w:val="32"/>
          <w:lang w:val="zh-CN"/>
        </w:rPr>
      </w:pPr>
      <w:bookmarkStart w:id="81" w:name="_Toc23404"/>
      <w:r>
        <w:rPr>
          <w:rFonts w:hint="eastAsia" w:ascii="黑体" w:hAnsi="黑体" w:eastAsia="黑体" w:cs="黑体"/>
          <w:bCs/>
          <w:sz w:val="32"/>
          <w:szCs w:val="32"/>
          <w:lang w:val="zh-CN"/>
        </w:rPr>
        <w:t>项目概况</w:t>
      </w:r>
      <w:bookmarkEnd w:id="81"/>
    </w:p>
    <w:p>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640" w:firstLineChars="200"/>
        <w:jc w:val="both"/>
        <w:textAlignment w:val="auto"/>
        <w:outlineLvl w:val="2"/>
        <w:rPr>
          <w:rFonts w:hint="eastAsia" w:ascii="楷体" w:hAnsi="楷体" w:eastAsia="楷体" w:cs="楷体"/>
          <w:bCs/>
          <w:sz w:val="32"/>
          <w:szCs w:val="32"/>
          <w:lang w:val="zh-CN"/>
        </w:rPr>
      </w:pPr>
      <w:r>
        <w:rPr>
          <w:rFonts w:hint="eastAsia" w:ascii="楷体" w:hAnsi="楷体" w:eastAsia="楷体" w:cs="楷体"/>
          <w:bCs/>
          <w:sz w:val="32"/>
          <w:szCs w:val="32"/>
          <w:lang w:val="zh-CN"/>
        </w:rPr>
        <w:t>项目资金申报及批复情况</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有效解决幼儿园因投入高、收费低造成的运行困难，服务质量低劣问题。向区财政申请</w:t>
      </w:r>
      <w:r>
        <w:rPr>
          <w:rFonts w:hint="eastAsia" w:ascii="仿宋_GB2312" w:hAnsi="仿宋_GB2312" w:eastAsia="仿宋_GB2312" w:cs="仿宋_GB2312"/>
          <w:bCs/>
          <w:sz w:val="32"/>
          <w:szCs w:val="32"/>
          <w:lang w:val="en-US" w:eastAsia="zh-CN"/>
        </w:rPr>
        <w:t>612.49</w:t>
      </w:r>
      <w:r>
        <w:rPr>
          <w:rFonts w:hint="eastAsia" w:ascii="仿宋_GB2312" w:hAnsi="仿宋_GB2312" w:eastAsia="仿宋_GB2312" w:cs="仿宋_GB2312"/>
          <w:bCs/>
          <w:sz w:val="32"/>
          <w:szCs w:val="32"/>
        </w:rPr>
        <w:t>万元用于普惠性幼儿园学位购买补助，利州区政府年度批复预算</w:t>
      </w:r>
      <w:r>
        <w:rPr>
          <w:rFonts w:hint="eastAsia" w:ascii="仿宋_GB2312" w:hAnsi="仿宋_GB2312" w:eastAsia="仿宋_GB2312" w:cs="仿宋_GB2312"/>
          <w:bCs/>
          <w:sz w:val="32"/>
          <w:szCs w:val="32"/>
          <w:lang w:val="en-US" w:eastAsia="zh-CN"/>
        </w:rPr>
        <w:t>612.49</w:t>
      </w:r>
      <w:r>
        <w:rPr>
          <w:rFonts w:hint="eastAsia" w:ascii="仿宋_GB2312" w:hAnsi="仿宋_GB2312" w:eastAsia="仿宋_GB2312" w:cs="仿宋_GB2312"/>
          <w:bCs/>
          <w:sz w:val="32"/>
          <w:szCs w:val="32"/>
        </w:rPr>
        <w:t>万元。</w:t>
      </w:r>
    </w:p>
    <w:p>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640" w:firstLineChars="200"/>
        <w:jc w:val="both"/>
        <w:textAlignment w:val="auto"/>
        <w:outlineLvl w:val="2"/>
        <w:rPr>
          <w:rFonts w:hint="eastAsia" w:ascii="楷体" w:hAnsi="楷体" w:eastAsia="楷体" w:cs="楷体"/>
          <w:bCs/>
          <w:sz w:val="32"/>
          <w:szCs w:val="32"/>
          <w:lang w:val="zh-CN"/>
        </w:rPr>
      </w:pPr>
      <w:r>
        <w:rPr>
          <w:rFonts w:hint="eastAsia" w:ascii="楷体" w:hAnsi="楷体" w:eastAsia="楷体" w:cs="楷体"/>
          <w:bCs/>
          <w:sz w:val="32"/>
          <w:szCs w:val="32"/>
          <w:lang w:val="zh-CN"/>
        </w:rPr>
        <w:t>项目绩效目标</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购买学位348个，购买空余学位132个，学位补助500元/生/年，空余学位补助200元/生/年；2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莲花社区幼儿一年入园率96%，宝轮片区幼儿一年入园率90%，有效解决莲花社区幼儿入园难、入园贵问题；3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在园幼儿家长满意率95%，莲花社区满意率95%。</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年年初制订了幼儿园营运补贴配套专项工作计划</w:t>
      </w:r>
      <w:r>
        <w:rPr>
          <w:rFonts w:hint="eastAsia" w:ascii="仿宋_GB2312" w:hAnsi="仿宋_GB2312" w:eastAsia="仿宋_GB2312" w:cs="仿宋_GB2312"/>
          <w:sz w:val="32"/>
          <w:szCs w:val="32"/>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640" w:firstLineChars="200"/>
        <w:jc w:val="both"/>
        <w:textAlignment w:val="auto"/>
        <w:outlineLvl w:val="2"/>
        <w:rPr>
          <w:rFonts w:hint="eastAsia" w:ascii="楷体" w:hAnsi="楷体" w:eastAsia="楷体" w:cs="楷体"/>
          <w:bCs/>
          <w:sz w:val="32"/>
          <w:szCs w:val="32"/>
          <w:lang w:val="zh-CN"/>
        </w:rPr>
      </w:pPr>
      <w:r>
        <w:rPr>
          <w:rFonts w:hint="eastAsia" w:ascii="楷体" w:hAnsi="楷体" w:eastAsia="楷体" w:cs="楷体"/>
          <w:bCs/>
          <w:sz w:val="32"/>
          <w:szCs w:val="32"/>
          <w:lang w:val="zh-CN"/>
        </w:rPr>
        <w:t>项目资金申报相符性</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zh-CN"/>
        </w:rPr>
        <w:t>申报内容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zh-CN"/>
        </w:rPr>
        <w:t>具体实施内容相符，</w:t>
      </w:r>
      <w:r>
        <w:rPr>
          <w:rFonts w:hint="eastAsia" w:ascii="仿宋_GB2312" w:hAnsi="仿宋_GB2312" w:eastAsia="仿宋_GB2312" w:cs="仿宋_GB2312"/>
          <w:sz w:val="32"/>
          <w:szCs w:val="32"/>
        </w:rPr>
        <w:t>不存在改变项目资金用途的现象，</w:t>
      </w:r>
      <w:r>
        <w:rPr>
          <w:rFonts w:hint="eastAsia" w:ascii="仿宋_GB2312" w:hAnsi="仿宋_GB2312" w:eastAsia="仿宋_GB2312" w:cs="仿宋_GB2312"/>
          <w:sz w:val="32"/>
          <w:szCs w:val="32"/>
          <w:lang w:val="zh-CN"/>
        </w:rPr>
        <w:t>申报目标合理可行。</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1"/>
        <w:rPr>
          <w:rFonts w:ascii="黑体" w:hAnsi="黑体" w:eastAsia="黑体" w:cs="黑体"/>
          <w:bCs/>
          <w:sz w:val="32"/>
          <w:szCs w:val="32"/>
        </w:rPr>
      </w:pPr>
      <w:bookmarkStart w:id="82" w:name="_Toc17217"/>
      <w:r>
        <w:rPr>
          <w:rFonts w:hint="eastAsia" w:ascii="黑体" w:hAnsi="黑体" w:eastAsia="黑体" w:cs="黑体"/>
          <w:bCs/>
          <w:sz w:val="32"/>
          <w:szCs w:val="32"/>
        </w:rPr>
        <w:t>二、项目实施及管理情况</w:t>
      </w:r>
      <w:bookmarkEnd w:id="82"/>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1．资金计划及到位。</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年年初将该项目资金纳入区级财政资金预算，并及时下达该项目资金，资金到位及时，</w:t>
      </w:r>
      <w:r>
        <w:rPr>
          <w:rFonts w:hint="eastAsia" w:ascii="仿宋_GB2312" w:hAnsi="仿宋_GB2312" w:eastAsia="仿宋_GB2312" w:cs="仿宋_GB2312"/>
          <w:sz w:val="32"/>
          <w:szCs w:val="32"/>
          <w:lang w:val="zh-CN"/>
        </w:rPr>
        <w:t>资金到位率</w:t>
      </w:r>
      <w:r>
        <w:rPr>
          <w:rFonts w:hint="eastAsia" w:ascii="仿宋_GB2312" w:hAnsi="仿宋_GB2312" w:eastAsia="仿宋_GB2312" w:cs="仿宋_GB2312"/>
          <w:sz w:val="32"/>
          <w:szCs w:val="32"/>
        </w:rPr>
        <w:t>100%。</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资金使用。</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sz w:val="32"/>
          <w:szCs w:val="32"/>
          <w:lang w:val="zh-CN"/>
        </w:rPr>
      </w:pPr>
      <w:r>
        <w:rPr>
          <w:rFonts w:hint="eastAsia" w:ascii="仿宋_GB2312" w:hAnsi="仿宋_GB2312" w:eastAsia="仿宋_GB2312" w:cs="仿宋_GB2312"/>
          <w:bCs/>
          <w:sz w:val="32"/>
          <w:szCs w:val="32"/>
        </w:rPr>
        <w:t>该项目资金主要用于普惠性幼儿园学位购买补助，在充分调研的基础上，将该项资金落实到幼儿园，资金使用符合项目资金用途，</w:t>
      </w:r>
      <w:r>
        <w:rPr>
          <w:rFonts w:hint="eastAsia" w:ascii="仿宋_GB2312" w:hAnsi="仿宋_GB2312" w:eastAsia="仿宋_GB2312" w:cs="仿宋_GB2312"/>
          <w:sz w:val="32"/>
          <w:szCs w:val="32"/>
          <w:lang w:val="zh-CN"/>
        </w:rPr>
        <w:t>支出合规合法。</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sz w:val="32"/>
          <w:szCs w:val="32"/>
          <w:lang w:val="zh-CN"/>
        </w:rPr>
      </w:pPr>
      <w:r>
        <w:rPr>
          <w:rFonts w:hint="eastAsia" w:ascii="仿宋_GB2312" w:hAnsi="仿宋_GB2312" w:eastAsia="仿宋_GB2312" w:cs="仿宋_GB2312"/>
          <w:bCs/>
          <w:sz w:val="32"/>
          <w:szCs w:val="32"/>
        </w:rPr>
        <w:t>项目财务管理制度建设健全、机构设置合理合规、会计核算及账务处理合理。该项目严格执行财务管理制度、财务处理及时、会计核算规范。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利州区教育局成立了区计财股为主体的财务工作领导小组，指导和检查资金的使用情况，经检查，该专项资金使用合法合规，严格执行相关资金管理制度。</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1"/>
        <w:rPr>
          <w:rFonts w:ascii="黑体" w:hAnsi="黑体" w:eastAsia="黑体" w:cs="黑体"/>
          <w:bCs/>
          <w:sz w:val="32"/>
          <w:szCs w:val="32"/>
        </w:rPr>
      </w:pPr>
      <w:bookmarkStart w:id="83" w:name="_Toc26359"/>
      <w:r>
        <w:rPr>
          <w:rFonts w:hint="eastAsia" w:ascii="黑体" w:hAnsi="黑体" w:eastAsia="黑体" w:cs="黑体"/>
          <w:bCs/>
          <w:sz w:val="32"/>
          <w:szCs w:val="32"/>
        </w:rPr>
        <w:t>三、项目绩效情况</w:t>
      </w:r>
      <w:bookmarkEnd w:id="83"/>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购买学位348个；2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购买空余学位132个；3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莲花社区幼儿三年入园率90%，宝轮片区幼儿三年入园率90%；4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莲花社区幼儿一年入园率96%，宝轮片区幼儿一年入园率90%，5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学位补助500元/生/年，空余学位补助200元/生/年。</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bCs/>
          <w:spacing w:val="-6"/>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pacing w:val="-6"/>
          <w:sz w:val="32"/>
          <w:szCs w:val="32"/>
        </w:rPr>
        <w:t>02</w:t>
      </w:r>
      <w:r>
        <w:rPr>
          <w:rFonts w:hint="eastAsia" w:ascii="仿宋_GB2312" w:hAnsi="仿宋_GB2312" w:eastAsia="仿宋_GB2312" w:cs="仿宋_GB2312"/>
          <w:bCs/>
          <w:spacing w:val="-6"/>
          <w:sz w:val="32"/>
          <w:szCs w:val="32"/>
          <w:lang w:val="en-US" w:eastAsia="zh-CN"/>
        </w:rPr>
        <w:t>1</w:t>
      </w:r>
      <w:r>
        <w:rPr>
          <w:rFonts w:hint="eastAsia" w:ascii="仿宋_GB2312" w:hAnsi="仿宋_GB2312" w:eastAsia="仿宋_GB2312" w:cs="仿宋_GB2312"/>
          <w:bCs/>
          <w:spacing w:val="-6"/>
          <w:sz w:val="32"/>
          <w:szCs w:val="32"/>
        </w:rPr>
        <w:t>年12月底已按年初制订的</w:t>
      </w:r>
      <w:r>
        <w:rPr>
          <w:rFonts w:hint="eastAsia" w:ascii="仿宋_GB2312" w:hAnsi="仿宋_GB2312" w:eastAsia="仿宋_GB2312" w:cs="仿宋_GB2312"/>
          <w:spacing w:val="-6"/>
          <w:sz w:val="32"/>
          <w:szCs w:val="32"/>
          <w:lang w:val="zh-CN"/>
        </w:rPr>
        <w:t>实施进度计划</w:t>
      </w:r>
      <w:r>
        <w:rPr>
          <w:rFonts w:hint="eastAsia" w:ascii="仿宋_GB2312" w:hAnsi="仿宋_GB2312" w:eastAsia="仿宋_GB2312" w:cs="仿宋_GB2312"/>
          <w:spacing w:val="-6"/>
          <w:sz w:val="32"/>
          <w:szCs w:val="32"/>
        </w:rPr>
        <w:t>分步顺利完成。</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一是切实减轻幼儿家庭教育负担；二是有效解决莲花社区幼儿、宝轮片区幼儿近5年来入园难、入园贵问题；三是在园幼儿家长满意率95%,莲花社区满意率95%。</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1"/>
        <w:rPr>
          <w:rFonts w:ascii="黑体" w:hAnsi="黑体" w:eastAsia="黑体" w:cs="黑体"/>
          <w:bCs/>
          <w:sz w:val="32"/>
          <w:szCs w:val="32"/>
        </w:rPr>
      </w:pPr>
      <w:bookmarkStart w:id="84" w:name="_Toc2913"/>
      <w:r>
        <w:rPr>
          <w:rFonts w:hint="eastAsia" w:ascii="黑体" w:hAnsi="黑体" w:eastAsia="黑体" w:cs="黑体"/>
          <w:bCs/>
          <w:sz w:val="32"/>
          <w:szCs w:val="32"/>
        </w:rPr>
        <w:t>四、问题及建议</w:t>
      </w:r>
      <w:bookmarkEnd w:id="84"/>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加大政策的宣传力度，让家长认识到政府对幼儿园投入，解决幼儿入园难、入园贵问题。</w:t>
      </w:r>
    </w:p>
    <w:p>
      <w:pPr>
        <w:outlineLvl w:val="9"/>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spacing w:line="600" w:lineRule="exact"/>
        <w:jc w:val="both"/>
        <w:outlineLvl w:val="2"/>
        <w:rPr>
          <w:rFonts w:hint="eastAsia" w:ascii="宋体" w:hAnsi="宋体" w:eastAsia="宋体" w:cs="宋体"/>
          <w:color w:val="auto"/>
          <w:sz w:val="32"/>
          <w:szCs w:val="32"/>
          <w:highlight w:val="none"/>
          <w:lang w:val="en-US" w:eastAsia="zh-CN"/>
        </w:rPr>
      </w:pPr>
      <w:r>
        <w:rPr>
          <w:rFonts w:hint="eastAsia" w:ascii="宋体" w:hAnsi="宋体" w:eastAsia="宋体" w:cs="宋体"/>
          <w:sz w:val="32"/>
          <w:szCs w:val="32"/>
          <w:lang w:val="en-US" w:eastAsia="zh-CN"/>
        </w:rPr>
        <w:t>附件2.3</w:t>
      </w:r>
    </w:p>
    <w:p>
      <w:pPr>
        <w:pStyle w:val="31"/>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2"/>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广元市利州区教育局</w:t>
      </w:r>
    </w:p>
    <w:p>
      <w:pPr>
        <w:pStyle w:val="31"/>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4"/>
          <w:szCs w:val="44"/>
          <w:lang w:val="en-US" w:eastAsia="zh-CN"/>
        </w:rPr>
      </w:pPr>
      <w:r>
        <w:rPr>
          <w:rFonts w:hint="eastAsia" w:ascii="方正小标宋简体" w:hAnsi="方正小标宋简体" w:eastAsia="方正小标宋简体" w:cs="方正小标宋简体"/>
          <w:b w:val="0"/>
          <w:bCs w:val="0"/>
          <w:color w:val="auto"/>
          <w:kern w:val="2"/>
          <w:sz w:val="44"/>
          <w:szCs w:val="44"/>
          <w:lang w:val="en-US"/>
        </w:rPr>
        <w:t>202</w:t>
      </w:r>
      <w:r>
        <w:rPr>
          <w:rFonts w:hint="eastAsia" w:ascii="方正小标宋简体" w:hAnsi="方正小标宋简体" w:eastAsia="方正小标宋简体" w:cs="方正小标宋简体"/>
          <w:b w:val="0"/>
          <w:bCs w:val="0"/>
          <w:color w:val="auto"/>
          <w:kern w:val="2"/>
          <w:sz w:val="44"/>
          <w:szCs w:val="44"/>
          <w:lang w:val="en-US" w:eastAsia="zh-CN"/>
        </w:rPr>
        <w:t>1</w:t>
      </w:r>
      <w:r>
        <w:rPr>
          <w:rFonts w:hint="eastAsia" w:ascii="方正小标宋简体" w:hAnsi="方正小标宋简体" w:eastAsia="方正小标宋简体" w:cs="方正小标宋简体"/>
          <w:b w:val="0"/>
          <w:bCs w:val="0"/>
          <w:color w:val="auto"/>
          <w:kern w:val="2"/>
          <w:sz w:val="44"/>
          <w:szCs w:val="44"/>
          <w:lang w:val="en-US"/>
        </w:rPr>
        <w:t>年</w:t>
      </w:r>
      <w:r>
        <w:rPr>
          <w:rFonts w:hint="eastAsia" w:ascii="方正小标宋简体" w:hAnsi="方正小标宋简体" w:eastAsia="方正小标宋简体" w:cs="方正小标宋简体"/>
          <w:b w:val="0"/>
          <w:bCs w:val="0"/>
          <w:sz w:val="44"/>
          <w:szCs w:val="44"/>
        </w:rPr>
        <w:t>建档立卡贫困家庭中职学生生活补助</w:t>
      </w:r>
      <w:r>
        <w:rPr>
          <w:rFonts w:hint="eastAsia" w:ascii="方正小标宋简体" w:hAnsi="方正小标宋简体" w:eastAsia="方正小标宋简体" w:cs="方正小标宋简体"/>
          <w:b w:val="0"/>
          <w:bCs w:val="0"/>
          <w:color w:val="auto"/>
          <w:kern w:val="2"/>
          <w:sz w:val="44"/>
          <w:szCs w:val="44"/>
          <w:lang w:val="en-US" w:eastAsia="zh-CN"/>
        </w:rPr>
        <w:t>配套项目支出绩效自评报告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eastAsia" w:ascii="方正小标宋简体" w:hAnsi="方正小标宋简体" w:eastAsia="方正小标宋简体" w:cs="方正小标宋简体"/>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1"/>
        <w:rPr>
          <w:rFonts w:hint="eastAsia" w:ascii="黑体" w:hAnsi="黑体" w:eastAsia="黑体" w:cs="黑体"/>
          <w:sz w:val="32"/>
          <w:szCs w:val="32"/>
          <w:lang w:val="zh-CN"/>
        </w:rPr>
      </w:pPr>
      <w:bookmarkStart w:id="85" w:name="_Toc19440"/>
      <w:r>
        <w:rPr>
          <w:rFonts w:hint="eastAsia" w:ascii="黑体" w:hAnsi="黑体" w:eastAsia="黑体" w:cs="黑体"/>
          <w:sz w:val="32"/>
          <w:szCs w:val="32"/>
          <w:lang w:val="zh-CN"/>
        </w:rPr>
        <w:t>一、项目概况</w:t>
      </w:r>
      <w:bookmarkEnd w:id="85"/>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1．说明项目主管部门（单位）在该项目管理中的职能。</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建档立卡贫困家庭中职学生生活补助</w:t>
      </w:r>
      <w:r>
        <w:rPr>
          <w:rFonts w:hint="eastAsia" w:ascii="仿宋" w:hAnsi="仿宋" w:eastAsia="仿宋" w:cs="仿宋"/>
          <w:sz w:val="32"/>
          <w:szCs w:val="32"/>
          <w:lang w:val="en-US" w:eastAsia="zh-CN"/>
        </w:rPr>
        <w:t>配套项目是确保中职学生顺利完成学业，</w:t>
      </w:r>
      <w:r>
        <w:rPr>
          <w:rFonts w:hint="eastAsia" w:ascii="仿宋" w:hAnsi="仿宋" w:eastAsia="仿宋" w:cs="仿宋"/>
          <w:sz w:val="32"/>
          <w:szCs w:val="32"/>
          <w:lang w:eastAsia="zh-CN"/>
        </w:rPr>
        <w:t>提高贫困家庭经济收入，助力家庭脱贫</w:t>
      </w:r>
      <w:r>
        <w:rPr>
          <w:rFonts w:hint="eastAsia" w:ascii="仿宋" w:hAnsi="仿宋" w:eastAsia="仿宋" w:cs="仿宋"/>
          <w:sz w:val="32"/>
          <w:szCs w:val="32"/>
          <w:lang w:val="en-US" w:eastAsia="zh-CN"/>
        </w:rPr>
        <w:t>的重要惠民政策。</w:t>
      </w:r>
      <w:r>
        <w:rPr>
          <w:rFonts w:hint="eastAsia" w:ascii="仿宋" w:hAnsi="仿宋" w:eastAsia="仿宋" w:cs="仿宋"/>
          <w:sz w:val="32"/>
          <w:szCs w:val="32"/>
          <w:lang w:eastAsia="zh-CN"/>
        </w:rPr>
        <w:t>利州区教育局</w:t>
      </w:r>
      <w:r>
        <w:rPr>
          <w:rFonts w:hint="eastAsia" w:ascii="仿宋" w:hAnsi="仿宋" w:eastAsia="仿宋" w:cs="仿宋"/>
          <w:sz w:val="32"/>
          <w:szCs w:val="32"/>
          <w:lang w:val="en-US" w:eastAsia="zh-CN"/>
        </w:rPr>
        <w:t>作为主管部门要</w:t>
      </w:r>
      <w:r>
        <w:rPr>
          <w:rFonts w:hint="eastAsia" w:ascii="仿宋" w:hAnsi="仿宋" w:eastAsia="仿宋" w:cs="仿宋"/>
          <w:sz w:val="32"/>
          <w:szCs w:val="32"/>
          <w:lang w:eastAsia="zh-CN"/>
        </w:rPr>
        <w:t>加大宣传力度，</w:t>
      </w:r>
      <w:r>
        <w:rPr>
          <w:rFonts w:hint="eastAsia" w:ascii="仿宋" w:hAnsi="仿宋" w:eastAsia="仿宋" w:cs="仿宋"/>
          <w:sz w:val="32"/>
          <w:szCs w:val="32"/>
          <w:lang w:val="en-US" w:eastAsia="zh-CN"/>
        </w:rPr>
        <w:t>确</w:t>
      </w:r>
      <w:r>
        <w:rPr>
          <w:rFonts w:hint="eastAsia" w:ascii="仿宋" w:hAnsi="仿宋" w:eastAsia="仿宋" w:cs="仿宋"/>
          <w:sz w:val="32"/>
          <w:szCs w:val="32"/>
          <w:lang w:val="zh-CN" w:eastAsia="zh-CN"/>
        </w:rPr>
        <w:t>保资金安全，及时下达并落实资助资金</w:t>
      </w:r>
      <w:r>
        <w:rPr>
          <w:rFonts w:hint="eastAsia" w:ascii="仿宋" w:hAnsi="仿宋" w:eastAsia="仿宋" w:cs="仿宋"/>
          <w:sz w:val="32"/>
          <w:szCs w:val="32"/>
          <w:lang w:eastAsia="zh-CN"/>
        </w:rPr>
        <w:t>，</w:t>
      </w:r>
      <w:r>
        <w:rPr>
          <w:rFonts w:hint="eastAsia" w:ascii="仿宋" w:hAnsi="仿宋" w:eastAsia="仿宋" w:cs="仿宋"/>
          <w:sz w:val="32"/>
          <w:szCs w:val="32"/>
          <w:lang w:val="zh-CN" w:eastAsia="zh-CN"/>
        </w:rPr>
        <w:t>督促学校</w:t>
      </w:r>
      <w:r>
        <w:rPr>
          <w:rFonts w:hint="eastAsia" w:ascii="仿宋" w:hAnsi="仿宋" w:eastAsia="仿宋" w:cs="仿宋"/>
          <w:sz w:val="32"/>
          <w:szCs w:val="32"/>
          <w:lang w:eastAsia="zh-CN"/>
        </w:rPr>
        <w:t>落实建档立卡贫困户学生生活补助资助政策。</w:t>
      </w:r>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left="0" w:leftChars="0" w:right="0" w:rightChars="0" w:firstLine="640" w:firstLineChars="200"/>
        <w:textAlignment w:val="auto"/>
        <w:outlineLvl w:val="2"/>
        <w:rPr>
          <w:rFonts w:hint="eastAsia" w:ascii="仿宋" w:hAnsi="仿宋" w:eastAsia="仿宋" w:cs="仿宋"/>
          <w:sz w:val="32"/>
          <w:szCs w:val="32"/>
          <w:lang w:val="zh-CN"/>
        </w:rPr>
      </w:pPr>
      <w:r>
        <w:rPr>
          <w:rFonts w:hint="eastAsia" w:ascii="仿宋" w:hAnsi="仿宋" w:eastAsia="仿宋" w:cs="仿宋"/>
          <w:sz w:val="32"/>
          <w:szCs w:val="32"/>
          <w:lang w:val="zh-CN"/>
        </w:rPr>
        <w:t>2．项目立项、资金申报的依据。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根据《四川省教育厅 四川省人力资源和社会保障厅 四川省财政厅 四川省扶贫和移民工作局关于进一步做好建档立卡贫困家庭中职和本专科学生特别资助项目落实工作的通知》精神,加大宣传力度，落实建档立卡贫困户学生生活补助资助政策，提高贫困家庭经济收入，助力家庭脱贫，年度资金总额</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5万元，项目资金</w:t>
      </w:r>
      <w:r>
        <w:rPr>
          <w:rFonts w:hint="eastAsia" w:ascii="仿宋" w:hAnsi="仿宋" w:eastAsia="仿宋" w:cs="仿宋"/>
          <w:sz w:val="32"/>
          <w:szCs w:val="32"/>
          <w:lang w:val="en-US" w:eastAsia="zh-CN"/>
        </w:rPr>
        <w:t>包括</w:t>
      </w:r>
      <w:r>
        <w:rPr>
          <w:rFonts w:hint="eastAsia" w:ascii="仿宋" w:hAnsi="仿宋" w:eastAsia="仿宋" w:cs="仿宋"/>
          <w:sz w:val="32"/>
          <w:szCs w:val="32"/>
          <w:lang w:eastAsia="zh-CN"/>
        </w:rPr>
        <w:t>本级财政</w:t>
      </w:r>
      <w:r>
        <w:rPr>
          <w:rFonts w:hint="eastAsia" w:ascii="仿宋" w:hAnsi="仿宋" w:eastAsia="仿宋" w:cs="仿宋"/>
          <w:sz w:val="32"/>
          <w:szCs w:val="32"/>
          <w:lang w:val="en-US" w:eastAsia="zh-CN"/>
        </w:rPr>
        <w:t>资金4.69万元和省级财政资金7.06万元</w:t>
      </w:r>
      <w:r>
        <w:rPr>
          <w:rFonts w:hint="eastAsia" w:ascii="仿宋" w:hAnsi="仿宋" w:eastAsia="仿宋" w:cs="仿宋"/>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snapToGrid w:val="0"/>
        <w:spacing w:beforeLines="0" w:line="576" w:lineRule="exact"/>
        <w:ind w:leftChars="0" w:right="0" w:rightChars="0" w:firstLine="640" w:firstLineChars="200"/>
        <w:textAlignment w:val="auto"/>
        <w:outlineLvl w:val="2"/>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资金管理办法制定情况，资金支持具体项目的条件、范围与支持方式概况。</w:t>
      </w:r>
    </w:p>
    <w:p>
      <w:pPr>
        <w:pStyle w:val="5"/>
        <w:keepNext w:val="0"/>
        <w:keepLines w:val="0"/>
        <w:pageBreakBefore w:val="0"/>
        <w:widowControl w:val="0"/>
        <w:numPr>
          <w:ilvl w:val="0"/>
          <w:numId w:val="7"/>
        </w:numPr>
        <w:kinsoku/>
        <w:wordWrap/>
        <w:overflowPunct/>
        <w:topLinePunct w:val="0"/>
        <w:autoSpaceDE/>
        <w:autoSpaceDN/>
        <w:bidi w:val="0"/>
        <w:snapToGrid w:val="0"/>
        <w:spacing w:beforeLines="0" w:line="576" w:lineRule="exact"/>
        <w:ind w:left="0" w:leftChars="0" w:right="0" w:rightChars="0" w:firstLine="640" w:firstLineChars="20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资金管理办法制定情况：</w:t>
      </w:r>
    </w:p>
    <w:p>
      <w:pPr>
        <w:pStyle w:val="5"/>
        <w:keepNext w:val="0"/>
        <w:keepLines w:val="0"/>
        <w:pageBreakBefore w:val="0"/>
        <w:widowControl w:val="0"/>
        <w:numPr>
          <w:ilvl w:val="0"/>
          <w:numId w:val="0"/>
        </w:numPr>
        <w:kinsoku/>
        <w:wordWrap/>
        <w:overflowPunct/>
        <w:topLinePunct w:val="0"/>
        <w:autoSpaceDE/>
        <w:autoSpaceDN/>
        <w:bidi w:val="0"/>
        <w:snapToGrid w:val="0"/>
        <w:spacing w:beforeLines="0" w:line="576" w:lineRule="exact"/>
        <w:ind w:left="0" w:leftChars="0" w:right="0" w:rightChars="0" w:firstLine="640" w:firstLineChars="200"/>
        <w:textAlignment w:val="auto"/>
        <w:outlineLvl w:val="2"/>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为保障该项目顺利实施，我局成立了以党组书记、局长任组长，班子成员任副组长，各股室负责人为成员的工作领导小组，将项目实施的各项绩效目标纳入部门年度工作计划，并要求严格执行国家、省和市、区教育经费开支的范围和标准，资金总量严格控制在预算标准内，经费支出规范、合理。</w:t>
      </w:r>
    </w:p>
    <w:p>
      <w:pPr>
        <w:pStyle w:val="5"/>
        <w:keepNext w:val="0"/>
        <w:keepLines w:val="0"/>
        <w:pageBreakBefore w:val="0"/>
        <w:widowControl w:val="0"/>
        <w:numPr>
          <w:ilvl w:val="0"/>
          <w:numId w:val="0"/>
        </w:numPr>
        <w:kinsoku/>
        <w:wordWrap/>
        <w:overflowPunct/>
        <w:topLinePunct w:val="0"/>
        <w:autoSpaceDE/>
        <w:autoSpaceDN/>
        <w:bidi w:val="0"/>
        <w:snapToGrid w:val="0"/>
        <w:spacing w:beforeLines="0" w:line="576" w:lineRule="exact"/>
        <w:ind w:left="0" w:leftChars="0" w:right="0" w:rightChars="0" w:firstLine="640" w:firstLineChars="200"/>
        <w:textAlignment w:val="auto"/>
        <w:outlineLvl w:val="2"/>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）资金支持具体项目的条件、范围。</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lang w:val="zh-CN" w:eastAsia="zh-CN"/>
        </w:rPr>
      </w:pPr>
      <w:r>
        <w:rPr>
          <w:rFonts w:hint="eastAsia" w:ascii="仿宋" w:hAnsi="仿宋" w:eastAsia="仿宋" w:cs="仿宋"/>
          <w:sz w:val="32"/>
          <w:szCs w:val="32"/>
          <w:lang w:eastAsia="zh-CN"/>
        </w:rPr>
        <w:t>该项目资助全区建档立卡贫困户中职学生80人，受助学生人数完成率100%，资助全区建档立卡贫困户中职学生比例100%， 补助资金及时足额发放率100%。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right="0" w:rightChars="0" w:firstLine="640" w:firstLineChars="200"/>
        <w:textAlignment w:val="auto"/>
        <w:outlineLvl w:val="2"/>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资金支持具体项目的支持方式。</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该项目资金按受助学生享受资金500元/生/期进行发放，减轻建档立卡贫困学生家庭负担，确保学生顺利完成学业，政策知晓率95%。</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4．资金分配的原则及考虑因素。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kern w:val="2"/>
          <w:sz w:val="32"/>
          <w:szCs w:val="32"/>
          <w:highlight w:val="none"/>
          <w:lang w:val="zh-CN" w:eastAsia="zh-CN" w:bidi="ar-SA"/>
        </w:rPr>
      </w:pPr>
      <w:r>
        <w:rPr>
          <w:rFonts w:hint="eastAsia" w:ascii="仿宋" w:hAnsi="仿宋" w:eastAsia="仿宋" w:cs="仿宋"/>
          <w:color w:val="auto"/>
          <w:sz w:val="32"/>
          <w:szCs w:val="32"/>
          <w:highlight w:val="none"/>
          <w:lang w:eastAsia="zh-CN"/>
        </w:rPr>
        <w:t>建档立卡贫困家庭中职学生生活补助</w:t>
      </w:r>
      <w:r>
        <w:rPr>
          <w:rFonts w:hint="eastAsia" w:ascii="仿宋" w:hAnsi="仿宋" w:eastAsia="仿宋" w:cs="仿宋"/>
          <w:color w:val="auto"/>
          <w:sz w:val="32"/>
          <w:szCs w:val="32"/>
          <w:highlight w:val="none"/>
          <w:lang w:val="en-US" w:eastAsia="zh-CN"/>
        </w:rPr>
        <w:t>配套项目是确保中职学生顺利完成学业，</w:t>
      </w:r>
      <w:r>
        <w:rPr>
          <w:rFonts w:hint="eastAsia" w:ascii="仿宋" w:hAnsi="仿宋" w:eastAsia="仿宋" w:cs="仿宋"/>
          <w:color w:val="auto"/>
          <w:sz w:val="32"/>
          <w:szCs w:val="32"/>
          <w:highlight w:val="none"/>
          <w:lang w:eastAsia="zh-CN"/>
        </w:rPr>
        <w:t>提高贫困家庭经济收入，助力家庭脱贫</w:t>
      </w:r>
      <w:r>
        <w:rPr>
          <w:rFonts w:hint="eastAsia" w:ascii="仿宋" w:hAnsi="仿宋" w:eastAsia="仿宋" w:cs="仿宋"/>
          <w:color w:val="auto"/>
          <w:sz w:val="32"/>
          <w:szCs w:val="32"/>
          <w:highlight w:val="none"/>
          <w:lang w:val="en-US" w:eastAsia="zh-CN"/>
        </w:rPr>
        <w:t>的重要惠民政策</w:t>
      </w:r>
      <w:r>
        <w:rPr>
          <w:rFonts w:hint="eastAsia" w:ascii="仿宋" w:hAnsi="仿宋" w:eastAsia="仿宋" w:cs="仿宋"/>
          <w:color w:val="auto"/>
          <w:kern w:val="2"/>
          <w:sz w:val="32"/>
          <w:szCs w:val="32"/>
          <w:highlight w:val="none"/>
          <w:lang w:val="en-US" w:eastAsia="zh-CN" w:bidi="ar-SA"/>
        </w:rPr>
        <w:t>，帮助这部分学生顺利完成高中学业，促进教育公平。</w:t>
      </w:r>
      <w:r>
        <w:rPr>
          <w:rFonts w:hint="eastAsia" w:ascii="仿宋" w:hAnsi="仿宋" w:eastAsia="仿宋" w:cs="仿宋"/>
          <w:color w:val="auto"/>
          <w:kern w:val="2"/>
          <w:sz w:val="32"/>
          <w:szCs w:val="32"/>
          <w:highlight w:val="none"/>
          <w:lang w:val="zh-CN" w:eastAsia="zh-CN" w:bidi="ar-SA"/>
        </w:rPr>
        <w:t>纳入202</w:t>
      </w:r>
      <w:r>
        <w:rPr>
          <w:rFonts w:hint="eastAsia" w:ascii="仿宋" w:hAnsi="仿宋" w:eastAsia="仿宋" w:cs="仿宋"/>
          <w:color w:val="auto"/>
          <w:kern w:val="2"/>
          <w:sz w:val="32"/>
          <w:szCs w:val="32"/>
          <w:highlight w:val="none"/>
          <w:lang w:val="en-US" w:eastAsia="zh-CN" w:bidi="ar-SA"/>
        </w:rPr>
        <w:t>1</w:t>
      </w:r>
      <w:r>
        <w:rPr>
          <w:rFonts w:hint="eastAsia" w:ascii="仿宋" w:hAnsi="仿宋" w:eastAsia="仿宋" w:cs="仿宋"/>
          <w:color w:val="auto"/>
          <w:kern w:val="2"/>
          <w:sz w:val="32"/>
          <w:szCs w:val="32"/>
          <w:highlight w:val="none"/>
          <w:lang w:val="zh-CN" w:eastAsia="zh-CN" w:bidi="ar-SA"/>
        </w:rPr>
        <w:t>年预算资金</w:t>
      </w:r>
      <w:r>
        <w:rPr>
          <w:rFonts w:hint="eastAsia" w:ascii="仿宋" w:hAnsi="仿宋" w:eastAsia="仿宋" w:cs="仿宋"/>
          <w:color w:val="auto"/>
          <w:kern w:val="2"/>
          <w:sz w:val="32"/>
          <w:szCs w:val="32"/>
          <w:highlight w:val="none"/>
          <w:lang w:val="en-US" w:eastAsia="zh-CN" w:bidi="ar-SA"/>
        </w:rPr>
        <w:t>11.75</w:t>
      </w:r>
      <w:r>
        <w:rPr>
          <w:rFonts w:hint="eastAsia" w:ascii="仿宋" w:hAnsi="仿宋" w:eastAsia="仿宋" w:cs="仿宋"/>
          <w:color w:val="auto"/>
          <w:kern w:val="2"/>
          <w:sz w:val="32"/>
          <w:szCs w:val="32"/>
          <w:highlight w:val="none"/>
          <w:lang w:val="zh-CN" w:eastAsia="zh-CN" w:bidi="ar-SA"/>
        </w:rPr>
        <w:t>万元，符合资金管理办法相关规定。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highlight w:val="none"/>
          <w:lang w:val="zh-CN"/>
        </w:rPr>
        <w:t>1．项目主要内容。</w:t>
      </w:r>
      <w:r>
        <w:rPr>
          <w:rFonts w:hint="eastAsia" w:ascii="仿宋" w:hAnsi="仿宋" w:eastAsia="仿宋" w:cs="仿宋"/>
          <w:color w:val="auto"/>
          <w:sz w:val="32"/>
          <w:szCs w:val="32"/>
          <w:lang w:val="zh-CN" w:eastAsia="zh-CN"/>
        </w:rPr>
        <w:t>严肃财经纪律，及时下达资金，督促学校按时落实；</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2.加大政策宣传力度，落实好资助政策；</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3.提高贫困家庭经济收入，助力家庭脱贫。</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该项目资助全区建档立卡贫困户中职学生80人，受助学生人数完成率100%，资助全区建档立卡贫困户中职学生比例100%， 补助资金及时足额发放率100%。</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分析评价申报内容是否与实际相符，申报目标是否合理可行。</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该项目资金按受助学生享受资金500元/生/期进行发放，减轻建档立卡贫困学生家庭负担，确保学生顺利完成学业，政策知晓率95%。该项目申报内容与具体实施内容相符，申报目标合理可行。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highlight w:val="none"/>
          <w:lang w:val="zh-CN"/>
        </w:rPr>
      </w:pPr>
      <w:r>
        <w:rPr>
          <w:rFonts w:hint="eastAsia" w:ascii="仿宋" w:hAnsi="仿宋" w:eastAsia="仿宋" w:cs="仿宋"/>
          <w:color w:val="auto"/>
          <w:kern w:val="2"/>
          <w:sz w:val="32"/>
          <w:szCs w:val="32"/>
          <w:highlight w:val="none"/>
          <w:lang w:val="en-US" w:eastAsia="zh-CN" w:bidi="ar-SA"/>
        </w:rPr>
        <w:t>根据利州区财政局对2021年度项目资金支出绩效评价自评的相关要求，局领导高度重视，及时召开专题会议，成立了以局长为组长，各部门负责人为组员的自评小组，严格对照事前绩效评价指标对该资金项目的支出绩效进行自评，</w:t>
      </w:r>
      <w:r>
        <w:rPr>
          <w:rFonts w:hint="eastAsia" w:ascii="仿宋" w:hAnsi="仿宋" w:eastAsia="仿宋" w:cs="仿宋"/>
          <w:color w:val="auto"/>
          <w:kern w:val="2"/>
          <w:sz w:val="32"/>
          <w:szCs w:val="32"/>
          <w:highlight w:val="none"/>
          <w:lang w:val="zh-CN" w:eastAsia="zh-CN" w:bidi="ar-SA"/>
        </w:rPr>
        <w:t xml:space="preserve">该项目总体评价得分为 </w:t>
      </w:r>
      <w:r>
        <w:rPr>
          <w:rFonts w:hint="eastAsia" w:ascii="仿宋" w:hAnsi="仿宋" w:eastAsia="仿宋" w:cs="仿宋"/>
          <w:color w:val="auto"/>
          <w:kern w:val="2"/>
          <w:sz w:val="32"/>
          <w:szCs w:val="32"/>
          <w:highlight w:val="none"/>
          <w:lang w:val="en-US" w:eastAsia="zh-CN" w:bidi="ar-SA"/>
        </w:rPr>
        <w:t>99</w:t>
      </w:r>
      <w:r>
        <w:rPr>
          <w:rFonts w:hint="eastAsia" w:ascii="仿宋" w:hAnsi="仿宋" w:eastAsia="仿宋" w:cs="仿宋"/>
          <w:color w:val="auto"/>
          <w:kern w:val="2"/>
          <w:sz w:val="32"/>
          <w:szCs w:val="32"/>
          <w:highlight w:val="none"/>
          <w:lang w:val="zh-CN" w:eastAsia="zh-CN" w:bidi="ar-SA"/>
        </w:rPr>
        <w:t>分，评估等级为“优”。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1"/>
        <w:rPr>
          <w:rFonts w:hint="eastAsia" w:ascii="黑体" w:hAnsi="黑体" w:eastAsia="黑体" w:cs="黑体"/>
          <w:sz w:val="32"/>
          <w:szCs w:val="32"/>
          <w:lang w:val="zh-CN"/>
        </w:rPr>
      </w:pPr>
      <w:bookmarkStart w:id="86" w:name="_Toc11154"/>
      <w:r>
        <w:rPr>
          <w:rFonts w:hint="eastAsia" w:ascii="黑体" w:hAnsi="黑体" w:eastAsia="黑体" w:cs="黑体"/>
          <w:sz w:val="32"/>
          <w:szCs w:val="32"/>
          <w:lang w:val="zh-CN"/>
        </w:rPr>
        <w:t>二、项目资金申报及使用情况</w:t>
      </w:r>
      <w:bookmarkEnd w:id="86"/>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该项目资助全区建档立卡贫困户中职学生80人，受助学生人数完成率100%，资助全区建档立卡贫困户中职学生比例100%， 补助资金及时足额发放率100%。</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1．资金计划。</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2021年</w:t>
      </w:r>
      <w:r>
        <w:rPr>
          <w:rFonts w:hint="eastAsia" w:ascii="仿宋" w:hAnsi="仿宋" w:eastAsia="仿宋" w:cs="仿宋"/>
          <w:color w:val="auto"/>
          <w:kern w:val="2"/>
          <w:sz w:val="32"/>
          <w:szCs w:val="32"/>
          <w:lang w:val="zh-CN" w:eastAsia="zh-CN" w:bidi="ar-SA"/>
        </w:rPr>
        <w:t>建档立卡贫困家庭中职学生生活补助</w:t>
      </w:r>
      <w:r>
        <w:rPr>
          <w:rFonts w:hint="eastAsia" w:ascii="仿宋" w:hAnsi="仿宋" w:eastAsia="仿宋" w:cs="仿宋"/>
          <w:color w:val="auto"/>
          <w:kern w:val="2"/>
          <w:sz w:val="32"/>
          <w:szCs w:val="32"/>
          <w:lang w:val="en-US" w:eastAsia="zh-CN" w:bidi="ar-SA"/>
        </w:rPr>
        <w:t>配套项目</w:t>
      </w:r>
      <w:r>
        <w:rPr>
          <w:rFonts w:hint="eastAsia" w:ascii="仿宋" w:hAnsi="仿宋" w:eastAsia="仿宋" w:cs="仿宋"/>
          <w:color w:val="auto"/>
          <w:kern w:val="2"/>
          <w:sz w:val="32"/>
          <w:szCs w:val="32"/>
          <w:lang w:val="zh-CN" w:eastAsia="zh-CN" w:bidi="ar-SA"/>
        </w:rPr>
        <w:t>资金计划到位</w:t>
      </w:r>
      <w:r>
        <w:rPr>
          <w:rFonts w:hint="eastAsia" w:ascii="仿宋" w:hAnsi="仿宋" w:eastAsia="仿宋" w:cs="仿宋"/>
          <w:color w:val="auto"/>
          <w:kern w:val="2"/>
          <w:sz w:val="32"/>
          <w:szCs w:val="32"/>
          <w:lang w:val="en-US" w:eastAsia="zh-CN" w:bidi="ar-SA"/>
        </w:rPr>
        <w:t>11.75万。其中</w:t>
      </w:r>
      <w:r>
        <w:rPr>
          <w:rFonts w:hint="eastAsia" w:ascii="仿宋" w:hAnsi="仿宋" w:eastAsia="仿宋" w:cs="仿宋"/>
          <w:color w:val="auto"/>
          <w:kern w:val="2"/>
          <w:sz w:val="32"/>
          <w:szCs w:val="32"/>
          <w:lang w:val="zh-CN" w:eastAsia="zh-CN" w:bidi="ar-SA"/>
        </w:rPr>
        <w:t>区级配套资金</w:t>
      </w:r>
      <w:r>
        <w:rPr>
          <w:rFonts w:hint="eastAsia" w:ascii="仿宋" w:hAnsi="仿宋" w:eastAsia="仿宋" w:cs="仿宋"/>
          <w:color w:val="auto"/>
          <w:kern w:val="2"/>
          <w:sz w:val="32"/>
          <w:szCs w:val="32"/>
          <w:lang w:val="en-US" w:eastAsia="zh-CN" w:bidi="ar-SA"/>
        </w:rPr>
        <w:t>4.69万元</w:t>
      </w:r>
      <w:r>
        <w:rPr>
          <w:rFonts w:hint="eastAsia" w:ascii="仿宋" w:hAnsi="仿宋" w:eastAsia="仿宋" w:cs="仿宋"/>
          <w:color w:val="auto"/>
          <w:kern w:val="2"/>
          <w:sz w:val="32"/>
          <w:szCs w:val="32"/>
          <w:lang w:val="zh-CN" w:eastAsia="zh-CN" w:bidi="ar-SA"/>
        </w:rPr>
        <w:t>，</w:t>
      </w:r>
      <w:r>
        <w:rPr>
          <w:rFonts w:hint="eastAsia" w:ascii="仿宋" w:hAnsi="仿宋" w:eastAsia="仿宋" w:cs="仿宋"/>
          <w:color w:val="auto"/>
          <w:kern w:val="2"/>
          <w:sz w:val="32"/>
          <w:szCs w:val="32"/>
          <w:lang w:val="en-US" w:eastAsia="zh-CN" w:bidi="ar-SA"/>
        </w:rPr>
        <w:t>省级补助资金7.06万元。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right="0" w:rightChars="0" w:firstLine="640" w:firstLineChars="200"/>
        <w:textAlignment w:val="auto"/>
        <w:outlineLvl w:val="2"/>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资金到位。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截止202</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年12月31日实际拨付建档立卡贫困家庭中职学生生活补助配套项目资金</w:t>
      </w:r>
      <w:r>
        <w:rPr>
          <w:rFonts w:hint="eastAsia" w:ascii="仿宋" w:hAnsi="仿宋" w:eastAsia="仿宋" w:cs="仿宋"/>
          <w:sz w:val="32"/>
          <w:szCs w:val="32"/>
          <w:lang w:val="en-US" w:eastAsia="zh-CN"/>
        </w:rPr>
        <w:t>11.75</w:t>
      </w:r>
      <w:r>
        <w:rPr>
          <w:rFonts w:hint="eastAsia" w:ascii="仿宋" w:hAnsi="仿宋" w:eastAsia="仿宋" w:cs="仿宋"/>
          <w:sz w:val="32"/>
          <w:szCs w:val="32"/>
          <w:lang w:val="zh-CN" w:eastAsia="zh-CN"/>
        </w:rPr>
        <w:t>万元，资金到位及时，到位率均为</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当年结转项目资金0.00万元，项目资金累计结余0.00万元。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right="0" w:rightChars="0" w:firstLine="640" w:firstLineChars="200"/>
        <w:textAlignment w:val="auto"/>
        <w:outlineLvl w:val="2"/>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资金使用。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zh-CN" w:eastAsia="zh-CN" w:bidi="ar-SA"/>
        </w:rPr>
        <w:t>在资金使用上，各校按照省、市教育主管部门要求，制定了相应的财务管理制度，做到专款专用。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zh-CN" w:eastAsia="zh-CN" w:bidi="ar-SA"/>
        </w:rPr>
        <w:t>建档立卡贫困家庭中职学生生活补助配套专项经费资金支出手续齐全，收支票据规范，原始凭证合规，无不合规凭证等现象，无超范围使用或挪作他用的现象，确保了建档立卡贫困家庭中职学生生活补助配套专项经费资金足额用于建档立卡贫困家庭中职学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1"/>
        <w:rPr>
          <w:rFonts w:hint="eastAsia" w:ascii="黑体" w:hAnsi="黑体" w:eastAsia="黑体" w:cs="黑体"/>
          <w:sz w:val="32"/>
          <w:szCs w:val="32"/>
          <w:lang w:val="zh-CN"/>
        </w:rPr>
      </w:pPr>
      <w:bookmarkStart w:id="87" w:name="_Toc26799"/>
      <w:r>
        <w:rPr>
          <w:rFonts w:hint="eastAsia" w:ascii="黑体" w:hAnsi="黑体" w:eastAsia="黑体" w:cs="黑体"/>
          <w:sz w:val="32"/>
          <w:szCs w:val="32"/>
          <w:lang w:val="zh-CN"/>
        </w:rPr>
        <w:t>三、项目实施及管理情况</w:t>
      </w:r>
      <w:bookmarkEnd w:id="87"/>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zh-CN" w:eastAsia="zh-CN" w:bidi="ar-SA"/>
        </w:rPr>
        <w:t>按照区教育局关于建档立卡贫困家庭中职学生生活补助配套专项经费的文件要求,</w:t>
      </w:r>
      <w:r>
        <w:rPr>
          <w:rFonts w:hint="eastAsia" w:ascii="仿宋" w:hAnsi="仿宋" w:eastAsia="仿宋" w:cs="仿宋"/>
          <w:color w:val="auto"/>
          <w:kern w:val="2"/>
          <w:sz w:val="32"/>
          <w:szCs w:val="32"/>
          <w:lang w:val="en-US" w:eastAsia="zh-CN" w:bidi="ar-SA"/>
        </w:rPr>
        <w:t>各</w:t>
      </w:r>
      <w:r>
        <w:rPr>
          <w:rFonts w:hint="eastAsia" w:ascii="仿宋" w:hAnsi="仿宋" w:eastAsia="仿宋" w:cs="仿宋"/>
          <w:color w:val="auto"/>
          <w:kern w:val="2"/>
          <w:sz w:val="32"/>
          <w:szCs w:val="32"/>
          <w:lang w:val="zh-CN" w:eastAsia="zh-CN" w:bidi="ar-SA"/>
        </w:rPr>
        <w:t>学校成立了学生资助工作领导小组和监督小组。在班级和校内公开政策和名额,组织学生填写申请表。根据学生本人申请、提交的各项证明材料及班主任对学生家庭情况的了解,通过班级初评班级公示无异议,初步确立受助学生,学校审核再公示无异议后 ,初步确立受助学生，</w:t>
      </w:r>
      <w:r>
        <w:rPr>
          <w:rFonts w:hint="eastAsia" w:ascii="仿宋" w:hAnsi="仿宋" w:eastAsia="仿宋" w:cs="仿宋"/>
          <w:color w:val="auto"/>
          <w:kern w:val="2"/>
          <w:sz w:val="32"/>
          <w:szCs w:val="32"/>
          <w:lang w:val="en-US" w:eastAsia="zh-CN" w:bidi="ar-SA"/>
        </w:rPr>
        <w:t>然后上报区教育局和财政局，</w:t>
      </w:r>
      <w:r>
        <w:rPr>
          <w:rFonts w:hint="eastAsia" w:ascii="仿宋" w:hAnsi="仿宋" w:eastAsia="仿宋" w:cs="仿宋"/>
          <w:color w:val="auto"/>
          <w:kern w:val="2"/>
          <w:sz w:val="32"/>
          <w:szCs w:val="32"/>
          <w:lang w:val="zh-CN" w:eastAsia="zh-CN" w:bidi="ar-SA"/>
        </w:rPr>
        <w:t>进行</w:t>
      </w:r>
      <w:r>
        <w:rPr>
          <w:rFonts w:hint="eastAsia" w:ascii="仿宋" w:hAnsi="仿宋" w:eastAsia="仿宋" w:cs="仿宋"/>
          <w:color w:val="auto"/>
          <w:kern w:val="2"/>
          <w:sz w:val="32"/>
          <w:szCs w:val="32"/>
          <w:lang w:val="en-US" w:eastAsia="zh-CN" w:bidi="ar-SA"/>
        </w:rPr>
        <w:t>最终的</w:t>
      </w:r>
      <w:r>
        <w:rPr>
          <w:rFonts w:hint="eastAsia" w:ascii="仿宋" w:hAnsi="仿宋" w:eastAsia="仿宋" w:cs="仿宋"/>
          <w:color w:val="auto"/>
          <w:kern w:val="2"/>
          <w:sz w:val="32"/>
          <w:szCs w:val="32"/>
          <w:lang w:val="zh-CN" w:eastAsia="zh-CN" w:bidi="ar-SA"/>
        </w:rPr>
        <w:t>资格</w:t>
      </w:r>
      <w:r>
        <w:rPr>
          <w:rFonts w:hint="eastAsia" w:ascii="仿宋" w:hAnsi="仿宋" w:eastAsia="仿宋" w:cs="仿宋"/>
          <w:color w:val="auto"/>
          <w:kern w:val="2"/>
          <w:sz w:val="32"/>
          <w:szCs w:val="32"/>
          <w:lang w:val="en-US" w:eastAsia="zh-CN" w:bidi="ar-SA"/>
        </w:rPr>
        <w:t>认定。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（二）项目管理情况</w:t>
      </w:r>
    </w:p>
    <w:p>
      <w:pPr>
        <w:pStyle w:val="5"/>
        <w:keepNext w:val="0"/>
        <w:keepLines w:val="0"/>
        <w:pageBreakBefore w:val="0"/>
        <w:widowControl w:val="0"/>
        <w:kinsoku/>
        <w:wordWrap/>
        <w:overflowPunct/>
        <w:topLinePunct w:val="0"/>
        <w:autoSpaceDE/>
        <w:autoSpaceDN/>
        <w:bidi w:val="0"/>
        <w:snapToGrid w:val="0"/>
        <w:spacing w:beforeLines="0" w:line="576" w:lineRule="exact"/>
        <w:ind w:left="0" w:leftChars="0" w:right="0" w:rightChars="0" w:firstLine="640" w:firstLineChars="200"/>
        <w:jc w:val="both"/>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zh-CN" w:eastAsia="zh-CN" w:bidi="ar-SA"/>
        </w:rPr>
        <w:t>该项目已实施多年，有效贯彻了中央、省、市有关决策 部署，有效促进区内学前教育水平稳步提升，促进中等职业教育事业有序、健康、协调发展。具有明显的经济效益和社会效益。项目财务管理制度建设、机构设置健全、会计核算及账务处理符合财务相关规定。在实施项目过程中，严厉节约，避免浪费，要求学校最大限度地发挥其作用，严格执行《项目资金的使用规定》和《财务管理制度》。</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（三）项目监管情况</w:t>
      </w:r>
    </w:p>
    <w:p>
      <w:pPr>
        <w:pStyle w:val="5"/>
        <w:keepNext w:val="0"/>
        <w:keepLines w:val="0"/>
        <w:pageBreakBefore w:val="0"/>
        <w:widowControl w:val="0"/>
        <w:kinsoku/>
        <w:wordWrap/>
        <w:overflowPunct/>
        <w:topLinePunct w:val="0"/>
        <w:autoSpaceDE/>
        <w:autoSpaceDN/>
        <w:bidi w:val="0"/>
        <w:snapToGrid w:val="0"/>
        <w:spacing w:beforeLines="0" w:line="576" w:lineRule="exact"/>
        <w:ind w:left="0" w:leftChars="0" w:right="0" w:rightChars="0" w:firstLine="640" w:firstLineChars="200"/>
        <w:jc w:val="both"/>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zh-CN" w:eastAsia="zh-CN" w:bidi="ar-SA"/>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w:t>
      </w:r>
      <w:r>
        <w:rPr>
          <w:rFonts w:hint="eastAsia" w:ascii="仿宋" w:hAnsi="仿宋" w:eastAsia="仿宋" w:cs="仿宋"/>
          <w:color w:val="auto"/>
          <w:kern w:val="2"/>
          <w:sz w:val="32"/>
          <w:szCs w:val="32"/>
          <w:lang w:val="en-US" w:eastAsia="zh-CN" w:bidi="ar-SA"/>
        </w:rPr>
        <w:t>各</w:t>
      </w:r>
      <w:r>
        <w:rPr>
          <w:rFonts w:hint="eastAsia" w:ascii="仿宋" w:hAnsi="仿宋" w:eastAsia="仿宋" w:cs="仿宋"/>
          <w:color w:val="auto"/>
          <w:kern w:val="2"/>
          <w:sz w:val="32"/>
          <w:szCs w:val="32"/>
          <w:lang w:val="zh-CN" w:eastAsia="zh-CN" w:bidi="ar-SA"/>
        </w:rPr>
        <w:t>学校将相关资料存档备查。按照省教育厅学生资助管理中心要求将建档立卡贫困家庭中职学生的资料录入资助系统,进行统一管理。在区财政和教育主管部门定期组织对学校经费使用情况的检查、审计中未发现重大违规、违纪现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1"/>
        <w:rPr>
          <w:rFonts w:hint="eastAsia" w:ascii="黑体" w:hAnsi="黑体" w:eastAsia="黑体" w:cs="黑体"/>
          <w:sz w:val="32"/>
          <w:szCs w:val="32"/>
          <w:lang w:val="zh-CN"/>
        </w:rPr>
      </w:pPr>
      <w:bookmarkStart w:id="88" w:name="_Toc7552"/>
      <w:r>
        <w:rPr>
          <w:rFonts w:hint="eastAsia" w:ascii="黑体" w:hAnsi="黑体" w:eastAsia="黑体" w:cs="黑体"/>
          <w:sz w:val="32"/>
          <w:szCs w:val="32"/>
          <w:lang w:val="zh-CN"/>
        </w:rPr>
        <w:t>四、项目绩效情况</w:t>
      </w:r>
      <w:bookmarkEnd w:id="88"/>
      <w:r>
        <w:rPr>
          <w:rFonts w:hint="eastAsia" w:ascii="黑体" w:hAnsi="黑体" w:eastAsia="黑体" w:cs="黑体"/>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落实好资助政策，保证资金安全，及时下达资金，督促学校按时落实资助资金，截止202</w:t>
      </w: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zh-CN" w:eastAsia="zh-CN" w:bidi="ar-SA"/>
        </w:rPr>
        <w:t>年12月31日实际拨付建档立卡贫困家庭中职学生生活补助配套项目资金</w:t>
      </w:r>
      <w:r>
        <w:rPr>
          <w:rFonts w:hint="eastAsia" w:ascii="仿宋" w:hAnsi="仿宋" w:eastAsia="仿宋" w:cs="仿宋"/>
          <w:kern w:val="2"/>
          <w:sz w:val="32"/>
          <w:szCs w:val="32"/>
          <w:lang w:val="en-US" w:eastAsia="zh-CN" w:bidi="ar-SA"/>
        </w:rPr>
        <w:t>11.75</w:t>
      </w:r>
      <w:r>
        <w:rPr>
          <w:rFonts w:hint="eastAsia" w:ascii="仿宋" w:hAnsi="仿宋" w:eastAsia="仿宋" w:cs="仿宋"/>
          <w:kern w:val="2"/>
          <w:sz w:val="32"/>
          <w:szCs w:val="32"/>
          <w:lang w:val="zh-CN" w:eastAsia="zh-CN" w:bidi="ar-SA"/>
        </w:rPr>
        <w:t>万元，资金到位及时，</w:t>
      </w:r>
      <w:r>
        <w:rPr>
          <w:rFonts w:hint="eastAsia" w:ascii="仿宋" w:hAnsi="仿宋" w:eastAsia="仿宋" w:cs="仿宋"/>
          <w:kern w:val="2"/>
          <w:sz w:val="32"/>
          <w:szCs w:val="32"/>
          <w:lang w:val="en-US" w:eastAsia="zh-CN" w:bidi="ar-SA"/>
        </w:rPr>
        <w:t>发放率和</w:t>
      </w:r>
      <w:r>
        <w:rPr>
          <w:rFonts w:hint="eastAsia" w:ascii="仿宋" w:hAnsi="仿宋" w:eastAsia="仿宋" w:cs="仿宋"/>
          <w:kern w:val="2"/>
          <w:sz w:val="32"/>
          <w:szCs w:val="32"/>
          <w:lang w:val="zh-CN" w:eastAsia="zh-CN" w:bidi="ar-SA"/>
        </w:rPr>
        <w:t>到位率均为</w:t>
      </w:r>
      <w:r>
        <w:rPr>
          <w:rFonts w:hint="eastAsia" w:ascii="仿宋" w:hAnsi="仿宋" w:eastAsia="仿宋" w:cs="仿宋"/>
          <w:kern w:val="2"/>
          <w:sz w:val="32"/>
          <w:szCs w:val="32"/>
          <w:lang w:val="en-US" w:eastAsia="zh-CN" w:bidi="ar-SA"/>
        </w:rPr>
        <w:t>100%。</w:t>
      </w:r>
      <w:r>
        <w:rPr>
          <w:rFonts w:hint="eastAsia" w:ascii="仿宋" w:hAnsi="仿宋" w:eastAsia="仿宋" w:cs="仿宋"/>
          <w:kern w:val="2"/>
          <w:sz w:val="32"/>
          <w:szCs w:val="32"/>
          <w:lang w:val="zh-CN" w:eastAsia="zh-CN" w:bidi="ar-SA"/>
        </w:rPr>
        <w:t>减轻建档立卡贫困学生家庭负担，确保学生顺利完成学业。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（二）项目效益情况</w:t>
      </w:r>
    </w:p>
    <w:p>
      <w:pPr>
        <w:pStyle w:val="5"/>
        <w:keepNext w:val="0"/>
        <w:keepLines w:val="0"/>
        <w:pageBreakBefore w:val="0"/>
        <w:widowControl w:val="0"/>
        <w:kinsoku/>
        <w:wordWrap/>
        <w:overflowPunct/>
        <w:topLinePunct w:val="0"/>
        <w:autoSpaceDE/>
        <w:autoSpaceDN/>
        <w:bidi w:val="0"/>
        <w:snapToGrid w:val="0"/>
        <w:spacing w:beforeLines="0" w:line="576" w:lineRule="exact"/>
        <w:ind w:left="0" w:leftChars="0" w:right="0" w:rightChars="0" w:firstLine="640" w:firstLineChars="200"/>
        <w:jc w:val="both"/>
        <w:textAlignment w:val="auto"/>
        <w:outlineLvl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2</w:t>
      </w:r>
      <w:r>
        <w:rPr>
          <w:rFonts w:hint="eastAsia" w:ascii="仿宋" w:hAnsi="仿宋" w:eastAsia="仿宋" w:cs="仿宋"/>
          <w:color w:val="auto"/>
          <w:kern w:val="2"/>
          <w:sz w:val="32"/>
          <w:szCs w:val="32"/>
          <w:lang w:val="zh-CN" w:eastAsia="zh-CN" w:bidi="ar-SA"/>
        </w:rPr>
        <w:t>02</w:t>
      </w: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kern w:val="2"/>
          <w:sz w:val="32"/>
          <w:szCs w:val="32"/>
          <w:lang w:val="zh-CN" w:eastAsia="zh-CN" w:bidi="ar-SA"/>
        </w:rPr>
        <w:t>年度建档立卡贫困家庭中职学生生活补助共80人次，保障了贫困家庭学生接受教育的权利。通过问卷调查、电话访问、现场走访等形式，建档立卡贫困户享受补助学生满意度95%，建档立卡贫困户享受补助家长满意度9</w:t>
      </w:r>
      <w:r>
        <w:rPr>
          <w:rFonts w:hint="eastAsia" w:ascii="仿宋" w:hAnsi="仿宋" w:eastAsia="仿宋" w:cs="仿宋"/>
          <w:kern w:val="2"/>
          <w:sz w:val="32"/>
          <w:szCs w:val="32"/>
          <w:lang w:val="zh-CN" w:eastAsia="zh-CN" w:bidi="ar-SA"/>
        </w:rPr>
        <w:t>0%。</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1"/>
        <w:rPr>
          <w:rFonts w:hint="eastAsia" w:ascii="黑体" w:hAnsi="黑体" w:eastAsia="黑体" w:cs="黑体"/>
          <w:sz w:val="32"/>
          <w:szCs w:val="32"/>
          <w:lang w:val="zh-CN"/>
        </w:rPr>
      </w:pPr>
      <w:bookmarkStart w:id="89" w:name="_Toc31234"/>
      <w:r>
        <w:rPr>
          <w:rFonts w:hint="eastAsia" w:ascii="黑体" w:hAnsi="黑体" w:eastAsia="黑体" w:cs="黑体"/>
          <w:sz w:val="32"/>
          <w:szCs w:val="32"/>
          <w:lang w:val="zh-CN"/>
        </w:rPr>
        <w:t>五、评价结论及建议</w:t>
      </w:r>
      <w:bookmarkEnd w:id="89"/>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zh-CN"/>
        </w:rPr>
        <w:t>（一）评价结论</w:t>
      </w:r>
      <w:r>
        <w:rPr>
          <w:rFonts w:hint="eastAsia" w:ascii="楷体" w:hAnsi="楷体" w:eastAsia="楷体" w:cs="楷体"/>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 xml:space="preserve">该项目总体评价得分为 </w:t>
      </w:r>
      <w:r>
        <w:rPr>
          <w:rFonts w:hint="eastAsia" w:ascii="仿宋" w:hAnsi="仿宋" w:eastAsia="仿宋" w:cs="仿宋"/>
          <w:kern w:val="2"/>
          <w:sz w:val="32"/>
          <w:szCs w:val="32"/>
          <w:lang w:val="en-US" w:eastAsia="zh-CN" w:bidi="ar-SA"/>
        </w:rPr>
        <w:t>99</w:t>
      </w:r>
      <w:r>
        <w:rPr>
          <w:rFonts w:hint="eastAsia" w:ascii="仿宋" w:hAnsi="仿宋" w:eastAsia="仿宋" w:cs="仿宋"/>
          <w:kern w:val="2"/>
          <w:sz w:val="32"/>
          <w:szCs w:val="32"/>
          <w:lang w:val="zh-CN" w:eastAsia="zh-CN" w:bidi="ar-SA"/>
        </w:rPr>
        <w:t>分，评估等级为“优”。预期产出和效果充分满足利州区中职教育发展的相关需求。</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sz w:val="32"/>
          <w:szCs w:val="32"/>
          <w:lang w:val="zh-CN"/>
        </w:rPr>
      </w:pPr>
      <w:r>
        <w:rPr>
          <w:rFonts w:hint="eastAsia" w:ascii="仿宋" w:hAnsi="仿宋" w:eastAsia="仿宋" w:cs="仿宋"/>
          <w:kern w:val="2"/>
          <w:sz w:val="32"/>
          <w:szCs w:val="32"/>
          <w:lang w:val="zh-CN" w:eastAsia="zh-CN" w:bidi="ar-SA"/>
        </w:rPr>
        <w:t>无</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严格按照《四川省教育厅 四川省财政厅 四川省人力资源和社会保障厅 四川省扶贫和移民工作局关于实施建档立卡贫困家庭学生补助政策有相关具体事项的通知》相关规定予以公示。</w:t>
      </w:r>
    </w:p>
    <w:p>
      <w:pPr>
        <w:outlineLvl w:val="9"/>
        <w:rPr>
          <w:rFonts w:hint="eastAsia" w:ascii="黑体" w:hAnsi="黑体" w:eastAsia="黑体" w:cs="黑体"/>
          <w:b/>
          <w:bCs/>
          <w:color w:val="auto"/>
          <w:kern w:val="2"/>
          <w:sz w:val="36"/>
          <w:szCs w:val="36"/>
          <w:lang w:val="en-US"/>
        </w:rPr>
      </w:pPr>
      <w:r>
        <w:rPr>
          <w:rFonts w:hint="eastAsia" w:ascii="黑体" w:hAnsi="黑体" w:eastAsia="黑体" w:cs="黑体"/>
          <w:b/>
          <w:bCs/>
          <w:color w:val="auto"/>
          <w:kern w:val="2"/>
          <w:sz w:val="36"/>
          <w:szCs w:val="36"/>
          <w:lang w:val="en-US"/>
        </w:rPr>
        <w:br w:type="page"/>
      </w:r>
    </w:p>
    <w:p>
      <w:pPr>
        <w:pStyle w:val="31"/>
        <w:keepNext w:val="0"/>
        <w:keepLines w:val="0"/>
        <w:pageBreakBefore w:val="0"/>
        <w:widowControl w:val="0"/>
        <w:kinsoku/>
        <w:wordWrap/>
        <w:overflowPunct/>
        <w:topLinePunct w:val="0"/>
        <w:autoSpaceDE/>
        <w:autoSpaceDN/>
        <w:bidi w:val="0"/>
        <w:adjustRightInd/>
        <w:snapToGrid/>
        <w:spacing w:before="469" w:beforeLines="150" w:line="560" w:lineRule="exact"/>
        <w:ind w:left="723" w:hanging="720" w:hangingChars="200"/>
        <w:jc w:val="left"/>
        <w:textAlignment w:val="auto"/>
        <w:outlineLvl w:val="1"/>
        <w:rPr>
          <w:rFonts w:hint="eastAsia" w:ascii="仿宋" w:hAnsi="仿宋" w:eastAsia="仿宋" w:cs="仿宋"/>
          <w:b w:val="0"/>
          <w:bCs w:val="0"/>
          <w:color w:val="auto"/>
          <w:kern w:val="2"/>
          <w:sz w:val="36"/>
          <w:szCs w:val="36"/>
          <w:lang w:val="en-US" w:eastAsia="zh-CN"/>
        </w:rPr>
      </w:pPr>
      <w:bookmarkStart w:id="90" w:name="_Toc30030"/>
      <w:r>
        <w:rPr>
          <w:rFonts w:hint="eastAsia" w:ascii="仿宋" w:hAnsi="仿宋" w:eastAsia="仿宋" w:cs="仿宋"/>
          <w:b w:val="0"/>
          <w:bCs w:val="0"/>
          <w:color w:val="auto"/>
          <w:kern w:val="2"/>
          <w:sz w:val="36"/>
          <w:szCs w:val="36"/>
          <w:lang w:val="en-US" w:eastAsia="zh-CN"/>
        </w:rPr>
        <w:t>附件2.4</w:t>
      </w:r>
      <w:bookmarkEnd w:id="90"/>
    </w:p>
    <w:p>
      <w:pPr>
        <w:pStyle w:val="31"/>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4"/>
          <w:szCs w:val="44"/>
          <w:lang w:val="en-US" w:eastAsia="zh-CN"/>
        </w:rPr>
      </w:pPr>
      <w:r>
        <w:rPr>
          <w:rFonts w:hint="eastAsia" w:ascii="方正小标宋简体" w:hAnsi="方正小标宋简体" w:eastAsia="方正小标宋简体" w:cs="方正小标宋简体"/>
          <w:b w:val="0"/>
          <w:bCs w:val="0"/>
          <w:color w:val="auto"/>
          <w:kern w:val="2"/>
          <w:sz w:val="44"/>
          <w:szCs w:val="44"/>
          <w:lang w:val="en-US" w:eastAsia="zh-CN"/>
        </w:rPr>
        <w:t>广元市利州区教育局</w:t>
      </w:r>
    </w:p>
    <w:p>
      <w:pPr>
        <w:pStyle w:val="31"/>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outlineLvl w:val="2"/>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auto"/>
          <w:kern w:val="2"/>
          <w:sz w:val="44"/>
          <w:szCs w:val="44"/>
          <w:lang w:val="en-US"/>
        </w:rPr>
        <w:t>202</w:t>
      </w:r>
      <w:r>
        <w:rPr>
          <w:rFonts w:hint="eastAsia" w:ascii="方正小标宋简体" w:hAnsi="方正小标宋简体" w:eastAsia="方正小标宋简体" w:cs="方正小标宋简体"/>
          <w:b w:val="0"/>
          <w:bCs w:val="0"/>
          <w:color w:val="auto"/>
          <w:kern w:val="2"/>
          <w:sz w:val="44"/>
          <w:szCs w:val="44"/>
          <w:lang w:val="en-US" w:eastAsia="zh-CN"/>
        </w:rPr>
        <w:t>1</w:t>
      </w:r>
      <w:r>
        <w:rPr>
          <w:rFonts w:hint="eastAsia" w:ascii="方正小标宋简体" w:hAnsi="方正小标宋简体" w:eastAsia="方正小标宋简体" w:cs="方正小标宋简体"/>
          <w:b w:val="0"/>
          <w:bCs w:val="0"/>
          <w:color w:val="auto"/>
          <w:kern w:val="2"/>
          <w:sz w:val="44"/>
          <w:szCs w:val="44"/>
          <w:lang w:val="en-US"/>
        </w:rPr>
        <w:t>年</w:t>
      </w:r>
      <w:r>
        <w:rPr>
          <w:rFonts w:hint="eastAsia" w:ascii="方正小标宋简体" w:hAnsi="方正小标宋简体" w:eastAsia="方正小标宋简体" w:cs="方正小标宋简体"/>
          <w:b w:val="0"/>
          <w:bCs w:val="0"/>
          <w:sz w:val="44"/>
          <w:szCs w:val="44"/>
        </w:rPr>
        <w:t>建档立卡全日制本专科学费生活费</w:t>
      </w:r>
    </w:p>
    <w:p>
      <w:pPr>
        <w:pStyle w:val="31"/>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4"/>
          <w:szCs w:val="44"/>
          <w:lang w:val="en-US" w:eastAsia="zh-CN"/>
        </w:rPr>
      </w:pPr>
      <w:r>
        <w:rPr>
          <w:rFonts w:hint="eastAsia" w:ascii="方正小标宋简体" w:hAnsi="方正小标宋简体" w:eastAsia="方正小标宋简体" w:cs="方正小标宋简体"/>
          <w:b w:val="0"/>
          <w:bCs w:val="0"/>
          <w:sz w:val="44"/>
          <w:szCs w:val="44"/>
        </w:rPr>
        <w:t>补助</w:t>
      </w:r>
      <w:r>
        <w:rPr>
          <w:rFonts w:hint="eastAsia" w:ascii="方正小标宋简体" w:hAnsi="方正小标宋简体" w:eastAsia="方正小标宋简体" w:cs="方正小标宋简体"/>
          <w:b w:val="0"/>
          <w:bCs w:val="0"/>
          <w:sz w:val="44"/>
          <w:szCs w:val="44"/>
          <w:lang w:val="en-US" w:eastAsia="zh-CN"/>
        </w:rPr>
        <w:t>项目</w:t>
      </w:r>
      <w:r>
        <w:rPr>
          <w:rFonts w:hint="eastAsia" w:ascii="方正小标宋简体" w:hAnsi="方正小标宋简体" w:eastAsia="方正小标宋简体" w:cs="方正小标宋简体"/>
          <w:b w:val="0"/>
          <w:bCs w:val="0"/>
          <w:color w:val="auto"/>
          <w:kern w:val="2"/>
          <w:sz w:val="44"/>
          <w:szCs w:val="44"/>
          <w:lang w:val="en-US" w:eastAsia="zh-CN"/>
        </w:rPr>
        <w:t>支出绩效自评报告</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outlineLvl w:val="9"/>
        <w:rPr>
          <w:rFonts w:hint="eastAsia" w:ascii="方正黑体简体" w:hAnsi="宋体" w:eastAsia="方正黑体简体"/>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1"/>
        <w:rPr>
          <w:rFonts w:hint="eastAsia" w:ascii="黑体" w:hAnsi="黑体" w:eastAsia="黑体" w:cs="黑体"/>
          <w:b w:val="0"/>
          <w:bCs w:val="0"/>
          <w:sz w:val="32"/>
          <w:szCs w:val="32"/>
          <w:lang w:val="zh-CN"/>
        </w:rPr>
      </w:pPr>
      <w:bookmarkStart w:id="91" w:name="_Toc3042"/>
      <w:r>
        <w:rPr>
          <w:rFonts w:hint="eastAsia" w:ascii="黑体" w:hAnsi="黑体" w:eastAsia="黑体" w:cs="黑体"/>
          <w:b w:val="0"/>
          <w:bCs w:val="0"/>
          <w:sz w:val="32"/>
          <w:szCs w:val="32"/>
          <w:lang w:val="zh-CN"/>
        </w:rPr>
        <w:t>一、项目概况</w:t>
      </w:r>
      <w:bookmarkEnd w:id="91"/>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eastAsia="zh-CN"/>
        </w:rPr>
      </w:pPr>
      <w:r>
        <w:rPr>
          <w:rFonts w:hint="eastAsia" w:ascii="仿宋" w:hAnsi="仿宋" w:eastAsia="仿宋" w:cs="仿宋"/>
          <w:sz w:val="32"/>
          <w:szCs w:val="32"/>
          <w:highlight w:val="none"/>
          <w:lang w:val="zh-CN"/>
        </w:rPr>
        <w:t>1．</w:t>
      </w:r>
      <w:r>
        <w:rPr>
          <w:rFonts w:hint="eastAsia" w:ascii="仿宋" w:hAnsi="仿宋" w:eastAsia="仿宋" w:cs="仿宋"/>
          <w:sz w:val="32"/>
          <w:szCs w:val="32"/>
          <w:lang w:val="en-US" w:eastAsia="zh-CN"/>
        </w:rPr>
        <w:t>建档立卡全日制本专科学费生活费补助项目项目是确保本专科学生顺利完成学业，</w:t>
      </w:r>
      <w:r>
        <w:rPr>
          <w:rFonts w:hint="eastAsia" w:ascii="仿宋" w:hAnsi="仿宋" w:eastAsia="仿宋" w:cs="仿宋"/>
          <w:sz w:val="32"/>
          <w:szCs w:val="32"/>
          <w:lang w:eastAsia="zh-CN"/>
        </w:rPr>
        <w:t>提高贫困家庭经济收入，助力家庭脱贫</w:t>
      </w:r>
      <w:r>
        <w:rPr>
          <w:rFonts w:hint="eastAsia" w:ascii="仿宋" w:hAnsi="仿宋" w:eastAsia="仿宋" w:cs="仿宋"/>
          <w:sz w:val="32"/>
          <w:szCs w:val="32"/>
          <w:lang w:val="en-US" w:eastAsia="zh-CN"/>
        </w:rPr>
        <w:t>的重要惠民政策。</w:t>
      </w:r>
      <w:r>
        <w:rPr>
          <w:rFonts w:hint="eastAsia" w:ascii="仿宋" w:hAnsi="仿宋" w:eastAsia="仿宋" w:cs="仿宋"/>
          <w:sz w:val="32"/>
          <w:szCs w:val="32"/>
          <w:lang w:eastAsia="zh-CN"/>
        </w:rPr>
        <w:t>利州区教育局</w:t>
      </w:r>
      <w:r>
        <w:rPr>
          <w:rFonts w:hint="eastAsia" w:ascii="仿宋" w:hAnsi="仿宋" w:eastAsia="仿宋" w:cs="仿宋"/>
          <w:sz w:val="32"/>
          <w:szCs w:val="32"/>
          <w:lang w:val="en-US" w:eastAsia="zh-CN"/>
        </w:rPr>
        <w:t>作为主管部门要</w:t>
      </w:r>
      <w:r>
        <w:rPr>
          <w:rFonts w:hint="eastAsia" w:ascii="仿宋" w:hAnsi="仿宋" w:eastAsia="仿宋" w:cs="仿宋"/>
          <w:sz w:val="32"/>
          <w:szCs w:val="32"/>
          <w:lang w:eastAsia="zh-CN"/>
        </w:rPr>
        <w:t>加大宣传力度，</w:t>
      </w:r>
      <w:r>
        <w:rPr>
          <w:rFonts w:hint="eastAsia" w:ascii="仿宋" w:hAnsi="仿宋" w:eastAsia="仿宋" w:cs="仿宋"/>
          <w:sz w:val="32"/>
          <w:szCs w:val="32"/>
          <w:lang w:val="en-US" w:eastAsia="zh-CN"/>
        </w:rPr>
        <w:t>确</w:t>
      </w:r>
      <w:r>
        <w:rPr>
          <w:rFonts w:hint="eastAsia" w:ascii="仿宋" w:hAnsi="仿宋" w:eastAsia="仿宋" w:cs="仿宋"/>
          <w:sz w:val="32"/>
          <w:szCs w:val="32"/>
          <w:lang w:val="zh-CN" w:eastAsia="zh-CN"/>
        </w:rPr>
        <w:t>保资金安全，及时下达并落实资助资金</w:t>
      </w:r>
      <w:r>
        <w:rPr>
          <w:rFonts w:hint="eastAsia" w:ascii="仿宋" w:hAnsi="仿宋" w:eastAsia="仿宋" w:cs="仿宋"/>
          <w:sz w:val="32"/>
          <w:szCs w:val="32"/>
          <w:lang w:eastAsia="zh-CN"/>
        </w:rPr>
        <w:t>，</w:t>
      </w:r>
      <w:r>
        <w:rPr>
          <w:rFonts w:hint="eastAsia" w:ascii="仿宋" w:hAnsi="仿宋" w:eastAsia="仿宋" w:cs="仿宋"/>
          <w:sz w:val="32"/>
          <w:szCs w:val="32"/>
          <w:lang w:val="zh-CN" w:eastAsia="zh-CN"/>
        </w:rPr>
        <w:t>督促学校</w:t>
      </w:r>
      <w:r>
        <w:rPr>
          <w:rFonts w:hint="eastAsia" w:ascii="仿宋" w:hAnsi="仿宋" w:eastAsia="仿宋" w:cs="仿宋"/>
          <w:sz w:val="32"/>
          <w:szCs w:val="32"/>
          <w:lang w:eastAsia="zh-CN"/>
        </w:rPr>
        <w:t>落实建档立卡贫困户学生生活补助资助政策。</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left="0" w:leftChars="0" w:right="0" w:firstLine="640" w:firstLineChars="200"/>
        <w:jc w:val="both"/>
        <w:textAlignment w:val="auto"/>
        <w:outlineLvl w:val="2"/>
        <w:rPr>
          <w:rFonts w:hint="eastAsia" w:ascii="仿宋" w:hAnsi="仿宋" w:eastAsia="仿宋" w:cs="仿宋"/>
          <w:sz w:val="32"/>
          <w:szCs w:val="32"/>
          <w:lang w:val="zh-CN"/>
        </w:rPr>
      </w:pPr>
      <w:r>
        <w:rPr>
          <w:rFonts w:hint="eastAsia" w:ascii="仿宋" w:hAnsi="仿宋" w:eastAsia="仿宋" w:cs="仿宋"/>
          <w:sz w:val="32"/>
          <w:szCs w:val="32"/>
          <w:lang w:val="zh-CN"/>
        </w:rPr>
        <w:t>2．项目立项、资金申报的依据。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根据《四川省教育厅 四川省人力资源和社会保障厅 四川省财政厅 四川省扶贫和移民工作局关于进一步做好建档立卡贫困家庭中职和本专科学生特别资助项目落实工作的通知》精神,加大宣传力度，落实建档立卡贫困户学生生活补助资助政策，提高贫困</w:t>
      </w:r>
      <w:r>
        <w:rPr>
          <w:rFonts w:hint="eastAsia" w:ascii="仿宋" w:hAnsi="仿宋" w:eastAsia="仿宋" w:cs="仿宋"/>
          <w:spacing w:val="-6"/>
          <w:sz w:val="32"/>
          <w:szCs w:val="32"/>
          <w:lang w:eastAsia="zh-CN"/>
        </w:rPr>
        <w:t>家庭经济收入，助力家庭脱贫，年度资金总额</w:t>
      </w:r>
      <w:r>
        <w:rPr>
          <w:rFonts w:hint="eastAsia" w:ascii="仿宋" w:hAnsi="仿宋" w:eastAsia="仿宋" w:cs="仿宋"/>
          <w:spacing w:val="-6"/>
          <w:sz w:val="32"/>
          <w:szCs w:val="32"/>
          <w:lang w:val="en-US" w:eastAsia="zh-CN"/>
        </w:rPr>
        <w:t>91.2</w:t>
      </w:r>
      <w:r>
        <w:rPr>
          <w:rFonts w:hint="eastAsia" w:ascii="仿宋" w:hAnsi="仿宋" w:eastAsia="仿宋" w:cs="仿宋"/>
          <w:spacing w:val="-6"/>
          <w:sz w:val="32"/>
          <w:szCs w:val="32"/>
          <w:lang w:eastAsia="zh-CN"/>
        </w:rPr>
        <w:t>万元，项目资金</w:t>
      </w:r>
      <w:r>
        <w:rPr>
          <w:rFonts w:hint="eastAsia" w:ascii="仿宋" w:hAnsi="仿宋" w:eastAsia="仿宋" w:cs="仿宋"/>
          <w:spacing w:val="-6"/>
          <w:sz w:val="32"/>
          <w:szCs w:val="32"/>
          <w:lang w:val="en-US" w:eastAsia="zh-CN"/>
        </w:rPr>
        <w:t>包括</w:t>
      </w:r>
      <w:r>
        <w:rPr>
          <w:rFonts w:hint="eastAsia" w:ascii="仿宋" w:hAnsi="仿宋" w:eastAsia="仿宋" w:cs="仿宋"/>
          <w:spacing w:val="-6"/>
          <w:sz w:val="32"/>
          <w:szCs w:val="32"/>
          <w:lang w:eastAsia="zh-CN"/>
        </w:rPr>
        <w:t>本级财政</w:t>
      </w:r>
      <w:r>
        <w:rPr>
          <w:rFonts w:hint="eastAsia" w:ascii="仿宋" w:hAnsi="仿宋" w:eastAsia="仿宋" w:cs="仿宋"/>
          <w:spacing w:val="-6"/>
          <w:sz w:val="32"/>
          <w:szCs w:val="32"/>
          <w:lang w:val="en-US" w:eastAsia="zh-CN"/>
        </w:rPr>
        <w:t>资金29.43万元和省级财政资金61.77万元</w:t>
      </w:r>
      <w:r>
        <w:rPr>
          <w:rFonts w:hint="eastAsia" w:ascii="仿宋" w:hAnsi="仿宋" w:eastAsia="仿宋" w:cs="仿宋"/>
          <w:spacing w:val="-6"/>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snapToGrid w:val="0"/>
        <w:spacing w:beforeLines="0" w:line="560" w:lineRule="exact"/>
        <w:ind w:leftChars="0" w:right="0" w:rightChars="0" w:firstLine="640" w:firstLineChars="200"/>
        <w:jc w:val="both"/>
        <w:textAlignment w:val="auto"/>
        <w:outlineLvl w:val="2"/>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资金管理办法制定情况：2021年建档立卡贫困家庭新入学全日制专科学生补助配套项目收到财政拨款91.2万元。能够满足建档立卡贫困家庭新入学全日制专科学生补助配套配套的发放。在资金使用上，各校按照省、市教育主管部门要求，制定了相应的财务管理制度，做到专款专用。</w:t>
      </w:r>
    </w:p>
    <w:p>
      <w:pPr>
        <w:pStyle w:val="5"/>
        <w:keepNext w:val="0"/>
        <w:keepLines w:val="0"/>
        <w:pageBreakBefore w:val="0"/>
        <w:widowControl w:val="0"/>
        <w:numPr>
          <w:ilvl w:val="0"/>
          <w:numId w:val="0"/>
        </w:numPr>
        <w:kinsoku/>
        <w:wordWrap/>
        <w:overflowPunct/>
        <w:topLinePunct w:val="0"/>
        <w:autoSpaceDE/>
        <w:autoSpaceDN/>
        <w:bidi w:val="0"/>
        <w:snapToGrid w:val="0"/>
        <w:spacing w:beforeLines="0" w:line="560" w:lineRule="exact"/>
        <w:ind w:left="0" w:leftChars="0" w:right="0" w:rightChars="0" w:firstLine="640" w:firstLineChars="200"/>
        <w:jc w:val="both"/>
        <w:textAlignment w:val="auto"/>
        <w:outlineLvl w:val="2"/>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）资金支持具体项目的条件、范围。</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2021年该项目资助全区建档立卡贫困户新入学全日制专科学生240人，受助学生人数完成率100%，资助全区建档立卡贫困户中职学生比例100%， 补助资金及时足额发放率100%。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val="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资金支持具体项目的支持方式。</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该项目资金按受助学生享受资金4000元/生/年进行发放，减轻了建档立卡贫困学生家庭负担，确保学生顺利完成学业，政策知晓率95%。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4．资金分配的原则及考虑因素。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kern w:val="2"/>
          <w:sz w:val="32"/>
          <w:szCs w:val="32"/>
          <w:highlight w:val="none"/>
          <w:lang w:val="zh-CN" w:eastAsia="zh-CN" w:bidi="ar-SA"/>
        </w:rPr>
      </w:pPr>
      <w:r>
        <w:rPr>
          <w:rFonts w:hint="eastAsia" w:ascii="仿宋" w:hAnsi="仿宋" w:eastAsia="仿宋" w:cs="仿宋"/>
          <w:color w:val="auto"/>
          <w:sz w:val="32"/>
          <w:szCs w:val="32"/>
          <w:highlight w:val="none"/>
          <w:lang w:eastAsia="zh-CN"/>
        </w:rPr>
        <w:t>建</w:t>
      </w:r>
      <w:r>
        <w:rPr>
          <w:rFonts w:hint="eastAsia" w:ascii="仿宋" w:hAnsi="仿宋" w:eastAsia="仿宋" w:cs="仿宋"/>
          <w:sz w:val="32"/>
          <w:szCs w:val="32"/>
          <w:lang w:val="en-US" w:eastAsia="zh-CN"/>
        </w:rPr>
        <w:t>建档立卡全日制本专科学费生活费补助项目</w:t>
      </w:r>
      <w:r>
        <w:rPr>
          <w:rFonts w:hint="eastAsia" w:ascii="仿宋" w:hAnsi="仿宋" w:eastAsia="仿宋" w:cs="仿宋"/>
          <w:color w:val="auto"/>
          <w:sz w:val="32"/>
          <w:szCs w:val="32"/>
          <w:highlight w:val="none"/>
          <w:lang w:val="en-US" w:eastAsia="zh-CN"/>
        </w:rPr>
        <w:t>是确保</w:t>
      </w:r>
      <w:r>
        <w:rPr>
          <w:rFonts w:hint="eastAsia" w:ascii="仿宋" w:hAnsi="仿宋" w:eastAsia="仿宋" w:cs="仿宋"/>
          <w:sz w:val="32"/>
          <w:szCs w:val="32"/>
          <w:lang w:val="en-US" w:eastAsia="zh-CN"/>
        </w:rPr>
        <w:t>本专科</w:t>
      </w:r>
      <w:r>
        <w:rPr>
          <w:rFonts w:hint="eastAsia" w:ascii="仿宋" w:hAnsi="仿宋" w:eastAsia="仿宋" w:cs="仿宋"/>
          <w:color w:val="auto"/>
          <w:sz w:val="32"/>
          <w:szCs w:val="32"/>
          <w:highlight w:val="none"/>
          <w:lang w:val="en-US" w:eastAsia="zh-CN"/>
        </w:rPr>
        <w:t>学生顺利完成学业，</w:t>
      </w:r>
      <w:r>
        <w:rPr>
          <w:rFonts w:hint="eastAsia" w:ascii="仿宋" w:hAnsi="仿宋" w:eastAsia="仿宋" w:cs="仿宋"/>
          <w:color w:val="auto"/>
          <w:sz w:val="32"/>
          <w:szCs w:val="32"/>
          <w:highlight w:val="none"/>
          <w:lang w:eastAsia="zh-CN"/>
        </w:rPr>
        <w:t>提高贫困家庭经济收入，助力家庭脱贫</w:t>
      </w:r>
      <w:r>
        <w:rPr>
          <w:rFonts w:hint="eastAsia" w:ascii="仿宋" w:hAnsi="仿宋" w:eastAsia="仿宋" w:cs="仿宋"/>
          <w:color w:val="auto"/>
          <w:sz w:val="32"/>
          <w:szCs w:val="32"/>
          <w:highlight w:val="none"/>
          <w:lang w:val="en-US" w:eastAsia="zh-CN"/>
        </w:rPr>
        <w:t>的重要惠民政策</w:t>
      </w:r>
      <w:r>
        <w:rPr>
          <w:rFonts w:hint="eastAsia" w:ascii="仿宋" w:hAnsi="仿宋" w:eastAsia="仿宋" w:cs="仿宋"/>
          <w:color w:val="auto"/>
          <w:kern w:val="2"/>
          <w:sz w:val="32"/>
          <w:szCs w:val="32"/>
          <w:highlight w:val="none"/>
          <w:lang w:val="en-US" w:eastAsia="zh-CN" w:bidi="ar-SA"/>
        </w:rPr>
        <w:t>，要帮助这部分学生顺利完成本专科学业，促进教育公平。</w:t>
      </w:r>
      <w:r>
        <w:rPr>
          <w:rFonts w:hint="eastAsia" w:ascii="仿宋" w:hAnsi="仿宋" w:eastAsia="仿宋" w:cs="仿宋"/>
          <w:color w:val="auto"/>
          <w:kern w:val="2"/>
          <w:sz w:val="32"/>
          <w:szCs w:val="32"/>
          <w:highlight w:val="none"/>
          <w:lang w:val="zh-CN" w:eastAsia="zh-CN" w:bidi="ar-SA"/>
        </w:rPr>
        <w:t>纳入202</w:t>
      </w:r>
      <w:r>
        <w:rPr>
          <w:rFonts w:hint="eastAsia" w:ascii="仿宋" w:hAnsi="仿宋" w:eastAsia="仿宋" w:cs="仿宋"/>
          <w:color w:val="auto"/>
          <w:kern w:val="2"/>
          <w:sz w:val="32"/>
          <w:szCs w:val="32"/>
          <w:highlight w:val="none"/>
          <w:lang w:val="en-US" w:eastAsia="zh-CN" w:bidi="ar-SA"/>
        </w:rPr>
        <w:t>1</w:t>
      </w:r>
      <w:r>
        <w:rPr>
          <w:rFonts w:hint="eastAsia" w:ascii="仿宋" w:hAnsi="仿宋" w:eastAsia="仿宋" w:cs="仿宋"/>
          <w:color w:val="auto"/>
          <w:kern w:val="2"/>
          <w:sz w:val="32"/>
          <w:szCs w:val="32"/>
          <w:highlight w:val="none"/>
          <w:lang w:val="zh-CN" w:eastAsia="zh-CN" w:bidi="ar-SA"/>
        </w:rPr>
        <w:t>年预算资金</w:t>
      </w:r>
      <w:r>
        <w:rPr>
          <w:rFonts w:hint="eastAsia" w:ascii="仿宋" w:hAnsi="仿宋" w:eastAsia="仿宋" w:cs="仿宋"/>
          <w:color w:val="auto"/>
          <w:kern w:val="2"/>
          <w:sz w:val="32"/>
          <w:szCs w:val="32"/>
          <w:highlight w:val="none"/>
          <w:lang w:val="en-US" w:eastAsia="zh-CN" w:bidi="ar-SA"/>
        </w:rPr>
        <w:t>91.2</w:t>
      </w:r>
      <w:r>
        <w:rPr>
          <w:rFonts w:hint="eastAsia" w:ascii="仿宋" w:hAnsi="仿宋" w:eastAsia="仿宋" w:cs="仿宋"/>
          <w:color w:val="auto"/>
          <w:kern w:val="2"/>
          <w:sz w:val="32"/>
          <w:szCs w:val="32"/>
          <w:highlight w:val="none"/>
          <w:lang w:val="zh-CN" w:eastAsia="zh-CN" w:bidi="ar-SA"/>
        </w:rPr>
        <w:t>万元，符合资金管理办法相关规定。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highlight w:val="none"/>
          <w:lang w:val="zh-CN"/>
        </w:rPr>
        <w:t>1．项目主要内容。</w:t>
      </w:r>
      <w:r>
        <w:rPr>
          <w:rFonts w:hint="eastAsia" w:ascii="仿宋" w:hAnsi="仿宋" w:eastAsia="仿宋" w:cs="仿宋"/>
          <w:color w:val="auto"/>
          <w:sz w:val="32"/>
          <w:szCs w:val="32"/>
          <w:lang w:val="zh-CN" w:eastAsia="zh-CN"/>
        </w:rPr>
        <w:t>严肃财经纪律，及时下达资金，督促学校按时落实；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2.加大政策宣传力度，落实好资助政策；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3.提高贫困家庭经济收入，助力家庭脱贫。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2"/>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zh-CN"/>
        </w:rPr>
        <w:t>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2021年该项目资助全区建档立卡贫困户新入学全日制专科学生240人，受助学生人数完成率100%，资助全区建档立卡贫困户中职学生比例100%， 补助资金及时足额发放率100%。补助标准按4000元/生/年进行。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2"/>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val="zh-CN"/>
        </w:rPr>
        <w:t>分析评价申报内容是否与实际相符，申报目标是否合理可行。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该项目资金按受助学生享受资金</w:t>
      </w:r>
      <w:r>
        <w:rPr>
          <w:rFonts w:hint="eastAsia" w:ascii="仿宋" w:hAnsi="仿宋" w:eastAsia="仿宋" w:cs="仿宋"/>
          <w:sz w:val="32"/>
          <w:szCs w:val="32"/>
          <w:lang w:val="en-US" w:eastAsia="zh-CN"/>
        </w:rPr>
        <w:t>4000元/生/年进行</w:t>
      </w:r>
      <w:r>
        <w:rPr>
          <w:rFonts w:hint="eastAsia" w:ascii="仿宋" w:hAnsi="仿宋" w:eastAsia="仿宋" w:cs="仿宋"/>
          <w:color w:val="auto"/>
          <w:sz w:val="32"/>
          <w:szCs w:val="32"/>
          <w:highlight w:val="none"/>
          <w:lang w:val="zh-CN" w:eastAsia="zh-CN"/>
        </w:rPr>
        <w:t>发放，减轻建档立卡贫困学生家庭负担，确保学生顺利完成学业，政策知晓率95%。该项目申报内容与具体实施内容相符，申报目标合理可行。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sz w:val="32"/>
          <w:szCs w:val="32"/>
          <w:highlight w:val="none"/>
          <w:lang w:val="zh-CN"/>
        </w:rPr>
      </w:pPr>
      <w:r>
        <w:rPr>
          <w:rFonts w:hint="eastAsia" w:ascii="仿宋" w:hAnsi="仿宋" w:eastAsia="仿宋" w:cs="仿宋"/>
          <w:color w:val="auto"/>
          <w:kern w:val="2"/>
          <w:sz w:val="32"/>
          <w:szCs w:val="32"/>
          <w:highlight w:val="none"/>
          <w:lang w:val="en-US" w:eastAsia="zh-CN" w:bidi="ar-SA"/>
        </w:rPr>
        <w:t>根据利州区财政局对2021年度项目资金支出绩效评价自评的相关要求，局领导高度重视，及时召开专题会议，成立了以局长为组长，各部门负责人为组员的自评小组，严格对照事前绩效评价指标对该资金项目的支出绩效进行自评，</w:t>
      </w:r>
      <w:r>
        <w:rPr>
          <w:rFonts w:hint="eastAsia" w:ascii="仿宋" w:hAnsi="仿宋" w:eastAsia="仿宋" w:cs="仿宋"/>
          <w:color w:val="auto"/>
          <w:kern w:val="2"/>
          <w:sz w:val="32"/>
          <w:szCs w:val="32"/>
          <w:highlight w:val="none"/>
          <w:lang w:val="zh-CN" w:eastAsia="zh-CN" w:bidi="ar-SA"/>
        </w:rPr>
        <w:t xml:space="preserve">该项目总体评价得分为 </w:t>
      </w:r>
      <w:r>
        <w:rPr>
          <w:rFonts w:hint="eastAsia" w:ascii="仿宋" w:hAnsi="仿宋" w:eastAsia="仿宋" w:cs="仿宋"/>
          <w:color w:val="auto"/>
          <w:kern w:val="2"/>
          <w:sz w:val="32"/>
          <w:szCs w:val="32"/>
          <w:highlight w:val="none"/>
          <w:lang w:val="en-US" w:eastAsia="zh-CN" w:bidi="ar-SA"/>
        </w:rPr>
        <w:t>98</w:t>
      </w:r>
      <w:r>
        <w:rPr>
          <w:rFonts w:hint="eastAsia" w:ascii="仿宋" w:hAnsi="仿宋" w:eastAsia="仿宋" w:cs="仿宋"/>
          <w:color w:val="auto"/>
          <w:kern w:val="2"/>
          <w:sz w:val="32"/>
          <w:szCs w:val="32"/>
          <w:highlight w:val="none"/>
          <w:lang w:val="zh-CN" w:eastAsia="zh-CN" w:bidi="ar-SA"/>
        </w:rPr>
        <w:t>分，评估等级为“优”。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1"/>
        <w:rPr>
          <w:rFonts w:hint="eastAsia" w:ascii="黑体" w:hAnsi="黑体" w:eastAsia="黑体" w:cs="黑体"/>
          <w:b w:val="0"/>
          <w:bCs w:val="0"/>
          <w:sz w:val="32"/>
          <w:szCs w:val="32"/>
          <w:lang w:val="zh-CN"/>
        </w:rPr>
      </w:pPr>
      <w:bookmarkStart w:id="92" w:name="_Toc15849"/>
      <w:r>
        <w:rPr>
          <w:rFonts w:hint="eastAsia" w:ascii="黑体" w:hAnsi="黑体" w:eastAsia="黑体" w:cs="黑体"/>
          <w:b w:val="0"/>
          <w:bCs w:val="0"/>
          <w:sz w:val="32"/>
          <w:szCs w:val="32"/>
          <w:lang w:val="zh-CN"/>
        </w:rPr>
        <w:t>二、项目资金申报及使用情况</w:t>
      </w:r>
      <w:bookmarkEnd w:id="92"/>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2021年该项目资助全区建档立卡贫困户新入学全日制专科学生240人，受助学生人数完成率100%，资助全区建档立卡贫困户中职学生比例100%， 补助资金及时足额发放率100%。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1．资金计划。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2021年</w:t>
      </w:r>
      <w:r>
        <w:rPr>
          <w:rFonts w:hint="eastAsia" w:ascii="仿宋" w:hAnsi="仿宋" w:eastAsia="仿宋" w:cs="仿宋"/>
          <w:color w:val="auto"/>
          <w:kern w:val="2"/>
          <w:sz w:val="32"/>
          <w:szCs w:val="32"/>
          <w:lang w:val="zh-CN" w:eastAsia="zh-CN" w:bidi="ar-SA"/>
        </w:rPr>
        <w:t>建档立卡新入学全日制专科学生补助配套项目配套资金计划到位</w:t>
      </w:r>
      <w:r>
        <w:rPr>
          <w:rFonts w:hint="eastAsia" w:ascii="仿宋" w:hAnsi="仿宋" w:eastAsia="仿宋" w:cs="仿宋"/>
          <w:color w:val="auto"/>
          <w:kern w:val="2"/>
          <w:sz w:val="32"/>
          <w:szCs w:val="32"/>
          <w:lang w:val="en-US" w:eastAsia="zh-CN" w:bidi="ar-SA"/>
        </w:rPr>
        <w:t>91.2万元。其中</w:t>
      </w:r>
      <w:r>
        <w:rPr>
          <w:rFonts w:hint="eastAsia" w:ascii="仿宋" w:hAnsi="仿宋" w:eastAsia="仿宋" w:cs="仿宋"/>
          <w:color w:val="auto"/>
          <w:kern w:val="2"/>
          <w:sz w:val="32"/>
          <w:szCs w:val="32"/>
          <w:lang w:val="zh-CN" w:eastAsia="zh-CN" w:bidi="ar-SA"/>
        </w:rPr>
        <w:t>区级配套资金</w:t>
      </w:r>
      <w:r>
        <w:rPr>
          <w:rFonts w:hint="eastAsia" w:ascii="仿宋" w:hAnsi="仿宋" w:eastAsia="仿宋" w:cs="仿宋"/>
          <w:color w:val="auto"/>
          <w:kern w:val="2"/>
          <w:sz w:val="32"/>
          <w:szCs w:val="32"/>
          <w:lang w:val="en-US" w:eastAsia="zh-CN" w:bidi="ar-SA"/>
        </w:rPr>
        <w:t>29.43万元</w:t>
      </w:r>
      <w:r>
        <w:rPr>
          <w:rFonts w:hint="eastAsia" w:ascii="仿宋" w:hAnsi="仿宋" w:eastAsia="仿宋" w:cs="仿宋"/>
          <w:color w:val="auto"/>
          <w:kern w:val="2"/>
          <w:sz w:val="32"/>
          <w:szCs w:val="32"/>
          <w:lang w:val="zh-CN" w:eastAsia="zh-CN" w:bidi="ar-SA"/>
        </w:rPr>
        <w:t>，</w:t>
      </w:r>
      <w:r>
        <w:rPr>
          <w:rFonts w:hint="eastAsia" w:ascii="仿宋" w:hAnsi="仿宋" w:eastAsia="仿宋" w:cs="仿宋"/>
          <w:color w:val="auto"/>
          <w:kern w:val="2"/>
          <w:sz w:val="32"/>
          <w:szCs w:val="32"/>
          <w:lang w:val="en-US" w:eastAsia="zh-CN" w:bidi="ar-SA"/>
        </w:rPr>
        <w:t>省级补助资金61.77万元。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2"/>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资金到位。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截止202</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年12月31日实际拨付</w:t>
      </w:r>
      <w:r>
        <w:rPr>
          <w:rFonts w:hint="eastAsia" w:ascii="仿宋" w:hAnsi="仿宋" w:eastAsia="仿宋" w:cs="仿宋"/>
          <w:color w:val="auto"/>
          <w:kern w:val="2"/>
          <w:sz w:val="32"/>
          <w:szCs w:val="32"/>
          <w:lang w:val="zh-CN" w:eastAsia="zh-CN" w:bidi="ar-SA"/>
        </w:rPr>
        <w:t>建档立卡新入学全日制专科学生补助配套项目配套资金计划到位</w:t>
      </w:r>
      <w:r>
        <w:rPr>
          <w:rFonts w:hint="eastAsia" w:ascii="仿宋" w:hAnsi="仿宋" w:eastAsia="仿宋" w:cs="仿宋"/>
          <w:color w:val="auto"/>
          <w:kern w:val="2"/>
          <w:sz w:val="32"/>
          <w:szCs w:val="32"/>
          <w:lang w:val="en-US" w:eastAsia="zh-CN" w:bidi="ar-SA"/>
        </w:rPr>
        <w:t>91.2万元</w:t>
      </w:r>
      <w:r>
        <w:rPr>
          <w:rFonts w:hint="eastAsia" w:ascii="仿宋" w:hAnsi="仿宋" w:eastAsia="仿宋" w:cs="仿宋"/>
          <w:sz w:val="32"/>
          <w:szCs w:val="32"/>
          <w:lang w:val="zh-CN" w:eastAsia="zh-CN"/>
        </w:rPr>
        <w:t>，资金到位及时，到位率均为</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当年结转项目资金0.00万元，项目资金累计结余0.00万元。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2"/>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资金使用。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zh-CN" w:eastAsia="zh-CN" w:bidi="ar-SA"/>
        </w:rPr>
        <w:t>在资金使用上，各校按照省、市教育主管部门要求，制定了相应的财务管理制度，做到专款专用。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（三）项目财务管理情况</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jc w:val="both"/>
        <w:textAlignment w:val="auto"/>
        <w:outlineLvl w:val="2"/>
        <w:rPr>
          <w:rFonts w:hint="eastAsia" w:ascii="仿宋" w:hAnsi="仿宋" w:eastAsia="仿宋" w:cs="仿宋"/>
          <w:sz w:val="32"/>
          <w:szCs w:val="32"/>
          <w:lang w:val="zh-CN"/>
        </w:rPr>
      </w:pPr>
      <w:r>
        <w:rPr>
          <w:rFonts w:hint="eastAsia" w:ascii="仿宋" w:hAnsi="仿宋" w:eastAsia="仿宋" w:cs="仿宋"/>
          <w:color w:val="auto"/>
          <w:kern w:val="2"/>
          <w:sz w:val="32"/>
          <w:szCs w:val="32"/>
          <w:lang w:val="zh-CN" w:eastAsia="zh-CN" w:bidi="ar-SA"/>
        </w:rPr>
        <w:t>202</w:t>
      </w: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kern w:val="2"/>
          <w:sz w:val="32"/>
          <w:szCs w:val="32"/>
          <w:lang w:val="zh-CN" w:eastAsia="zh-CN" w:bidi="ar-SA"/>
        </w:rPr>
        <w:t>年建档立卡新入学全日制专科学生补助配套项目配套专项经费资金支出手续齐全，收支票据规范，原始凭证合规，无不合规凭证等现象，无超范围使用或挪作他用的现象，确保了建档立卡贫困家庭中职学生生活补助配套专项经费资金足额用于建档立卡贫困家庭中职学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1"/>
        <w:rPr>
          <w:rFonts w:hint="eastAsia" w:ascii="黑体" w:hAnsi="黑体" w:eastAsia="黑体" w:cs="黑体"/>
          <w:b w:val="0"/>
          <w:bCs w:val="0"/>
          <w:sz w:val="32"/>
          <w:szCs w:val="32"/>
          <w:lang w:val="zh-CN"/>
        </w:rPr>
      </w:pPr>
      <w:bookmarkStart w:id="93" w:name="_Toc22781"/>
      <w:r>
        <w:rPr>
          <w:rFonts w:hint="eastAsia" w:ascii="黑体" w:hAnsi="黑体" w:eastAsia="黑体" w:cs="黑体"/>
          <w:b w:val="0"/>
          <w:bCs w:val="0"/>
          <w:sz w:val="32"/>
          <w:szCs w:val="32"/>
          <w:lang w:val="zh-CN"/>
        </w:rPr>
        <w:t>三、项目实施及管理情况</w:t>
      </w:r>
      <w:bookmarkEnd w:id="93"/>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（一）项目组织架构及实施流程。</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jc w:val="both"/>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02</w:t>
      </w: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kern w:val="2"/>
          <w:sz w:val="32"/>
          <w:szCs w:val="32"/>
          <w:lang w:val="zh-CN" w:eastAsia="zh-CN" w:bidi="ar-SA"/>
        </w:rPr>
        <w:t>年度全区建档立卡贫困家庭新入学全日制专科学生补助配套补助资金使用率达到100%。全年支出总量严格按预算数执行，费用支付严格按照专项资金使用执行，要求各单位严肃财经纪律，落实好资助政策，保证资金安全，及时下达资金，督促学校按时落实资助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（二）项目管理情况。</w:t>
      </w:r>
    </w:p>
    <w:p>
      <w:pPr>
        <w:pStyle w:val="5"/>
        <w:keepNext w:val="0"/>
        <w:keepLines w:val="0"/>
        <w:pageBreakBefore w:val="0"/>
        <w:widowControl w:val="0"/>
        <w:kinsoku/>
        <w:wordWrap/>
        <w:overflowPunct/>
        <w:topLinePunct w:val="0"/>
        <w:autoSpaceDE/>
        <w:autoSpaceDN/>
        <w:bidi w:val="0"/>
        <w:snapToGrid w:val="0"/>
        <w:spacing w:beforeLines="0" w:line="560" w:lineRule="exact"/>
        <w:ind w:left="0" w:leftChars="0" w:right="0" w:firstLine="640" w:firstLineChars="200"/>
        <w:jc w:val="both"/>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zh-CN" w:eastAsia="zh-CN" w:bidi="ar-SA"/>
        </w:rPr>
        <w:t>该项目已实施多年，有效贯彻了中央、省、市有关决策 部署，促进全日制本专科教育事业有序、健康、协调发展。具有明显的经济效益和社会效益。项目财务管理制度建设、机构设置健全、会计核算及账务处理符合财务相关规定。在实施项目过程中，严厉节约，避免浪费，要求学校最大限度地发挥其作用，严格执行《项目资金的使用规定》和《财务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（三）项目监管情况。</w:t>
      </w:r>
    </w:p>
    <w:p>
      <w:pPr>
        <w:pStyle w:val="5"/>
        <w:keepNext w:val="0"/>
        <w:keepLines w:val="0"/>
        <w:pageBreakBefore w:val="0"/>
        <w:widowControl w:val="0"/>
        <w:kinsoku/>
        <w:wordWrap/>
        <w:overflowPunct/>
        <w:topLinePunct w:val="0"/>
        <w:autoSpaceDE/>
        <w:autoSpaceDN/>
        <w:bidi w:val="0"/>
        <w:snapToGrid w:val="0"/>
        <w:spacing w:beforeLines="0" w:line="560" w:lineRule="exact"/>
        <w:ind w:left="0" w:leftChars="0" w:right="0" w:firstLine="640" w:firstLineChars="200"/>
        <w:jc w:val="both"/>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zh-CN" w:eastAsia="zh-CN" w:bidi="ar-SA"/>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w:t>
      </w:r>
      <w:r>
        <w:rPr>
          <w:rFonts w:hint="eastAsia" w:ascii="仿宋" w:hAnsi="仿宋" w:eastAsia="仿宋" w:cs="仿宋"/>
          <w:color w:val="auto"/>
          <w:kern w:val="2"/>
          <w:sz w:val="32"/>
          <w:szCs w:val="32"/>
          <w:lang w:val="en-US" w:eastAsia="zh-CN" w:bidi="ar-SA"/>
        </w:rPr>
        <w:t>各</w:t>
      </w:r>
      <w:r>
        <w:rPr>
          <w:rFonts w:hint="eastAsia" w:ascii="仿宋" w:hAnsi="仿宋" w:eastAsia="仿宋" w:cs="仿宋"/>
          <w:color w:val="auto"/>
          <w:kern w:val="2"/>
          <w:sz w:val="32"/>
          <w:szCs w:val="32"/>
          <w:lang w:val="zh-CN" w:eastAsia="zh-CN" w:bidi="ar-SA"/>
        </w:rPr>
        <w:t>学校将相关资料存档备查。按照省教育厅学生资助管理中心要求将建档立卡贫困家庭中职学生的资料录入资助系统,进行统一管理。在区财政和教育主管部门定期组织对学校经费使用情况的检查、审计中未发现重大违规、违纪现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1"/>
        <w:rPr>
          <w:rFonts w:hint="eastAsia" w:ascii="黑体" w:hAnsi="黑体" w:eastAsia="黑体" w:cs="黑体"/>
          <w:b w:val="0"/>
          <w:bCs w:val="0"/>
          <w:sz w:val="32"/>
          <w:szCs w:val="32"/>
          <w:lang w:val="zh-CN"/>
        </w:rPr>
      </w:pPr>
      <w:bookmarkStart w:id="94" w:name="_Toc31987"/>
      <w:r>
        <w:rPr>
          <w:rFonts w:hint="eastAsia" w:ascii="黑体" w:hAnsi="黑体" w:eastAsia="黑体" w:cs="黑体"/>
          <w:b w:val="0"/>
          <w:bCs w:val="0"/>
          <w:sz w:val="32"/>
          <w:szCs w:val="32"/>
          <w:lang w:val="zh-CN"/>
        </w:rPr>
        <w:t>四、项目绩效情况</w:t>
      </w:r>
      <w:bookmarkEnd w:id="94"/>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落实好资助政策，保证资金安全，及时下达资金，督促学校按时落实资助资金，减轻建档立卡贫困学生家庭负担，确保学生顺利完成学业。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202</w:t>
      </w: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zh-CN" w:eastAsia="zh-CN" w:bidi="ar-SA"/>
        </w:rPr>
        <w:t>年度建档立卡贫困家庭新入学全日制专科学生补助共240人，保障了贫困家庭学生接受教育的权利。通过问卷调查、电话访问、现场走访等形式，建档立卡贫困户享受补助学生满意度90%，建档立卡贫困户享受补助家长满意度90%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1"/>
        <w:rPr>
          <w:rFonts w:hint="eastAsia" w:ascii="黑体" w:hAnsi="黑体" w:eastAsia="黑体" w:cs="黑体"/>
          <w:b w:val="0"/>
          <w:bCs w:val="0"/>
          <w:sz w:val="32"/>
          <w:szCs w:val="32"/>
          <w:lang w:val="zh-CN"/>
        </w:rPr>
      </w:pPr>
      <w:bookmarkStart w:id="95" w:name="_Toc22384"/>
      <w:r>
        <w:rPr>
          <w:rFonts w:hint="eastAsia" w:ascii="黑体" w:hAnsi="黑体" w:eastAsia="黑体" w:cs="黑体"/>
          <w:b w:val="0"/>
          <w:bCs w:val="0"/>
          <w:sz w:val="32"/>
          <w:szCs w:val="32"/>
          <w:lang w:val="zh-CN"/>
        </w:rPr>
        <w:t>五、评价结论及建议</w:t>
      </w:r>
      <w:bookmarkEnd w:id="95"/>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 xml:space="preserve">该项目总体评价得分为 </w:t>
      </w:r>
      <w:r>
        <w:rPr>
          <w:rFonts w:hint="eastAsia" w:ascii="仿宋" w:hAnsi="仿宋" w:eastAsia="仿宋" w:cs="仿宋"/>
          <w:kern w:val="2"/>
          <w:sz w:val="32"/>
          <w:szCs w:val="32"/>
          <w:lang w:val="en-US" w:eastAsia="zh-CN" w:bidi="ar-SA"/>
        </w:rPr>
        <w:t>98</w:t>
      </w:r>
      <w:r>
        <w:rPr>
          <w:rFonts w:hint="eastAsia" w:ascii="仿宋" w:hAnsi="仿宋" w:eastAsia="仿宋" w:cs="仿宋"/>
          <w:kern w:val="2"/>
          <w:sz w:val="32"/>
          <w:szCs w:val="32"/>
          <w:lang w:val="zh-CN" w:eastAsia="zh-CN" w:bidi="ar-SA"/>
        </w:rPr>
        <w:t>分，评估等级为“优”。预期产出和效果充分满足利州区教育发展的相关需求。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部分补助名单未及时公示或未公示补助名单。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2"/>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zh-CN" w:eastAsia="zh-CN" w:bidi="ar-SA"/>
        </w:rPr>
        <w:t>1.严格按照《四川省教育厅 四川省财政厅 四川省人力资源和社会保障厅 四川省扶贫和移民工作局关于实施建档立卡贫困家庭学生补助政策有相关具体事项的通知》相关规定予以公示。</w:t>
      </w:r>
    </w:p>
    <w:p>
      <w:pPr>
        <w:pStyle w:val="5"/>
        <w:keepNext w:val="0"/>
        <w:keepLines w:val="0"/>
        <w:pageBreakBefore w:val="0"/>
        <w:widowControl w:val="0"/>
        <w:kinsoku/>
        <w:wordWrap/>
        <w:overflowPunct/>
        <w:topLinePunct w:val="0"/>
        <w:autoSpaceDE/>
        <w:autoSpaceDN/>
        <w:bidi w:val="0"/>
        <w:snapToGrid w:val="0"/>
        <w:spacing w:beforeLines="0" w:line="560" w:lineRule="exact"/>
        <w:ind w:leftChars="0" w:firstLine="640" w:firstLineChars="200"/>
        <w:textAlignment w:val="auto"/>
        <w:outlineLvl w:val="2"/>
        <w:rPr>
          <w:rFonts w:hint="default"/>
          <w:lang w:val="en-US" w:eastAsia="zh-CN"/>
        </w:rPr>
      </w:pPr>
      <w:r>
        <w:rPr>
          <w:rFonts w:hint="eastAsia" w:ascii="仿宋" w:hAnsi="仿宋" w:eastAsia="仿宋" w:cs="仿宋"/>
          <w:color w:val="auto"/>
          <w:kern w:val="2"/>
          <w:sz w:val="32"/>
          <w:szCs w:val="32"/>
          <w:lang w:val="zh-CN" w:eastAsia="zh-CN" w:bidi="ar-SA"/>
        </w:rPr>
        <w:t>2.宣传发动，我们首先认真学习了有关上级文件精神，广泛宣传“建档立卡贫困家庭新入学全日制专科学生补助”的政策和意义，做到家喻户晓，深入人心。</w:t>
      </w: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br w:type="page"/>
      </w:r>
    </w:p>
    <w:p>
      <w:pPr>
        <w:spacing w:line="600" w:lineRule="exact"/>
        <w:jc w:val="both"/>
        <w:outlineLvl w:val="0"/>
        <w:rPr>
          <w:rFonts w:hint="eastAsia" w:ascii="仿宋" w:hAnsi="仿宋" w:eastAsia="仿宋" w:cs="仿宋"/>
          <w:color w:val="auto"/>
          <w:sz w:val="32"/>
          <w:szCs w:val="32"/>
          <w:highlight w:val="none"/>
          <w:lang w:val="en-US" w:eastAsia="zh-CN"/>
        </w:rPr>
      </w:pPr>
      <w:bookmarkStart w:id="96" w:name="_Toc17167"/>
      <w:r>
        <w:rPr>
          <w:rFonts w:hint="eastAsia" w:ascii="仿宋" w:hAnsi="仿宋" w:eastAsia="仿宋" w:cs="仿宋"/>
          <w:color w:val="auto"/>
          <w:sz w:val="32"/>
          <w:szCs w:val="32"/>
          <w:highlight w:val="none"/>
          <w:lang w:val="en-US" w:eastAsia="zh-CN"/>
        </w:rPr>
        <w:t>附件3</w:t>
      </w:r>
      <w:bookmarkEnd w:id="96"/>
    </w:p>
    <w:p>
      <w:pPr>
        <w:pStyle w:val="5"/>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2"/>
        <w:rPr>
          <w:rFonts w:hint="eastAsia" w:ascii="方正小标宋简体" w:hAnsi="方正小标宋简体" w:eastAsia="方正小标宋简体" w:cs="方正小标宋简体"/>
          <w:b w:val="0"/>
          <w:bCs w:val="0"/>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val="0"/>
          <w:kern w:val="2"/>
          <w:sz w:val="44"/>
          <w:szCs w:val="44"/>
          <w:shd w:val="clear" w:color="auto" w:fill="FFFFFF"/>
          <w:lang w:val="en-US" w:eastAsia="zh-CN" w:bidi="ar-SA"/>
        </w:rPr>
        <w:t>2021年100万元以上（含）特定目标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2"/>
        <w:rPr>
          <w:rFonts w:hint="eastAsia" w:ascii="方正小标宋简体" w:hAnsi="方正小标宋简体" w:eastAsia="方正小标宋简体" w:cs="方正小标宋简体"/>
          <w:b w:val="0"/>
          <w:bCs w:val="0"/>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val="0"/>
          <w:kern w:val="2"/>
          <w:sz w:val="44"/>
          <w:szCs w:val="44"/>
          <w:shd w:val="clear" w:color="auto" w:fill="FFFFFF"/>
          <w:lang w:val="en-US" w:eastAsia="zh-CN" w:bidi="ar-SA"/>
        </w:rPr>
        <w:t>部门预算项目绩效目标自评（</w:t>
      </w:r>
      <w:r>
        <w:rPr>
          <w:rFonts w:hint="eastAsia" w:ascii="方正小标宋简体" w:hAnsi="方正小标宋简体" w:eastAsia="方正小标宋简体" w:cs="方正小标宋简体"/>
          <w:b w:val="0"/>
          <w:bCs w:val="0"/>
          <w:color w:val="000000"/>
          <w:sz w:val="44"/>
          <w:szCs w:val="44"/>
          <w:lang w:val="en-US" w:eastAsia="zh-CN"/>
        </w:rPr>
        <w:t>2021年区教育局小区配套幼儿园转普惠补助经费</w:t>
      </w:r>
      <w:r>
        <w:rPr>
          <w:rFonts w:hint="eastAsia" w:ascii="方正小标宋简体" w:hAnsi="方正小标宋简体" w:eastAsia="方正小标宋简体" w:cs="方正小标宋简体"/>
          <w:b w:val="0"/>
          <w:bCs w:val="0"/>
          <w:kern w:val="2"/>
          <w:sz w:val="44"/>
          <w:szCs w:val="44"/>
          <w:shd w:val="clear" w:color="auto" w:fill="FFFFFF"/>
          <w:lang w:val="en-US" w:eastAsia="zh-CN" w:bidi="ar-SA"/>
        </w:rPr>
        <w:t>）</w:t>
      </w:r>
    </w:p>
    <w:tbl>
      <w:tblPr>
        <w:tblStyle w:val="12"/>
        <w:tblpPr w:leftFromText="180" w:rightFromText="180" w:vertAnchor="text" w:horzAnchor="margin" w:tblpY="510"/>
        <w:tblOverlap w:val="never"/>
        <w:tblW w:w="5020" w:type="pct"/>
        <w:tblInd w:w="0" w:type="dxa"/>
        <w:tblLayout w:type="autofit"/>
        <w:tblCellMar>
          <w:top w:w="0" w:type="dxa"/>
          <w:left w:w="108" w:type="dxa"/>
          <w:bottom w:w="0" w:type="dxa"/>
          <w:right w:w="108" w:type="dxa"/>
        </w:tblCellMar>
      </w:tblPr>
      <w:tblGrid>
        <w:gridCol w:w="1273"/>
        <w:gridCol w:w="881"/>
        <w:gridCol w:w="1642"/>
        <w:gridCol w:w="2512"/>
        <w:gridCol w:w="1387"/>
        <w:gridCol w:w="1402"/>
      </w:tblGrid>
      <w:tr>
        <w:tblPrEx>
          <w:tblCellMar>
            <w:top w:w="0" w:type="dxa"/>
            <w:left w:w="108" w:type="dxa"/>
            <w:bottom w:w="0" w:type="dxa"/>
            <w:right w:w="108" w:type="dxa"/>
          </w:tblCellMar>
        </w:tblPrEx>
        <w:trPr>
          <w:trHeight w:val="537" w:hRule="atLeast"/>
        </w:trPr>
        <w:tc>
          <w:tcPr>
            <w:tcW w:w="11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主管部门及代码</w:t>
            </w:r>
          </w:p>
        </w:tc>
        <w:tc>
          <w:tcPr>
            <w:tcW w:w="22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广元市利州区教育局</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实施单位</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各学校</w:t>
            </w:r>
          </w:p>
        </w:tc>
      </w:tr>
      <w:tr>
        <w:tblPrEx>
          <w:tblCellMar>
            <w:top w:w="0" w:type="dxa"/>
            <w:left w:w="108" w:type="dxa"/>
            <w:bottom w:w="0" w:type="dxa"/>
            <w:right w:w="108" w:type="dxa"/>
          </w:tblCellMar>
        </w:tblPrEx>
        <w:trPr>
          <w:trHeight w:val="537" w:hRule="atLeast"/>
        </w:trPr>
        <w:tc>
          <w:tcPr>
            <w:tcW w:w="118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kern w:val="0"/>
                <w:sz w:val="21"/>
                <w:szCs w:val="21"/>
                <w:lang w:eastAsia="zh-CN" w:bidi="ar"/>
              </w:rPr>
            </w:pPr>
            <w:r>
              <w:rPr>
                <w:rFonts w:hint="eastAsia" w:asciiTheme="minorEastAsia" w:hAnsiTheme="minorEastAsia" w:eastAsiaTheme="minorEastAsia" w:cstheme="minorEastAsia"/>
                <w:color w:val="000000"/>
                <w:kern w:val="0"/>
                <w:sz w:val="21"/>
                <w:szCs w:val="21"/>
                <w:lang w:bidi="ar"/>
              </w:rPr>
              <w:t>项目预算</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kern w:val="0"/>
                <w:sz w:val="21"/>
                <w:szCs w:val="21"/>
                <w:lang w:eastAsia="zh-CN" w:bidi="ar"/>
              </w:rPr>
            </w:pPr>
            <w:r>
              <w:rPr>
                <w:rFonts w:hint="eastAsia" w:asciiTheme="minorEastAsia" w:hAnsiTheme="minorEastAsia" w:eastAsiaTheme="minorEastAsia" w:cstheme="minorEastAsia"/>
                <w:color w:val="000000"/>
                <w:kern w:val="0"/>
                <w:sz w:val="21"/>
                <w:szCs w:val="21"/>
                <w:lang w:bidi="ar"/>
              </w:rPr>
              <w:t>执行情况</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（万元）</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预算数：</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612.49</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执行数：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612.49</w:t>
            </w:r>
          </w:p>
        </w:tc>
      </w:tr>
      <w:tr>
        <w:tblPrEx>
          <w:tblCellMar>
            <w:top w:w="0" w:type="dxa"/>
            <w:left w:w="108" w:type="dxa"/>
            <w:bottom w:w="0" w:type="dxa"/>
            <w:right w:w="108" w:type="dxa"/>
          </w:tblCellMar>
        </w:tblPrEx>
        <w:trPr>
          <w:trHeight w:val="577" w:hRule="atLeast"/>
        </w:trPr>
        <w:tc>
          <w:tcPr>
            <w:tcW w:w="118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其中：</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财政拨款</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612.49</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其中：</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财政拨款</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612.49</w:t>
            </w:r>
          </w:p>
        </w:tc>
      </w:tr>
      <w:tr>
        <w:tblPrEx>
          <w:tblCellMar>
            <w:top w:w="0" w:type="dxa"/>
            <w:left w:w="108" w:type="dxa"/>
            <w:bottom w:w="0" w:type="dxa"/>
            <w:right w:w="108" w:type="dxa"/>
          </w:tblCellMar>
        </w:tblPrEx>
        <w:trPr>
          <w:trHeight w:val="537" w:hRule="atLeast"/>
        </w:trPr>
        <w:tc>
          <w:tcPr>
            <w:tcW w:w="118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其他资金</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其他资金</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CellMar>
            <w:top w:w="0" w:type="dxa"/>
            <w:left w:w="108" w:type="dxa"/>
            <w:bottom w:w="0" w:type="dxa"/>
            <w:right w:w="108" w:type="dxa"/>
          </w:tblCellMar>
        </w:tblPrEx>
        <w:trPr>
          <w:trHeight w:val="537" w:hRule="atLeast"/>
        </w:trPr>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年度总体目标完成情况</w:t>
            </w:r>
          </w:p>
        </w:tc>
        <w:tc>
          <w:tcPr>
            <w:tcW w:w="27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预期目标</w:t>
            </w:r>
          </w:p>
        </w:tc>
        <w:tc>
          <w:tcPr>
            <w:tcW w:w="15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目标实际完成情况</w:t>
            </w:r>
          </w:p>
        </w:tc>
      </w:tr>
      <w:tr>
        <w:tblPrEx>
          <w:tblCellMar>
            <w:top w:w="0" w:type="dxa"/>
            <w:left w:w="108" w:type="dxa"/>
            <w:bottom w:w="0" w:type="dxa"/>
            <w:right w:w="108" w:type="dxa"/>
          </w:tblCellMar>
        </w:tblPrEx>
        <w:trPr>
          <w:trHeight w:val="537" w:hRule="atLeast"/>
        </w:trPr>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27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top"/>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预期完成率100%</w:t>
            </w:r>
          </w:p>
        </w:tc>
        <w:tc>
          <w:tcPr>
            <w:tcW w:w="15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top"/>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实际完成率100%</w:t>
            </w:r>
          </w:p>
        </w:tc>
      </w:tr>
      <w:tr>
        <w:tblPrEx>
          <w:tblCellMar>
            <w:top w:w="0" w:type="dxa"/>
            <w:left w:w="108" w:type="dxa"/>
            <w:bottom w:w="0" w:type="dxa"/>
            <w:right w:w="108" w:type="dxa"/>
          </w:tblCellMar>
        </w:tblPrEx>
        <w:trPr>
          <w:trHeight w:val="577" w:hRule="atLeast"/>
        </w:trPr>
        <w:tc>
          <w:tcPr>
            <w:tcW w:w="70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年度绩效指标完成情况</w:t>
            </w:r>
          </w:p>
        </w:tc>
        <w:tc>
          <w:tcPr>
            <w:tcW w:w="4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一级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二级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三级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指标</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预期指标值</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实际完成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指标值</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完成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数量指标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受益学校数</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10所</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10所</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质量指标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受益学校覆盖面</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时效指标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资金及时到位</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11月</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11月</w:t>
            </w: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成本指标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五星幼儿园生均补助标准</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3800元/人年</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3800元/人年</w:t>
            </w: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kern w:val="0"/>
                <w:sz w:val="21"/>
                <w:szCs w:val="21"/>
                <w:lang w:eastAsia="zh-CN" w:bidi="ar"/>
              </w:rPr>
            </w:pPr>
            <w:r>
              <w:rPr>
                <w:rFonts w:hint="eastAsia" w:asciiTheme="minorEastAsia" w:hAnsiTheme="minorEastAsia" w:eastAsiaTheme="minorEastAsia" w:cstheme="minorEastAsia"/>
                <w:color w:val="000000"/>
                <w:kern w:val="0"/>
                <w:sz w:val="21"/>
                <w:szCs w:val="21"/>
                <w:lang w:bidi="ar"/>
              </w:rPr>
              <w:t>效益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可持续发展指标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解决学前教育入学难问题</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可持续影响指标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解决学前教育入学贵问题</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47" w:leftChars="-30" w:right="-63" w:rightChars="-30" w:hanging="210" w:hangingChars="100"/>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bidi="ar"/>
              </w:rPr>
              <w:t>社会</w:t>
            </w:r>
            <w:r>
              <w:rPr>
                <w:rFonts w:hint="eastAsia" w:asciiTheme="minorEastAsia" w:hAnsiTheme="minorEastAsia" w:eastAsiaTheme="minorEastAsia" w:cstheme="minorEastAsia"/>
                <w:color w:val="000000"/>
                <w:kern w:val="0"/>
                <w:sz w:val="21"/>
                <w:szCs w:val="21"/>
                <w:lang w:bidi="ar"/>
              </w:rPr>
              <w:t>效益指标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减轻幼儿家庭教育负担</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可持续影响指标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受助学校持续影响年限</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3年</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3年</w:t>
            </w:r>
          </w:p>
        </w:tc>
      </w:tr>
      <w:tr>
        <w:tblPrEx>
          <w:tblCellMar>
            <w:top w:w="0" w:type="dxa"/>
            <w:left w:w="108" w:type="dxa"/>
            <w:bottom w:w="0" w:type="dxa"/>
            <w:right w:w="108" w:type="dxa"/>
          </w:tblCellMar>
        </w:tblPrEx>
        <w:trPr>
          <w:trHeight w:val="600" w:hRule="atLeast"/>
        </w:trPr>
        <w:tc>
          <w:tcPr>
            <w:tcW w:w="700"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000000"/>
                <w:sz w:val="21"/>
                <w:szCs w:val="21"/>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kern w:val="0"/>
                <w:sz w:val="21"/>
                <w:szCs w:val="21"/>
                <w:lang w:eastAsia="zh-CN" w:bidi="ar"/>
              </w:rPr>
            </w:pPr>
            <w:r>
              <w:rPr>
                <w:rFonts w:hint="eastAsia" w:asciiTheme="minorEastAsia" w:hAnsiTheme="minorEastAsia" w:eastAsiaTheme="minorEastAsia" w:cstheme="minorEastAsia"/>
                <w:color w:val="000000"/>
                <w:kern w:val="0"/>
                <w:sz w:val="21"/>
                <w:szCs w:val="21"/>
                <w:lang w:bidi="ar"/>
              </w:rPr>
              <w:t>满意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度指标</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满意度指标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师生抽样满意度</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96</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96</w:t>
            </w:r>
          </w:p>
        </w:tc>
      </w:tr>
    </w:tbl>
    <w:p>
      <w:pPr>
        <w:spacing w:line="600" w:lineRule="exact"/>
        <w:jc w:val="left"/>
        <w:outlineLvl w:val="9"/>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97" w:name="_Toc2569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64"/>
      <w:bookmarkEnd w:id="80"/>
      <w:bookmarkEnd w:id="97"/>
      <w:bookmarkStart w:id="98" w:name="_Toc15396619"/>
    </w:p>
    <w:p>
      <w:pPr>
        <w:pStyle w:val="4"/>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 w:hAnsi="仿宋" w:eastAsia="仿宋"/>
          <w:b w:val="0"/>
          <w:color w:val="auto"/>
          <w:highlight w:val="none"/>
        </w:rPr>
      </w:pPr>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99" w:name="_Toc5019"/>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98"/>
      <w:bookmarkEnd w:id="99"/>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00" w:name="_Toc15396620"/>
      <w:bookmarkStart w:id="101" w:name="_Toc19794"/>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100"/>
      <w:bookmarkEnd w:id="101"/>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02" w:name="_Toc15396621"/>
      <w:bookmarkStart w:id="103" w:name="_Toc1814"/>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102"/>
      <w:bookmarkEnd w:id="103"/>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b w:val="0"/>
          <w:color w:val="auto"/>
          <w:highlight w:val="none"/>
        </w:rPr>
      </w:pPr>
      <w:bookmarkStart w:id="104" w:name="_Toc11652"/>
      <w:bookmarkStart w:id="105"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104"/>
      <w:bookmarkEnd w:id="105"/>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26"/>
          <w:rFonts w:ascii="仿宋" w:hAnsi="仿宋" w:eastAsia="仿宋"/>
          <w:b w:val="0"/>
          <w:bCs w:val="0"/>
          <w:color w:val="auto"/>
          <w:highlight w:val="none"/>
        </w:rPr>
      </w:pPr>
      <w:bookmarkStart w:id="106" w:name="_Toc26044"/>
      <w:bookmarkStart w:id="107"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106"/>
      <w:bookmarkEnd w:id="107"/>
      <w:bookmarkStart w:id="108" w:name="_Toc15396624"/>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09" w:name="_Toc1662"/>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108"/>
      <w:bookmarkEnd w:id="109"/>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10" w:name="_Toc15396625"/>
      <w:bookmarkStart w:id="111" w:name="_Toc9260"/>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110"/>
      <w:bookmarkEnd w:id="111"/>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12" w:name="_Toc15396626"/>
      <w:bookmarkStart w:id="113" w:name="_Toc30388"/>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112"/>
      <w:bookmarkEnd w:id="113"/>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14" w:name="_Toc14865"/>
      <w:bookmarkStart w:id="115"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114"/>
      <w:bookmarkEnd w:id="115"/>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16" w:name="_Toc17930"/>
      <w:bookmarkStart w:id="117"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116"/>
      <w:bookmarkEnd w:id="117"/>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18" w:name="_Toc15396629"/>
      <w:bookmarkStart w:id="119" w:name="_Toc19228"/>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118"/>
      <w:bookmarkEnd w:id="119"/>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20" w:name="_Toc32608"/>
      <w:bookmarkStart w:id="121"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120"/>
      <w:bookmarkEnd w:id="121"/>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26"/>
          <w:rFonts w:hint="eastAsia" w:ascii="仿宋" w:hAnsi="仿宋" w:eastAsia="仿宋"/>
          <w:b w:val="0"/>
          <w:bCs w:val="0"/>
          <w:color w:val="auto"/>
          <w:highlight w:val="none"/>
        </w:rPr>
      </w:pPr>
      <w:bookmarkStart w:id="122" w:name="_Toc7384"/>
      <w:bookmarkStart w:id="123"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122"/>
      <w:bookmarkEnd w:id="123"/>
    </w:p>
    <w:p>
      <w:pPr>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1"/>
        <w:rPr>
          <w:rFonts w:hint="eastAsia" w:eastAsia="仿宋"/>
          <w:color w:val="auto"/>
          <w:highlight w:val="none"/>
          <w:lang w:eastAsia="zh-CN"/>
        </w:rPr>
      </w:pPr>
      <w:bookmarkStart w:id="124" w:name="_Toc18325"/>
      <w:r>
        <w:rPr>
          <w:rStyle w:val="26"/>
          <w:rFonts w:hint="eastAsia" w:ascii="仿宋" w:hAnsi="仿宋" w:eastAsia="仿宋"/>
          <w:b w:val="0"/>
          <w:bCs w:val="0"/>
          <w:color w:val="auto"/>
          <w:highlight w:val="none"/>
          <w:lang w:eastAsia="zh-CN"/>
        </w:rPr>
        <w:t>十四、国有资本经营预算财政拨款支出决算表</w:t>
      </w:r>
      <w:bookmarkEnd w:id="124"/>
    </w:p>
    <w:sectPr>
      <w:headerReference r:id="rId3" w:type="default"/>
      <w:footerReference r:id="rId4"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2286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pPr>
                                <w:pStyle w:val="8"/>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sdtContent>
                        </w:sdt>
                        <w:p>
                          <w:pPr>
                            <w:pStyle w:val="5"/>
                            <w:rPr>
                              <w:rFonts w:hint="eastAsia" w:ascii="宋体" w:hAnsi="宋体" w:eastAsia="宋体" w:cs="宋体"/>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8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BVuB/9QAAAAEAQAADwAAAAAAAAABACAAAAA4AAAAZHJzL2Rvd25yZXYueG1s&#10;UEsBAhQAFAAAAAgAh07iQJMamhQfAgAAKAQAAA4AAAAAAAAAAQAgAAAAOQEAAGRycy9lMm9Eb2Mu&#10;eG1sUEsFBgAAAAAGAAYAWQEAAMoFAAAAAA==&#10;">
              <v:fill on="f" focussize="0,0"/>
              <v:stroke on="f" weight="0.5pt"/>
              <v:imagedata o:title=""/>
              <o:lock v:ext="edit" aspectratio="f"/>
              <v:textbox inset="0mm,0mm,0mm,0mm">
                <w:txbxContent>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pPr>
                          <w:pStyle w:val="8"/>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sdtContent>
                  </w:sdt>
                  <w:p>
                    <w:pPr>
                      <w:pStyle w:val="5"/>
                      <w:rPr>
                        <w:rFonts w:hint="eastAsia" w:ascii="宋体" w:hAnsi="宋体" w:eastAsia="宋体" w:cs="宋体"/>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CC46C"/>
    <w:multiLevelType w:val="singleLevel"/>
    <w:tmpl w:val="94DCC46C"/>
    <w:lvl w:ilvl="0" w:tentative="0">
      <w:start w:val="1"/>
      <w:numFmt w:val="chineseCounting"/>
      <w:suff w:val="nothing"/>
      <w:lvlText w:val="（%1）"/>
      <w:lvlJc w:val="left"/>
      <w:pPr>
        <w:ind w:left="410"/>
      </w:pPr>
      <w:rPr>
        <w:rFonts w:hint="eastAsia"/>
      </w:rPr>
    </w:lvl>
  </w:abstractNum>
  <w:abstractNum w:abstractNumId="1">
    <w:nsid w:val="A6511799"/>
    <w:multiLevelType w:val="singleLevel"/>
    <w:tmpl w:val="A6511799"/>
    <w:lvl w:ilvl="0" w:tentative="0">
      <w:start w:val="1"/>
      <w:numFmt w:val="chineseCounting"/>
      <w:suff w:val="nothing"/>
      <w:lvlText w:val="%1、"/>
      <w:lvlJc w:val="left"/>
      <w:pPr>
        <w:ind w:left="200"/>
      </w:pPr>
      <w:rPr>
        <w:rFonts w:hint="eastAsia"/>
      </w:rPr>
    </w:lvl>
  </w:abstractNum>
  <w:abstractNum w:abstractNumId="2">
    <w:nsid w:val="AA2857C2"/>
    <w:multiLevelType w:val="singleLevel"/>
    <w:tmpl w:val="AA2857C2"/>
    <w:lvl w:ilvl="0" w:tentative="0">
      <w:start w:val="3"/>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12DE16D"/>
    <w:multiLevelType w:val="singleLevel"/>
    <w:tmpl w:val="E12DE16D"/>
    <w:lvl w:ilvl="0" w:tentative="0">
      <w:start w:val="1"/>
      <w:numFmt w:val="decimal"/>
      <w:suff w:val="nothing"/>
      <w:lvlText w:val="（%1）"/>
      <w:lvlJc w:val="left"/>
    </w:lvl>
  </w:abstractNum>
  <w:abstractNum w:abstractNumId="5">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6">
    <w:nsid w:val="FB69AC9B"/>
    <w:multiLevelType w:val="singleLevel"/>
    <w:tmpl w:val="FB69AC9B"/>
    <w:lvl w:ilvl="0" w:tentative="0">
      <w:start w:val="2"/>
      <w:numFmt w:val="decimal"/>
      <w:suff w:val="nothing"/>
      <w:lvlText w:val="%1．"/>
      <w:lvlJc w:val="left"/>
    </w:lvl>
  </w:abstractNum>
  <w:abstractNum w:abstractNumId="7">
    <w:nsid w:val="68EF85FF"/>
    <w:multiLevelType w:val="singleLevel"/>
    <w:tmpl w:val="68EF85FF"/>
    <w:lvl w:ilvl="0" w:tentative="0">
      <w:start w:val="1"/>
      <w:numFmt w:val="chineseCounting"/>
      <w:suff w:val="nothing"/>
      <w:lvlText w:val="%1、"/>
      <w:lvlJc w:val="left"/>
      <w:pPr>
        <w:ind w:left="200"/>
      </w:pPr>
      <w:rPr>
        <w:rFonts w:hint="eastAsia"/>
      </w:rPr>
    </w:lvl>
  </w:abstractNum>
  <w:num w:numId="1">
    <w:abstractNumId w:val="3"/>
  </w:num>
  <w:num w:numId="2">
    <w:abstractNumId w:val="5"/>
  </w:num>
  <w:num w:numId="3">
    <w:abstractNumId w:val="7"/>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DAyMDQ2YjhlZjY1MzI5ZWZiZmVkODE3MGY1Y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E34BC"/>
    <w:rsid w:val="03AC55EF"/>
    <w:rsid w:val="061D6D0E"/>
    <w:rsid w:val="0A2032A3"/>
    <w:rsid w:val="0A393F15"/>
    <w:rsid w:val="0B8A37D8"/>
    <w:rsid w:val="0C6904DC"/>
    <w:rsid w:val="10C055FF"/>
    <w:rsid w:val="118107EC"/>
    <w:rsid w:val="11DD6519"/>
    <w:rsid w:val="14C96399"/>
    <w:rsid w:val="16BB723D"/>
    <w:rsid w:val="171419D3"/>
    <w:rsid w:val="17C05B4C"/>
    <w:rsid w:val="18015F3F"/>
    <w:rsid w:val="1B041CD2"/>
    <w:rsid w:val="1B425A0E"/>
    <w:rsid w:val="1BE8440E"/>
    <w:rsid w:val="1D155CEE"/>
    <w:rsid w:val="1E2B14E5"/>
    <w:rsid w:val="20137D18"/>
    <w:rsid w:val="20F57F95"/>
    <w:rsid w:val="21A60C8E"/>
    <w:rsid w:val="21BD0168"/>
    <w:rsid w:val="22D507CE"/>
    <w:rsid w:val="240371BF"/>
    <w:rsid w:val="25C741E6"/>
    <w:rsid w:val="27842671"/>
    <w:rsid w:val="27DD7DE7"/>
    <w:rsid w:val="28724840"/>
    <w:rsid w:val="29FD04D3"/>
    <w:rsid w:val="2A8F792B"/>
    <w:rsid w:val="2AB04F8A"/>
    <w:rsid w:val="2ABE7A3E"/>
    <w:rsid w:val="2C33078A"/>
    <w:rsid w:val="2C89076E"/>
    <w:rsid w:val="2D28762E"/>
    <w:rsid w:val="2EFA178C"/>
    <w:rsid w:val="30B46D73"/>
    <w:rsid w:val="319F7F4E"/>
    <w:rsid w:val="3466001A"/>
    <w:rsid w:val="351367B3"/>
    <w:rsid w:val="39AE70AB"/>
    <w:rsid w:val="39E60773"/>
    <w:rsid w:val="3AB0486E"/>
    <w:rsid w:val="3C0C0783"/>
    <w:rsid w:val="3E6A2D2C"/>
    <w:rsid w:val="3F9F3A96"/>
    <w:rsid w:val="420B38E3"/>
    <w:rsid w:val="45353093"/>
    <w:rsid w:val="47C71016"/>
    <w:rsid w:val="493C27E9"/>
    <w:rsid w:val="496F39ED"/>
    <w:rsid w:val="49FF41D3"/>
    <w:rsid w:val="4BE068DB"/>
    <w:rsid w:val="4BF6002B"/>
    <w:rsid w:val="4D3E7CBD"/>
    <w:rsid w:val="4E8C4626"/>
    <w:rsid w:val="4E9E13F5"/>
    <w:rsid w:val="4ECE2238"/>
    <w:rsid w:val="4EDD5E1C"/>
    <w:rsid w:val="4F686676"/>
    <w:rsid w:val="517C7493"/>
    <w:rsid w:val="51B356E0"/>
    <w:rsid w:val="51DB4B86"/>
    <w:rsid w:val="54122FDB"/>
    <w:rsid w:val="55333C3E"/>
    <w:rsid w:val="56FB4F43"/>
    <w:rsid w:val="57390294"/>
    <w:rsid w:val="57EB3E30"/>
    <w:rsid w:val="5850359A"/>
    <w:rsid w:val="595E20F3"/>
    <w:rsid w:val="59A9272A"/>
    <w:rsid w:val="60B56544"/>
    <w:rsid w:val="639E6324"/>
    <w:rsid w:val="647A4C53"/>
    <w:rsid w:val="64CA39A1"/>
    <w:rsid w:val="64E16127"/>
    <w:rsid w:val="6A1C2E07"/>
    <w:rsid w:val="6A2565B6"/>
    <w:rsid w:val="6AB41C2B"/>
    <w:rsid w:val="6C4A05C8"/>
    <w:rsid w:val="6E005A16"/>
    <w:rsid w:val="6F871F4B"/>
    <w:rsid w:val="71926B20"/>
    <w:rsid w:val="72734D90"/>
    <w:rsid w:val="737D6457"/>
    <w:rsid w:val="773C72BE"/>
    <w:rsid w:val="79E7B28D"/>
    <w:rsid w:val="7BD227A0"/>
    <w:rsid w:val="7F392B36"/>
    <w:rsid w:val="7F9F20EE"/>
    <w:rsid w:val="7FAA0336"/>
    <w:rsid w:val="9E3A10E2"/>
    <w:rsid w:val="F2E1F9D4"/>
    <w:rsid w:val="F6FE95C6"/>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2"/>
          <c:order val="2"/>
          <c:tx>
            <c:strRef>
              <c:f>Sheet1!$B$1</c:f>
              <c:strCache>
                <c:ptCount val="1"/>
                <c:pt idx="0">
                  <c:v>收、支决算总计（万元）</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2020年</c:v>
                </c:pt>
                <c:pt idx="1">
                  <c:v>2021年</c:v>
                </c:pt>
              </c:strCache>
            </c:strRef>
          </c:cat>
          <c:val>
            <c:numRef>
              <c:f>Sheet1!$B$2:$B$3</c:f>
              <c:numCache>
                <c:formatCode>General</c:formatCode>
                <c:ptCount val="2"/>
                <c:pt idx="0">
                  <c:v>15623.77</c:v>
                </c:pt>
                <c:pt idx="1">
                  <c:v>10105.57</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561414392059553"/>
          <c:y val="0.062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noFill/>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0"/>
              <c:layout>
                <c:manualLayout>
                  <c:x val="-0.0441459184332534"/>
                  <c:y val="-0.1331269349845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329280038526366"/>
                      <c:h val="0.160990712074303"/>
                    </c:manualLayout>
                  </c15:layout>
                </c:ext>
              </c:extLst>
            </c:dLbl>
            <c:dLbl>
              <c:idx val="1"/>
              <c:delete val="true"/>
            </c:dLbl>
            <c:dLbl>
              <c:idx val="2"/>
              <c:delete val="true"/>
            </c:dLbl>
            <c:dLbl>
              <c:idx val="3"/>
              <c:delete val="true"/>
            </c:dLbl>
            <c:dLbl>
              <c:idx val="4"/>
              <c:delete val="true"/>
            </c:dLbl>
            <c:dLbl>
              <c:idx val="5"/>
              <c:delete val="true"/>
            </c:dLbl>
            <c:dLbl>
              <c:idx val="6"/>
              <c:layout>
                <c:manualLayout>
                  <c:x val="-0.150802964308168"/>
                  <c:y val="0.0056057763977109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69323380688659"/>
                      <c:h val="0.11186790505676"/>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3329.86</c:v>
                </c:pt>
                <c:pt idx="1">
                  <c:v>0</c:v>
                </c:pt>
                <c:pt idx="2">
                  <c:v>0</c:v>
                </c:pt>
                <c:pt idx="3">
                  <c:v>0</c:v>
                </c:pt>
                <c:pt idx="4">
                  <c:v>0</c:v>
                </c:pt>
                <c:pt idx="5">
                  <c:v>0</c:v>
                </c:pt>
                <c:pt idx="6">
                  <c:v>112.14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850533087503594"/>
                  <c:y val="0.187865008357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23913896462115"/>
                  <c:y val="-0.220667769897919"/>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delete val="true"/>
            </c:dLbl>
            <c:dLbl>
              <c:idx val="3"/>
              <c:delete val="true"/>
            </c:dLbl>
            <c:dLbl>
              <c:idx val="4"/>
              <c:delete val="true"/>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1183.52</c:v>
                </c:pt>
                <c:pt idx="1">
                  <c:v>5411.15</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2"/>
          <c:order val="2"/>
          <c:tx>
            <c:strRef>
              <c:f>Sheet1!$B$1</c:f>
              <c:strCache>
                <c:ptCount val="1"/>
                <c:pt idx="0">
                  <c:v>财政拨款收、支决算总计（万元）</c:v>
                </c:pt>
              </c:strCache>
            </c:strRef>
          </c:tx>
          <c:spPr>
            <a:solidFill>
              <a:schemeClr val="accent2">
                <a:lumMod val="40000"/>
                <a:lumOff val="60000"/>
              </a:schemeClr>
            </a:solidFill>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2020年</c:v>
                </c:pt>
                <c:pt idx="1">
                  <c:v>2021年</c:v>
                </c:pt>
              </c:strCache>
            </c:strRef>
          </c:cat>
          <c:val>
            <c:numRef>
              <c:f>Sheet1!$B$2:$B$3</c:f>
              <c:numCache>
                <c:formatCode>General</c:formatCode>
                <c:ptCount val="2"/>
                <c:pt idx="0">
                  <c:v>15623.35</c:v>
                </c:pt>
                <c:pt idx="1">
                  <c:v>9993.44</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79595742136108"/>
          <c:y val="0.0576781778104335"/>
          <c:w val="0.391101542877646"/>
          <c:h val="0.22446730345334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2"/>
          <c:order val="2"/>
          <c:tx>
            <c:strRef>
              <c:f>Sheet1!$B$1</c:f>
              <c:strCache>
                <c:ptCount val="1"/>
                <c:pt idx="0">
                  <c:v>一般公共预算财政拨款支出（万元）</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2020年</c:v>
                </c:pt>
                <c:pt idx="1">
                  <c:v>2021年</c:v>
                </c:pt>
              </c:strCache>
            </c:strRef>
          </c:cat>
          <c:val>
            <c:numRef>
              <c:f>Sheet1!$B$2:$B$3</c:f>
              <c:numCache>
                <c:formatCode>General</c:formatCode>
                <c:ptCount val="2"/>
                <c:pt idx="0">
                  <c:v>8760.43</c:v>
                </c:pt>
                <c:pt idx="1">
                  <c:v>6482.53</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59622054778137"/>
          <c:y val="0.0165319617927994"/>
          <c:w val="0.41430450903002"/>
          <c:h val="0.22446730345334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Lbls>
            <c:dLbl>
              <c:idx val="0"/>
              <c:layout>
                <c:manualLayout>
                  <c:x val="-0.00415685620961155"/>
                  <c:y val="-0.26080386823813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89776407300892"/>
                  <c:y val="0"/>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92066155321189"/>
                      <c:h val="0.238742822605017"/>
                    </c:manualLayout>
                  </c15:layout>
                </c:ext>
              </c:extLst>
            </c:dLbl>
            <c:dLbl>
              <c:idx val="2"/>
              <c:layout>
                <c:manualLayout>
                  <c:x val="0.222830440741944"/>
                  <c:y val="0"/>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卫生健康支出, 39</a:t>
                    </a:r>
                    <a:r>
                      <a:rPr lang="en-US" altLang="zh-CN"/>
                      <a:t>.</a:t>
                    </a:r>
                    <a:r>
                      <a:t>15</a:t>
                    </a:r>
                    <a:r>
                      <a:rPr lang="en-US" altLang="zh-CN"/>
                      <a:t>,</a:t>
                    </a:r>
                    <a:r>
                      <a:t>0</a:t>
                    </a:r>
                    <a:r>
                      <a:rPr lang="en-US" altLang="zh-CN"/>
                      <a:t>.6</a:t>
                    </a:r>
                    <a:r>
                      <a:t>0%</a:t>
                    </a:r>
                  </a:p>
                </c:rich>
              </c:tx>
              <c:dLblPos val="bestFit"/>
              <c:showLegendKey val="false"/>
              <c:showVal val="true"/>
              <c:showCatName val="true"/>
              <c:showSerName val="false"/>
              <c:showPercent val="false"/>
              <c:showBubbleSize val="false"/>
              <c:extLst>
                <c:ext xmlns:c15="http://schemas.microsoft.com/office/drawing/2012/chart" uri="{CE6537A1-D6FC-4f65-9D91-7224C49458BB}">
                  <c15:layout>
                    <c:manualLayout>
                      <c:w val="0.350910834132311"/>
                      <c:h val="0.119975823511635"/>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6339.1</c:v>
                </c:pt>
                <c:pt idx="1">
                  <c:v>104.3</c:v>
                </c:pt>
                <c:pt idx="2">
                  <c:v>39.15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false"/>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360450563204004"/>
                  <c:y val="0.097590361445783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23746</Words>
  <Characters>25461</Characters>
  <Lines>61</Lines>
  <Paragraphs>17</Paragraphs>
  <TotalTime>15</TotalTime>
  <ScaleCrop>false</ScaleCrop>
  <LinksUpToDate>false</LinksUpToDate>
  <CharactersWithSpaces>25588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2022-08-06T10:23:00Z</cp:lastPrinted>
  <dcterms:modified xsi:type="dcterms:W3CDTF">2023-09-23T16:14:13Z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55D1BFA2631347558348437CB6302DC4</vt:lpwstr>
  </property>
</Properties>
</file>