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9"/>
      <w:bookmarkStart w:id="1" w:name="_Toc15377196"/>
    </w:p>
    <w:p>
      <w:pPr>
        <w:pStyle w:val="2"/>
        <w:spacing w:before="93"/>
        <w:rPr>
          <w:rFonts w:ascii="方正小标宋简体" w:hAnsi="宋体" w:eastAsia="方正小标宋简体"/>
          <w:sz w:val="72"/>
          <w:szCs w:val="72"/>
        </w:rPr>
      </w:pPr>
    </w:p>
    <w:p>
      <w:pPr>
        <w:pStyle w:val="2"/>
        <w:spacing w:before="93"/>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6"/>
          <w:szCs w:val="56"/>
        </w:rPr>
      </w:pPr>
      <w:bookmarkStart w:id="2" w:name="_Toc15396597"/>
      <w:bookmarkStart w:id="3" w:name="_Toc15377425"/>
      <w:bookmarkStart w:id="4" w:name="_Toc15377193"/>
      <w:bookmarkStart w:id="5" w:name="_Toc15378441"/>
      <w:bookmarkStart w:id="6" w:name="_Toc15396475"/>
      <w:r>
        <w:rPr>
          <w:rFonts w:hint="eastAsia" w:ascii="方正小标宋简体" w:hAnsi="方正小标宋简体" w:eastAsia="方正小标宋简体" w:cs="方正小标宋简体"/>
          <w:sz w:val="56"/>
          <w:szCs w:val="56"/>
        </w:rPr>
        <w:t>2021年度</w:t>
      </w:r>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四川省广元市利州区宝轮第四小学</w:t>
      </w:r>
    </w:p>
    <w:p>
      <w:pPr>
        <w:adjustRightInd w:val="0"/>
        <w:snapToGrid w:val="0"/>
        <w:spacing w:line="360" w:lineRule="auto"/>
        <w:jc w:val="center"/>
        <w:outlineLvl w:val="0"/>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单位决算</w:t>
      </w:r>
    </w:p>
    <w:p>
      <w:pPr>
        <w:rPr>
          <w:rFonts w:ascii="仿宋" w:hAnsi="仿宋" w:eastAsia="仿宋"/>
          <w:b/>
          <w:sz w:val="24"/>
        </w:rPr>
      </w:pPr>
      <w:r>
        <w:rPr>
          <w:rFonts w:ascii="仿宋" w:hAnsi="仿宋" w:eastAsia="仿宋"/>
          <w:b/>
          <w:sz w:val="24"/>
        </w:rPr>
        <w:br w:type="page"/>
      </w:r>
    </w:p>
    <w:sdt>
      <w:sdtPr>
        <w:rPr>
          <w:rFonts w:ascii="宋体" w:hAnsi="宋体"/>
        </w:rPr>
        <w:id w:val="147467499"/>
        <w15:color w:val="DBDBDB"/>
        <w:docPartObj>
          <w:docPartGallery w:val="Table of Contents"/>
          <w:docPartUnique/>
        </w:docPartObj>
      </w:sdtPr>
      <w:sdtEndPr>
        <w:rPr>
          <w:rFonts w:ascii="宋体" w:hAnsi="宋体"/>
          <w:b/>
        </w:rPr>
      </w:sdtEndPr>
      <w:sdtContent>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Style w:val="10"/>
          </w:pPr>
          <w:r>
            <w:rPr>
              <w:rFonts w:hint="eastAsia"/>
            </w:rPr>
            <w:t>公开时间：2022年9月 29日</w:t>
          </w:r>
        </w:p>
        <w:p>
          <w:pPr>
            <w:pStyle w:val="33"/>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TOC \o "1-2" \h \u </w:instrText>
          </w:r>
          <w:r>
            <w:fldChar w:fldCharType="separate"/>
          </w:r>
          <w:r>
            <w:fldChar w:fldCharType="begin"/>
          </w:r>
          <w:r>
            <w:instrText xml:space="preserve"> HYPERLINK \l "_Toc10883" </w:instrText>
          </w:r>
          <w:r>
            <w:fldChar w:fldCharType="separate"/>
          </w:r>
          <w:r>
            <w:rPr>
              <w:rFonts w:hint="eastAsia" w:ascii="黑体" w:hAnsi="黑体" w:eastAsia="黑体" w:cs="黑体"/>
              <w:bCs/>
              <w:sz w:val="32"/>
              <w:szCs w:val="32"/>
            </w:rPr>
            <w:t>第一部分 单位概况</w:t>
          </w:r>
          <w:r>
            <w:rPr>
              <w:rFonts w:hint="eastAsia" w:ascii="黑体" w:hAnsi="黑体" w:eastAsia="黑体" w:cs="黑体"/>
              <w:bCs/>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"_Toc25654" </w:instrText>
          </w:r>
          <w:r>
            <w:fldChar w:fldCharType="separate"/>
          </w:r>
          <w:r>
            <w:rPr>
              <w:rFonts w:hint="eastAsia" w:ascii="仿宋" w:hAnsi="仿宋" w:eastAsia="仿宋" w:cs="仿宋"/>
              <w:sz w:val="32"/>
              <w:szCs w:val="32"/>
            </w:rPr>
            <w:t>一、职能简介</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"_Toc16074" </w:instrText>
          </w:r>
          <w: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fldChar w:fldCharType="end"/>
          </w:r>
        </w:p>
        <w:p>
          <w:pPr>
            <w:pStyle w:val="5"/>
            <w:snapToGrid w:val="0"/>
            <w:spacing w:before="0" w:after="0" w:line="560" w:lineRule="exact"/>
            <w:ind w:firstLine="320" w:firstLineChars="100"/>
            <w:rPr>
              <w:rFonts w:ascii="仿宋" w:hAnsi="仿宋" w:eastAsia="仿宋" w:cs="仿宋"/>
            </w:rPr>
          </w:pPr>
          <w:r>
            <w:rPr>
              <w:rFonts w:hint="eastAsia" w:ascii="仿宋" w:hAnsi="仿宋" w:eastAsia="仿宋" w:cs="仿宋"/>
              <w:b w:val="0"/>
              <w:bCs w:val="0"/>
            </w:rPr>
            <w:t>三、</w:t>
          </w:r>
          <w:bookmarkStart w:id="7" w:name="_Hlk146102096"/>
          <w:r>
            <w:rPr>
              <w:rFonts w:hint="eastAsia" w:ascii="仿宋" w:hAnsi="仿宋" w:eastAsia="仿宋" w:cs="仿宋"/>
              <w:b w:val="0"/>
              <w:bCs w:val="0"/>
            </w:rPr>
            <w:t>2021年重点工作完成情况</w:t>
          </w:r>
          <w:bookmarkEnd w:id="7"/>
        </w:p>
        <w:p>
          <w:pPr>
            <w:pStyle w:val="33"/>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"_Toc9138" </w:instrText>
          </w:r>
          <w:r>
            <w:fldChar w:fldCharType="separate"/>
          </w:r>
          <w:r>
            <w:rPr>
              <w:rFonts w:hint="eastAsia" w:ascii="黑体" w:hAnsi="黑体" w:eastAsia="黑体" w:cs="黑体"/>
              <w:bCs/>
              <w:sz w:val="32"/>
              <w:szCs w:val="32"/>
            </w:rPr>
            <w:t>第二部分 2021年度单位决算情况说明</w:t>
          </w:r>
          <w:r>
            <w:rPr>
              <w:rFonts w:hint="eastAsia" w:ascii="黑体" w:hAnsi="黑体" w:eastAsia="黑体" w:cs="黑体"/>
              <w:bCs/>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"_Toc13314" </w:instrText>
          </w:r>
          <w:r>
            <w:fldChar w:fldCharType="separate"/>
          </w:r>
          <w:r>
            <w:rPr>
              <w:rFonts w:hint="eastAsia" w:ascii="仿宋" w:hAnsi="仿宋" w:eastAsia="仿宋" w:cs="仿宋"/>
              <w:sz w:val="32"/>
              <w:szCs w:val="32"/>
            </w:rPr>
            <w:t>一、收入支出决算总体情况说明</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"_Toc12072" </w:instrText>
          </w:r>
          <w:r>
            <w:fldChar w:fldCharType="separate"/>
          </w:r>
          <w:r>
            <w:rPr>
              <w:rFonts w:hint="eastAsia" w:ascii="仿宋" w:hAnsi="仿宋" w:eastAsia="仿宋" w:cs="仿宋"/>
              <w:sz w:val="32"/>
              <w:szCs w:val="32"/>
            </w:rPr>
            <w:t>二、收入决算情况说明</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"_Toc15842" </w:instrText>
          </w:r>
          <w:r>
            <w:fldChar w:fldCharType="separate"/>
          </w:r>
          <w:r>
            <w:rPr>
              <w:rFonts w:hint="eastAsia" w:ascii="仿宋" w:hAnsi="仿宋" w:eastAsia="仿宋" w:cs="仿宋"/>
              <w:sz w:val="32"/>
              <w:szCs w:val="32"/>
            </w:rPr>
            <w:t>三、支出决算情况说明</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"_Toc17374" </w:instrText>
          </w:r>
          <w:r>
            <w:fldChar w:fldCharType="separate"/>
          </w:r>
          <w:r>
            <w:rPr>
              <w:rFonts w:hint="eastAsia" w:ascii="仿宋" w:hAnsi="仿宋" w:eastAsia="仿宋" w:cs="仿宋"/>
              <w:sz w:val="32"/>
              <w:szCs w:val="32"/>
            </w:rPr>
            <w:t>四、财政拨款收入支出决算总体情况说明</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"_Toc17246" </w:instrText>
          </w:r>
          <w:r>
            <w:fldChar w:fldCharType="separate"/>
          </w: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"_Toc22707" </w:instrText>
          </w:r>
          <w:r>
            <w:fldChar w:fldCharType="separate"/>
          </w: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bookmarkStart w:id="8" w:name="_Hlk146101793"/>
          <w:r>
            <w:fldChar w:fldCharType="begin"/>
          </w:r>
          <w:r>
            <w:instrText xml:space="preserve">HYPERLINK \l "_Toc17578"</w:instrText>
          </w:r>
          <w:r>
            <w:fldChar w:fldCharType="separate"/>
          </w:r>
          <w:r>
            <w:rPr>
              <w:rFonts w:hint="eastAsia" w:ascii="仿宋" w:hAnsi="仿宋" w:eastAsia="仿宋" w:cs="仿宋"/>
              <w:sz w:val="32"/>
              <w:szCs w:val="32"/>
            </w:rPr>
            <w:t>七、“三公”经费财政拨款支出决算情况说明</w:t>
          </w:r>
          <w:r>
            <w:rPr>
              <w:rFonts w:ascii="仿宋" w:hAnsi="仿宋" w:eastAsia="仿宋" w:cs="仿宋"/>
              <w:sz w:val="32"/>
              <w:szCs w:val="32"/>
            </w:rPr>
            <w:fldChar w:fldCharType="end"/>
          </w:r>
        </w:p>
        <w:bookmarkEnd w:id="8"/>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HYPERLINK \l "_Toc21094"</w:instrText>
          </w:r>
          <w:r>
            <w:fldChar w:fldCharType="separate"/>
          </w:r>
          <w:r>
            <w:rPr>
              <w:rFonts w:hint="eastAsia" w:ascii="仿宋" w:hAnsi="仿宋" w:eastAsia="仿宋" w:cs="仿宋"/>
              <w:sz w:val="32"/>
              <w:szCs w:val="32"/>
            </w:rPr>
            <w:t>八、政府性基金预算支出决算情况说明</w:t>
          </w:r>
          <w:r>
            <w:rPr>
              <w:rFonts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"_Toc4469" </w:instrText>
          </w:r>
          <w:r>
            <w:fldChar w:fldCharType="separate"/>
          </w:r>
          <w:r>
            <w:rPr>
              <w:rFonts w:hint="eastAsia" w:ascii="仿宋" w:hAnsi="仿宋" w:eastAsia="仿宋" w:cs="仿宋"/>
              <w:sz w:val="32"/>
              <w:szCs w:val="32"/>
            </w:rPr>
            <w:t>九、 国有资本经营预算支出决算情况说明</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"_Toc10003" </w:instrText>
          </w:r>
          <w:r>
            <w:fldChar w:fldCharType="separate"/>
          </w:r>
          <w:r>
            <w:rPr>
              <w:rFonts w:hint="eastAsia" w:ascii="仿宋" w:hAnsi="仿宋" w:eastAsia="仿宋" w:cs="仿宋"/>
              <w:sz w:val="32"/>
              <w:szCs w:val="32"/>
            </w:rPr>
            <w:t>十、 其他重要事项的情况说明</w:t>
          </w:r>
          <w:r>
            <w:rPr>
              <w:rFonts w:hint="eastAsia" w:ascii="仿宋" w:hAnsi="仿宋" w:eastAsia="仿宋" w:cs="仿宋"/>
              <w:sz w:val="32"/>
              <w:szCs w:val="32"/>
            </w:rPr>
            <w:fldChar w:fldCharType="end"/>
          </w:r>
        </w:p>
        <w:p>
          <w:pPr>
            <w:pStyle w:val="33"/>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"_Toc32389" </w:instrText>
          </w:r>
          <w:r>
            <w:fldChar w:fldCharType="separate"/>
          </w:r>
          <w:r>
            <w:rPr>
              <w:rFonts w:hint="eastAsia" w:ascii="黑体" w:hAnsi="黑体" w:eastAsia="黑体" w:cs="黑体"/>
              <w:bCs/>
              <w:sz w:val="32"/>
              <w:szCs w:val="32"/>
            </w:rPr>
            <w:t>第三部分 名词解释</w:t>
          </w:r>
          <w:r>
            <w:rPr>
              <w:rFonts w:hint="eastAsia" w:ascii="黑体" w:hAnsi="黑体" w:eastAsia="黑体" w:cs="黑体"/>
              <w:bCs/>
              <w:sz w:val="32"/>
              <w:szCs w:val="32"/>
            </w:rPr>
            <w:fldChar w:fldCharType="end"/>
          </w:r>
        </w:p>
        <w:p>
          <w:pPr>
            <w:pStyle w:val="33"/>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"_Toc24843" </w:instrText>
          </w:r>
          <w:r>
            <w:fldChar w:fldCharType="separate"/>
          </w:r>
          <w:r>
            <w:rPr>
              <w:rFonts w:hint="eastAsia" w:ascii="黑体" w:hAnsi="黑体" w:eastAsia="黑体" w:cs="黑体"/>
              <w:bCs/>
              <w:sz w:val="32"/>
              <w:szCs w:val="32"/>
            </w:rPr>
            <w:t>第四部分 附件</w:t>
          </w:r>
          <w:r>
            <w:rPr>
              <w:rFonts w:hint="eastAsia" w:ascii="黑体" w:hAnsi="黑体" w:eastAsia="黑体" w:cs="黑体"/>
              <w:bCs/>
              <w:sz w:val="32"/>
              <w:szCs w:val="32"/>
            </w:rPr>
            <w:fldChar w:fldCharType="end"/>
          </w:r>
        </w:p>
        <w:p>
          <w:pPr>
            <w:pStyle w:val="34"/>
            <w:widowControl w:val="0"/>
            <w:tabs>
              <w:tab w:val="right" w:leader="dot" w:pos="8845"/>
            </w:tabs>
            <w:snapToGrid w:val="0"/>
            <w:spacing w:line="540" w:lineRule="exact"/>
            <w:ind w:left="199" w:leftChars="95" w:firstLine="100" w:firstLineChars="50"/>
            <w:rPr>
              <w:rFonts w:ascii="仿宋" w:hAnsi="仿宋" w:eastAsia="仿宋" w:cs="仿宋"/>
              <w:sz w:val="32"/>
              <w:szCs w:val="32"/>
            </w:rPr>
          </w:pPr>
          <w:r>
            <w:fldChar w:fldCharType="begin"/>
          </w:r>
          <w:r>
            <w:instrText xml:space="preserve"> HYPERLINK \l "_Toc23859" </w:instrText>
          </w:r>
          <w:r>
            <w:fldChar w:fldCharType="separate"/>
          </w:r>
          <w:r>
            <w:rPr>
              <w:rFonts w:hint="eastAsia" w:ascii="仿宋" w:hAnsi="仿宋" w:eastAsia="仿宋" w:cs="仿宋"/>
              <w:b/>
              <w:bCs/>
              <w:sz w:val="32"/>
              <w:szCs w:val="32"/>
            </w:rPr>
            <w:t>一、2021年部门整体支出绩效评价报告</w:t>
          </w:r>
          <w:r>
            <w:rPr>
              <w:rFonts w:hint="eastAsia" w:ascii="仿宋" w:hAnsi="仿宋" w:eastAsia="仿宋" w:cs="仿宋"/>
              <w:b/>
              <w:bCs/>
              <w:sz w:val="32"/>
              <w:szCs w:val="32"/>
            </w:rPr>
            <w:fldChar w:fldCharType="end"/>
          </w:r>
        </w:p>
        <w:p>
          <w:pPr>
            <w:pStyle w:val="32"/>
            <w:autoSpaceDE w:val="0"/>
            <w:spacing w:before="156" w:beforeLines="50"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_Toc14430 </w:instrText>
          </w:r>
          <w:r>
            <w:rPr>
              <w:rFonts w:hint="eastAsia" w:ascii="仿宋" w:hAnsi="仿宋" w:eastAsia="仿宋" w:cs="仿宋"/>
              <w:sz w:val="32"/>
              <w:szCs w:val="32"/>
            </w:rPr>
            <w:fldChar w:fldCharType="separate"/>
          </w:r>
          <w:bookmarkStart w:id="9" w:name="_Hlk146105812"/>
          <w:r>
            <w:rPr>
              <w:rFonts w:hint="eastAsia" w:ascii="仿宋" w:hAnsi="仿宋" w:eastAsia="仿宋" w:cs="仿宋"/>
              <w:b/>
              <w:bCs/>
              <w:sz w:val="32"/>
              <w:szCs w:val="32"/>
            </w:rPr>
            <w:t>二、</w:t>
          </w:r>
          <w:r>
            <w:rPr>
              <w:rFonts w:hint="eastAsia" w:ascii="仿宋" w:hAnsi="仿宋" w:eastAsia="仿宋" w:cs="仿宋"/>
              <w:b/>
              <w:bCs/>
              <w:color w:val="auto"/>
              <w:sz w:val="32"/>
              <w:szCs w:val="32"/>
            </w:rPr>
            <w:t>2021年</w:t>
          </w:r>
          <w:r>
            <w:rPr>
              <w:rFonts w:hint="eastAsia" w:ascii="仿宋" w:hAnsi="仿宋" w:eastAsia="仿宋" w:cs="仿宋"/>
              <w:b/>
              <w:bCs/>
              <w:color w:val="auto"/>
              <w:sz w:val="32"/>
              <w:szCs w:val="32"/>
              <w:lang w:val="zh-CN"/>
            </w:rPr>
            <w:t>专项预算项目支出绩效自评报告</w:t>
          </w:r>
          <w:bookmarkEnd w:id="9"/>
        </w:p>
        <w:p>
          <w:pPr>
            <w:pStyle w:val="32"/>
            <w:autoSpaceDE w:val="0"/>
            <w:spacing w:before="156" w:beforeLines="50" w:line="560" w:lineRule="exact"/>
            <w:ind w:firstLine="321" w:firstLineChars="100"/>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2021年学前教育减免保教费补助项目支出绩效自评报告</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0" w:leftChars="0" w:firstLine="321" w:firstLineChars="100"/>
            <w:rPr>
              <w:rFonts w:ascii="仿宋" w:hAnsi="仿宋" w:eastAsia="仿宋" w:cs="仿宋"/>
              <w:sz w:val="32"/>
              <w:szCs w:val="32"/>
            </w:rPr>
          </w:pPr>
          <w:r>
            <w:rPr>
              <w:rFonts w:hint="eastAsia" w:ascii="仿宋" w:hAnsi="仿宋" w:eastAsia="仿宋" w:cs="仿宋"/>
              <w:b/>
              <w:bCs/>
              <w:sz w:val="32"/>
              <w:szCs w:val="32"/>
            </w:rPr>
            <w:t>2.2</w:t>
          </w:r>
          <w:r>
            <w:rPr>
              <w:rFonts w:hint="eastAsia" w:ascii="仿宋" w:hAnsi="仿宋" w:eastAsia="仿宋" w:cs="仿宋"/>
              <w:sz w:val="32"/>
              <w:szCs w:val="32"/>
            </w:rPr>
            <w:t>021年对家庭经济困难非寄宿生生活补助项目支出绩效自评报告</w:t>
          </w:r>
        </w:p>
        <w:p>
          <w:pPr>
            <w:pStyle w:val="34"/>
            <w:widowControl w:val="0"/>
            <w:tabs>
              <w:tab w:val="right" w:leader="dot" w:pos="8845"/>
            </w:tabs>
            <w:snapToGrid w:val="0"/>
            <w:spacing w:line="540" w:lineRule="exact"/>
            <w:ind w:left="0" w:leftChars="0" w:firstLine="320" w:firstLineChars="100"/>
            <w:rPr>
              <w:rFonts w:ascii="仿宋" w:hAnsi="仿宋" w:eastAsia="仿宋" w:cs="仿宋"/>
              <w:sz w:val="32"/>
              <w:szCs w:val="32"/>
            </w:rPr>
          </w:pPr>
          <w:r>
            <w:rPr>
              <w:rFonts w:hint="eastAsia" w:ascii="仿宋" w:hAnsi="仿宋" w:eastAsia="仿宋" w:cs="仿宋"/>
              <w:sz w:val="32"/>
              <w:szCs w:val="32"/>
            </w:rPr>
            <w:t>3.2021年农村中小学生营养改善计划配套项目绩效自评报告</w:t>
          </w:r>
        </w:p>
        <w:p>
          <w:pPr>
            <w:pStyle w:val="34"/>
            <w:widowControl w:val="0"/>
            <w:tabs>
              <w:tab w:val="right" w:leader="dot" w:pos="8845"/>
            </w:tabs>
            <w:snapToGrid w:val="0"/>
            <w:spacing w:line="540" w:lineRule="exact"/>
            <w:ind w:left="0" w:leftChars="0" w:firstLine="200" w:firstLineChars="100"/>
            <w:rPr>
              <w:rFonts w:ascii="仿宋" w:hAnsi="仿宋" w:eastAsia="仿宋" w:cs="仿宋"/>
              <w:sz w:val="32"/>
              <w:szCs w:val="32"/>
            </w:rPr>
          </w:pPr>
          <w:r>
            <w:fldChar w:fldCharType="begin"/>
          </w:r>
          <w:r>
            <w:instrText xml:space="preserve"> HYPERLINK \l "_Toc30030" </w:instrText>
          </w:r>
          <w:r>
            <w:fldChar w:fldCharType="separate"/>
          </w:r>
          <w:r>
            <w:rPr>
              <w:rFonts w:hint="eastAsia" w:ascii="仿宋" w:hAnsi="仿宋" w:eastAsia="仿宋" w:cs="仿宋"/>
              <w:b/>
              <w:bCs/>
              <w:kern w:val="2"/>
              <w:sz w:val="32"/>
              <w:szCs w:val="32"/>
            </w:rPr>
            <w:t>4.2021年营养餐改善计划食堂工作人员经费补助项目支出绩效自评报告</w:t>
          </w:r>
          <w:r>
            <w:rPr>
              <w:rFonts w:hint="eastAsia" w:ascii="仿宋" w:hAnsi="仿宋" w:eastAsia="仿宋" w:cs="仿宋"/>
              <w:b/>
              <w:bCs/>
              <w:kern w:val="2"/>
              <w:sz w:val="32"/>
              <w:szCs w:val="32"/>
            </w:rPr>
            <w:fldChar w:fldCharType="end"/>
          </w:r>
        </w:p>
        <w:p>
          <w:pPr>
            <w:pStyle w:val="34"/>
            <w:widowControl w:val="0"/>
            <w:tabs>
              <w:tab w:val="right" w:leader="dot" w:pos="8845"/>
            </w:tabs>
            <w:snapToGrid w:val="0"/>
            <w:spacing w:line="540" w:lineRule="exact"/>
            <w:ind w:left="0" w:leftChars="0" w:firstLine="320" w:firstLineChars="1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bCs/>
              <w:kern w:val="2"/>
              <w:sz w:val="32"/>
              <w:szCs w:val="32"/>
            </w:rPr>
            <w:t>2021年义务教育补助作业本费配套事前绩效评估报告</w:t>
          </w:r>
        </w:p>
        <w:p>
          <w:pPr>
            <w:pStyle w:val="32"/>
            <w:snapToGrid w:val="0"/>
            <w:spacing w:line="240" w:lineRule="auto"/>
            <w:ind w:firstLine="320" w:firstLineChars="100"/>
            <w:jc w:val="left"/>
            <w:rPr>
              <w:rFonts w:ascii="仿宋" w:hAnsi="仿宋" w:eastAsia="仿宋" w:cs="仿宋"/>
              <w:b/>
              <w:bCs/>
              <w:color w:val="auto"/>
              <w:kern w:val="2"/>
              <w:sz w:val="32"/>
              <w:szCs w:val="32"/>
            </w:rPr>
          </w:pPr>
          <w:r>
            <w:rPr>
              <w:rFonts w:hint="eastAsia" w:ascii="仿宋" w:hAnsi="仿宋" w:eastAsia="仿宋" w:cs="仿宋"/>
              <w:sz w:val="32"/>
              <w:szCs w:val="32"/>
            </w:rPr>
            <w:t>6.</w:t>
          </w:r>
          <w:r>
            <w:rPr>
              <w:rFonts w:hint="eastAsia" w:ascii="仿宋" w:hAnsi="仿宋" w:eastAsia="仿宋" w:cs="仿宋"/>
              <w:b/>
              <w:bCs/>
              <w:color w:val="auto"/>
              <w:kern w:val="2"/>
              <w:sz w:val="32"/>
              <w:szCs w:val="32"/>
            </w:rPr>
            <w:t>2021年2021年校舍维修改造项目支出绩效自评报告</w:t>
          </w:r>
        </w:p>
        <w:p>
          <w:pPr>
            <w:pStyle w:val="33"/>
            <w:widowControl w:val="0"/>
            <w:tabs>
              <w:tab w:val="right" w:leader="dot" w:pos="8845"/>
            </w:tabs>
            <w:snapToGrid w:val="0"/>
            <w:spacing w:line="540" w:lineRule="exact"/>
            <w:rPr>
              <w:rFonts w:ascii="仿宋" w:hAnsi="仿宋" w:eastAsia="仿宋" w:cs="仿宋"/>
              <w:b/>
              <w:sz w:val="32"/>
              <w:szCs w:val="32"/>
            </w:rPr>
          </w:pPr>
          <w:r>
            <w:fldChar w:fldCharType="begin"/>
          </w:r>
          <w:r>
            <w:instrText xml:space="preserve"> HYPERLINK \l "_Toc25694" </w:instrText>
          </w:r>
          <w:r>
            <w:fldChar w:fldCharType="separate"/>
          </w:r>
          <w:r>
            <w:rPr>
              <w:rFonts w:hint="eastAsia" w:ascii="黑体" w:hAnsi="黑体" w:eastAsia="黑体" w:cs="黑体"/>
              <w:bCs/>
              <w:sz w:val="32"/>
              <w:szCs w:val="32"/>
            </w:rPr>
            <w:t>第五部分 附表</w:t>
          </w:r>
          <w:r>
            <w:rPr>
              <w:rFonts w:hint="eastAsia" w:ascii="黑体" w:hAnsi="黑体" w:eastAsia="黑体" w:cs="黑体"/>
              <w:bCs/>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"_Toc5019" </w:instrText>
          </w:r>
          <w:r>
            <w:fldChar w:fldCharType="separate"/>
          </w:r>
          <w:r>
            <w:rPr>
              <w:rFonts w:hint="eastAsia" w:ascii="仿宋" w:hAnsi="仿宋" w:eastAsia="仿宋" w:cs="仿宋"/>
              <w:sz w:val="32"/>
              <w:szCs w:val="32"/>
            </w:rPr>
            <w:t>一、收入支出决算总表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"_Toc19794" </w:instrText>
          </w:r>
          <w:r>
            <w:fldChar w:fldCharType="separate"/>
          </w:r>
          <w:r>
            <w:rPr>
              <w:rFonts w:hint="eastAsia" w:ascii="仿宋" w:hAnsi="仿宋" w:eastAsia="仿宋" w:cs="仿宋"/>
              <w:sz w:val="32"/>
              <w:szCs w:val="32"/>
            </w:rPr>
            <w:t>二、收入决算表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"_Toc1814" </w:instrText>
          </w:r>
          <w:r>
            <w:fldChar w:fldCharType="separate"/>
          </w:r>
          <w:r>
            <w:rPr>
              <w:rFonts w:hint="eastAsia" w:ascii="仿宋" w:hAnsi="仿宋" w:eastAsia="仿宋" w:cs="仿宋"/>
              <w:sz w:val="32"/>
              <w:szCs w:val="32"/>
            </w:rPr>
            <w:t>三、支出决算表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"_Toc11652" </w:instrText>
          </w:r>
          <w:r>
            <w:fldChar w:fldCharType="separate"/>
          </w:r>
          <w:r>
            <w:rPr>
              <w:rFonts w:hint="eastAsia" w:ascii="仿宋" w:hAnsi="仿宋" w:eastAsia="仿宋" w:cs="仿宋"/>
              <w:sz w:val="32"/>
              <w:szCs w:val="32"/>
            </w:rPr>
            <w:t>四、财政拨款收入支出决算总表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"_Toc26044" </w:instrText>
          </w:r>
          <w:r>
            <w:fldChar w:fldCharType="separate"/>
          </w:r>
          <w:r>
            <w:rPr>
              <w:rFonts w:hint="eastAsia" w:ascii="仿宋" w:hAnsi="仿宋" w:eastAsia="仿宋" w:cs="仿宋"/>
              <w:sz w:val="32"/>
              <w:szCs w:val="32"/>
            </w:rPr>
            <w:t>五、财政拨款支出决算明细表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"_Toc1662" </w:instrText>
          </w:r>
          <w:r>
            <w:fldChar w:fldCharType="separate"/>
          </w:r>
          <w:r>
            <w:rPr>
              <w:rFonts w:hint="eastAsia" w:ascii="仿宋" w:hAnsi="仿宋" w:eastAsia="仿宋" w:cs="仿宋"/>
              <w:sz w:val="32"/>
              <w:szCs w:val="32"/>
            </w:rPr>
            <w:t>六、一般公共预算财政拨款支出决算表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"_Toc9260" </w:instrText>
          </w:r>
          <w:r>
            <w:fldChar w:fldCharType="separate"/>
          </w:r>
          <w:r>
            <w:rPr>
              <w:rFonts w:hint="eastAsia" w:ascii="仿宋" w:hAnsi="仿宋" w:eastAsia="仿宋" w:cs="仿宋"/>
              <w:sz w:val="32"/>
              <w:szCs w:val="32"/>
            </w:rPr>
            <w:t>七、一般公共预算财政拨款支出决算明细表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"_Toc30388" </w:instrText>
          </w:r>
          <w:r>
            <w:fldChar w:fldCharType="separate"/>
          </w:r>
          <w:r>
            <w:rPr>
              <w:rFonts w:hint="eastAsia" w:ascii="仿宋" w:hAnsi="仿宋" w:eastAsia="仿宋" w:cs="仿宋"/>
              <w:sz w:val="32"/>
              <w:szCs w:val="32"/>
            </w:rPr>
            <w:t>八、一般公共预算财政拨款基本支出决算表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"_Toc14865" </w:instrText>
          </w:r>
          <w:r>
            <w:fldChar w:fldCharType="separate"/>
          </w:r>
          <w:r>
            <w:rPr>
              <w:rFonts w:hint="eastAsia" w:ascii="仿宋" w:hAnsi="仿宋" w:eastAsia="仿宋" w:cs="仿宋"/>
              <w:sz w:val="32"/>
              <w:szCs w:val="32"/>
            </w:rPr>
            <w:t>九、一般公共预算财政拨款项目支出决算表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"_Toc17930" </w:instrText>
          </w:r>
          <w:r>
            <w:fldChar w:fldCharType="separate"/>
          </w:r>
          <w:r>
            <w:rPr>
              <w:rFonts w:hint="eastAsia" w:ascii="仿宋" w:hAnsi="仿宋" w:eastAsia="仿宋" w:cs="仿宋"/>
              <w:sz w:val="32"/>
              <w:szCs w:val="32"/>
            </w:rPr>
            <w:t>十、一般公共预算财政拨款“三公”经费支出决算表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"_Toc19228" </w:instrText>
          </w:r>
          <w:r>
            <w:fldChar w:fldCharType="separate"/>
          </w:r>
          <w:r>
            <w:rPr>
              <w:rFonts w:hint="eastAsia" w:ascii="仿宋" w:hAnsi="仿宋" w:eastAsia="仿宋" w:cs="仿宋"/>
              <w:sz w:val="32"/>
              <w:szCs w:val="32"/>
            </w:rPr>
            <w:t>十一、政府性基金预算财政拨款收入支出决算表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"_Toc32608" </w:instrText>
          </w:r>
          <w:r>
            <w:fldChar w:fldCharType="separate"/>
          </w:r>
          <w:r>
            <w:rPr>
              <w:rFonts w:hint="eastAsia" w:ascii="仿宋" w:hAnsi="仿宋" w:eastAsia="仿宋" w:cs="仿宋"/>
              <w:sz w:val="32"/>
              <w:szCs w:val="32"/>
            </w:rPr>
            <w:t>十二、政府性基金预算财政拨款“三公”经费支出决算表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rPr>
              <w:rFonts w:ascii="仿宋" w:hAnsi="仿宋" w:eastAsia="仿宋" w:cs="仿宋"/>
              <w:sz w:val="32"/>
              <w:szCs w:val="32"/>
            </w:rPr>
          </w:pPr>
          <w:r>
            <w:fldChar w:fldCharType="begin"/>
          </w:r>
          <w:r>
            <w:instrText xml:space="preserve"> HYPERLINK \l "_Toc7384" </w:instrText>
          </w:r>
          <w:r>
            <w:fldChar w:fldCharType="separate"/>
          </w:r>
          <w:r>
            <w:rPr>
              <w:rFonts w:hint="eastAsia" w:ascii="仿宋" w:hAnsi="仿宋" w:eastAsia="仿宋" w:cs="仿宋"/>
              <w:sz w:val="32"/>
              <w:szCs w:val="32"/>
            </w:rPr>
            <w:t>十三、国有资本经营预算财政拨款收入支出决算表</w:t>
          </w:r>
          <w:r>
            <w:rPr>
              <w:rFonts w:hint="eastAsia" w:ascii="仿宋" w:hAnsi="仿宋" w:eastAsia="仿宋" w:cs="仿宋"/>
              <w:sz w:val="32"/>
              <w:szCs w:val="32"/>
            </w:rPr>
            <w:fldChar w:fldCharType="end"/>
          </w:r>
        </w:p>
        <w:p>
          <w:pPr>
            <w:pStyle w:val="34"/>
            <w:widowControl w:val="0"/>
            <w:tabs>
              <w:tab w:val="right" w:leader="dot" w:pos="8845"/>
            </w:tabs>
            <w:snapToGrid w:val="0"/>
            <w:spacing w:line="540" w:lineRule="exact"/>
            <w:ind w:left="420"/>
          </w:pPr>
          <w:r>
            <w:fldChar w:fldCharType="begin"/>
          </w:r>
          <w:r>
            <w:instrText xml:space="preserve"> HYPERLINK \l "_Toc18325" </w:instrText>
          </w:r>
          <w:r>
            <w:fldChar w:fldCharType="separate"/>
          </w:r>
          <w:r>
            <w:rPr>
              <w:rFonts w:hint="eastAsia" w:ascii="仿宋" w:hAnsi="仿宋" w:eastAsia="仿宋" w:cs="仿宋"/>
              <w:sz w:val="32"/>
              <w:szCs w:val="32"/>
            </w:rPr>
            <w:t>十四、国有资本经营预算财政拨款支出决算表</w:t>
          </w:r>
          <w:r>
            <w:rPr>
              <w:rFonts w:hint="eastAsia" w:ascii="仿宋" w:hAnsi="仿宋" w:eastAsia="仿宋" w:cs="仿宋"/>
              <w:sz w:val="32"/>
              <w:szCs w:val="32"/>
            </w:rPr>
            <w:fldChar w:fldCharType="end"/>
          </w:r>
        </w:p>
        <w:p>
          <w:r>
            <w:rPr>
              <w:b/>
            </w:rPr>
            <w:fldChar w:fldCharType="end"/>
          </w:r>
        </w:p>
      </w:sdtContent>
    </w:sdt>
    <w:p>
      <w:pPr>
        <w:rPr>
          <w:rFonts w:ascii="仿宋" w:hAnsi="仿宋" w:eastAsia="仿宋"/>
          <w:b/>
          <w:sz w:val="24"/>
        </w:rPr>
      </w:pPr>
      <w:r>
        <w:rPr>
          <w:rFonts w:ascii="仿宋" w:hAnsi="仿宋" w:eastAsia="仿宋"/>
          <w:b/>
          <w:sz w:val="24"/>
        </w:rPr>
        <w:br w:type="page"/>
      </w:r>
    </w:p>
    <w:p>
      <w:pPr>
        <w:pStyle w:val="2"/>
        <w:spacing w:before="93"/>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pPr>
        <w:pStyle w:val="3"/>
        <w:jc w:val="center"/>
        <w:rPr>
          <w:rStyle w:val="26"/>
          <w:rFonts w:ascii="黑体" w:hAnsi="黑体" w:eastAsia="黑体"/>
          <w:b/>
          <w:bCs w:val="0"/>
        </w:rPr>
      </w:pPr>
      <w:bookmarkStart w:id="10" w:name="_Toc10883"/>
      <w:r>
        <w:rPr>
          <w:rFonts w:hint="eastAsia" w:ascii="黑体" w:hAnsi="黑体" w:eastAsia="黑体"/>
          <w:b w:val="0"/>
        </w:rPr>
        <w:t>第一部分 单位</w:t>
      </w:r>
      <w:r>
        <w:rPr>
          <w:rStyle w:val="26"/>
          <w:rFonts w:hint="eastAsia" w:ascii="黑体" w:hAnsi="黑体" w:eastAsia="黑体"/>
          <w:b w:val="0"/>
          <w:bCs w:val="0"/>
        </w:rPr>
        <w:t>概况</w:t>
      </w:r>
      <w:bookmarkEnd w:id="0"/>
      <w:bookmarkEnd w:id="1"/>
      <w:bookmarkEnd w:id="10"/>
    </w:p>
    <w:p>
      <w:pPr>
        <w:pStyle w:val="5"/>
        <w:snapToGrid w:val="0"/>
        <w:spacing w:before="0" w:after="0" w:line="560" w:lineRule="exact"/>
        <w:ind w:firstLine="640" w:firstLineChars="200"/>
        <w:rPr>
          <w:rStyle w:val="27"/>
          <w:rFonts w:ascii="黑体" w:hAnsi="黑体" w:eastAsia="黑体"/>
          <w:b w:val="0"/>
          <w:bCs w:val="0"/>
        </w:rPr>
      </w:pPr>
      <w:bookmarkStart w:id="11" w:name="_Toc25654"/>
      <w:bookmarkStart w:id="12" w:name="_Toc15396600"/>
      <w:bookmarkStart w:id="13" w:name="_Toc15377197"/>
      <w:r>
        <w:rPr>
          <w:rStyle w:val="27"/>
          <w:rFonts w:hint="eastAsia" w:ascii="黑体" w:hAnsi="黑体" w:eastAsia="黑体"/>
          <w:b w:val="0"/>
          <w:bCs w:val="0"/>
        </w:rPr>
        <w:t>一、职能简介</w:t>
      </w:r>
      <w:bookmarkEnd w:id="11"/>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（一）全面贯彻教育方针和教育法规，依法治校；全面落实学校办学理念，保证学校办学目标的实现。</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（二）全面管理学校教育教学、科研、教师、培训、安全、卫生、后勤等各项工作；建立健全各项规章制度和管理措施。</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（三）全面规划、统筹安排学校工作，制度学校学年、学期工作计划，组织、推动计划的落实，做出计划执行结果的总结。</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四）负责对基础教育发展水平、质量的监测工作；抓好教职工队伍建设，负责学校人事工作；加强对教职工的职业道德和法制教育；制定、落实教师的培训、进修计划；注重培养青年教师，加强对教职工的考核评估工作。 </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（五）抓好校风、学风的建设；坚持民主管理、民主办学的原则。</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（六）努力争取社会各方面对学校工作的支持和帮助，代表学校协调、处理公共系。</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（七）完成区市教育局等上级行政部门交给的其它工作任务。</w:t>
      </w:r>
    </w:p>
    <w:p>
      <w:pPr>
        <w:pStyle w:val="4"/>
        <w:ind w:firstLine="320" w:firstLineChars="100"/>
        <w:rPr>
          <w:rFonts w:ascii="黑体" w:hAnsi="黑体" w:eastAsia="黑体"/>
          <w:b w:val="0"/>
        </w:rPr>
      </w:pPr>
      <w:bookmarkStart w:id="14" w:name="_Toc16074"/>
      <w:r>
        <w:rPr>
          <w:rFonts w:hint="eastAsia" w:ascii="黑体" w:hAnsi="黑体" w:eastAsia="黑体"/>
          <w:b w:val="0"/>
        </w:rPr>
        <w:t>二、机构设置</w:t>
      </w:r>
    </w:p>
    <w:p>
      <w:pPr>
        <w:ind w:firstLine="640" w:firstLineChars="200"/>
        <w:rPr>
          <w:rFonts w:ascii="仿宋" w:hAnsi="仿宋" w:eastAsia="仿宋"/>
          <w:sz w:val="32"/>
          <w:szCs w:val="32"/>
        </w:rPr>
      </w:pPr>
      <w:r>
        <w:rPr>
          <w:rFonts w:hint="eastAsia" w:ascii="仿宋" w:hAnsi="仿宋" w:eastAsia="仿宋"/>
          <w:sz w:val="32"/>
          <w:szCs w:val="32"/>
        </w:rPr>
        <w:t>广元市利州区宝轮第四小学是教育局下属的二级预算单位，单位内设机构有：办公室、德育处、教导处、总务处、工会五个部门。</w:t>
      </w:r>
    </w:p>
    <w:p>
      <w:pPr>
        <w:ind w:firstLine="640" w:firstLineChars="200"/>
        <w:rPr>
          <w:rFonts w:ascii="黑体" w:hAnsi="黑体" w:eastAsia="黑体"/>
        </w:rPr>
      </w:pPr>
      <w:r>
        <w:rPr>
          <w:rFonts w:hint="eastAsia" w:ascii="仿宋" w:hAnsi="仿宋" w:eastAsia="仿宋"/>
          <w:sz w:val="32"/>
          <w:szCs w:val="32"/>
        </w:rPr>
        <w:t>我单位是纳入利州区教育局2021年度部门决算编制范围的二级预算。</w:t>
      </w:r>
    </w:p>
    <w:p>
      <w:pPr>
        <w:pStyle w:val="5"/>
        <w:snapToGrid w:val="0"/>
        <w:spacing w:before="0" w:after="0" w:line="560" w:lineRule="exact"/>
        <w:ind w:firstLine="640" w:firstLineChars="200"/>
        <w:rPr>
          <w:rFonts w:ascii="黑体" w:hAnsi="黑体" w:eastAsia="黑体"/>
          <w:b w:val="0"/>
          <w:bCs w:val="0"/>
        </w:rPr>
      </w:pPr>
    </w:p>
    <w:p>
      <w:pPr>
        <w:pStyle w:val="5"/>
        <w:snapToGrid w:val="0"/>
        <w:spacing w:before="0" w:after="0" w:line="560" w:lineRule="exact"/>
        <w:ind w:firstLine="640" w:firstLineChars="200"/>
        <w:rPr>
          <w:rFonts w:ascii="黑体" w:hAnsi="黑体" w:eastAsia="黑体"/>
          <w:b w:val="0"/>
          <w:bCs w:val="0"/>
        </w:rPr>
      </w:pPr>
      <w:r>
        <w:rPr>
          <w:rFonts w:hint="eastAsia" w:ascii="黑体" w:hAnsi="黑体" w:eastAsia="黑体"/>
          <w:b w:val="0"/>
          <w:bCs w:val="0"/>
        </w:rPr>
        <w:t>二、2021年重点工作</w:t>
      </w:r>
      <w:bookmarkEnd w:id="12"/>
      <w:bookmarkEnd w:id="13"/>
      <w:r>
        <w:rPr>
          <w:rFonts w:hint="eastAsia" w:ascii="黑体" w:hAnsi="黑体" w:eastAsia="黑体"/>
          <w:b w:val="0"/>
          <w:bCs w:val="0"/>
        </w:rPr>
        <w:t>完成情况</w:t>
      </w:r>
      <w:bookmarkEnd w:id="14"/>
    </w:p>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（一）重思想</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学校以“为学校持续发展创造条件，为学生终身发展奠定基础，为教师专业发展提供保障”为办学理念，以“立德树人，办有质量、有温度的小而美、小而优乡村学校”为办学目标；以“书香校园、园林校园、成长乐园”为办学愿景，从“小”字下功夫，强化内涵发展，全面提升学生综合素质，为学生一生的发展和幸福奠基。积极推动城乡义务教育均衡发展，把学校办成“小而美、小而优”有特色的美丽乡村小学，让每个孩子享受公平而优质的教育。</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组织建设：一、按照“党要管党”的要求，坚持把党建工作摆在重要位置，把党建工作列入学校工作重要的议事日程；二、改选了学校支委，充分发挥党员在党的思想政治教育工作中的作用。</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制度建设：一、坚持“三会一课”制度，按时召开党员大会、支部组织生活会，每月一次红色星期五党员学习，通过提高生活会质量来提高解决自身问题的能力；二、坚持民主评议党员制度，对党员的表现情况进行民主评议。</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扎实开展丰富多彩的党员活动:“1十1”党员结对子帮扶贫困生活动；党员到社区开展文明劝导宣传活动；党员带头整治校园周边环境活动等。</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  （二） 树师德</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1.落实每周工作例会和政治业务学习制度。学校坚持每周召开工作例会布置工作和政治学习。坚持按照支委行政会议工作要点安排落实各项工作，认真开展各项活动，活动做到有计划、有组织、有记录、有总结。</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加强师德理论学习，积极参加师德活动。学校采取教师集体学习，教师个人自学等多种形式，加强师德理论学习，结合学校评优评先活动，开展教师职业道德教育、心理健康等教育，通过学习实践，进一步提高教师的道德水平。鼓励教师积极参加上级主管部门举办的各种师德师风建设活动。2021年，刘太祥同志被评为“广元市农村学校优秀教师”，曹明英同志被评为“广元市利州区优秀教师”，王琴同志被评为“广元市利州区骨干教师”。</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（三）强管理</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管理是学校的生命线，是学校发展的根本。认真理顺管理体制，调整启用年轻干部，组成能干事、多干事、干好事的班子队伍。工作合理分工，明晰班子成员、中层干部的职责。学校支持和鼓励班子成员在各自的职责范围内行使自己的权力，承担相应的责任。学校管理走上规范化、制度化轨道。我们修订并完善了《宝轮四小中级职称竞聘方案》《宝轮四小班主任考核条例》《宝轮四小教师业绩考核办法》《宝轮四小教职工出勤制度》等。对事关教职工切身利益的制度，我们坚持发扬民主，集思广益，反复讨论。学校既有刚性的制度，也有人文的关怀。建立确保学校民主建设健康发展的领导机制，认真落实“三重一大”制度。学校重大项目、重大人事、重大开支都通过“三重一大”程序依法有序决策实施，加强了学校民主决策、民主管理和民主监督。</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（四）炼师能</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学校强化教师培养工作，积极推荐教师参加上级主管部门组织的各种培训、学习和竞赛活动，尽可能为教师学习进修提供经费支持。杨玉川、张秀华老师参加全区学科作业设计比赛荣获二等奖。全体教师参与校本教研、参加学科网络培训，严格按计划落实，不打折扣，富有实效。校长亲自带头上公开课，推门听课，听随堂课达80%，向课堂要效率。</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（五）抓活动</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以活动育人。德育处坚持学生自主管理，规范周一升旗仪式，开展唱、读、讲等多种形式的“国旗下演讲”，收到了较好的德育效果。同时以节日为契机，开展爱祖国，爱家乡，爱学校，爱老师，爱自己的感恩教育。在“一木环保”活动中，我校史志星、杨玉川等同志荣获区级各项荣誉；国庆开展庆祝活动，建党100周年开展以“请党放心  强国有我”为主题的建队活动；11月9日开展消防知识培训与安全防震实战演练；12月30日区关工委“暖冬行动”走进宝轮四小。教务处组织了第37个教师节暨关爱活动，四川锦垚有限公司为我校捐赠了价值1万五千元的物品；11月24日，开展了以“小手爱劳动-劳动助成长”为主题的秋季劳动周活动；12月8日，有序组织了利州区第十届中小生艺术巡回展走进我校的活动；积极参加利州区三人制篮球赛。工会开展师生运动会，成功召开教职工代表大会。</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我们努力把时间还给孩子，把能力教给孩子，促进学生全面个性发展。通过活动实践、评比竞赛，学生的集体荣誉感越来越强，道德素养也越来越高。</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（六）突特色</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实施小班化教学，努力打造艺体办学特色。以“品格教育”为载体，以“自主管理”为抓手，在魅力教室、活力课堂、个性课间、多彩课外四个版块中实现全方位育人。把教室作为教学探究、班级文化、个性作品、图书阅览等的阵地；把课堂作为师生互动、生生互动、因材施教的平台；把课间作为学生个性张扬的舞台；把课外作为社会调查、实践探究、体会感悟、成就良好品格的活水源头。通过研究设置不同的内容，让学生尚学、善美、健康、自信。</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学校阳光体育大课间凸显艺体办学特色，从周一至周五，开设了腰鼓、篮球、街舞等不同活动，并不断升级更新，让学生在活动中锻炼其身体、磨砺其心智、彰显其个性。根据师资情况，每学期开设书法、绘画、电子琴、合唱等艺术社团，让孩子们接受艺术熏陶。每年学校都会举办“两节两会”，让全体师生尽情展示。同时每年学校还会举行研学实践活动，全校师生在中国共产党建党百年之际，走进红星公园，缅怀革命先烈；走进小寺山，亲近自然，拓展视野，陶冶心灵。以活动育人，实现人人参与、人人发展、人人提升的学校整体目标，让每个孩子成为有涵养、品格高尚的人。</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（七）见成效</w:t>
      </w:r>
    </w:p>
    <w:p>
      <w:pPr>
        <w:snapToGrid w:val="0"/>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近年来，争取资金进行幼儿园维修改造，协调学校用电调价，申请各项资助近五万元。先后获得“宝轮教育事业发展有重大贡献先进学校”、区级“文明校园”、目标考核“先进单位”、安全管理“先进单位”、广元市“美丽乡村学校”、广元市“平安校园”等殊荣。与乡村振兴协同发展，建设美丽乡村学校，我们永远在路上，让农村的孩子享受公平而优质的教育，让农村小学的孩子也有一个美好的未来，是我校不懈奋斗的教育理想。</w:t>
      </w:r>
      <w:bookmarkStart w:id="15" w:name="_Toc15377204"/>
      <w:bookmarkStart w:id="16" w:name="_Toc9138"/>
      <w:bookmarkStart w:id="17" w:name="_Toc15396602"/>
    </w:p>
    <w:p>
      <w:pPr>
        <w:pStyle w:val="2"/>
        <w:spacing w:before="72"/>
      </w:pPr>
    </w:p>
    <w:p>
      <w:pPr>
        <w:pStyle w:val="3"/>
        <w:numPr>
          <w:ilvl w:val="0"/>
          <w:numId w:val="1"/>
        </w:numPr>
        <w:ind w:right="440"/>
        <w:jc w:val="center"/>
        <w:rPr>
          <w:rStyle w:val="26"/>
          <w:rFonts w:ascii="黑体" w:hAnsi="黑体" w:eastAsia="黑体"/>
          <w:b w:val="0"/>
          <w:bCs/>
        </w:rPr>
      </w:pPr>
      <w:r>
        <w:rPr>
          <w:rFonts w:hint="eastAsia" w:ascii="黑体" w:hAnsi="黑体" w:eastAsia="黑体"/>
          <w:b w:val="0"/>
        </w:rPr>
        <w:t>2021年度</w:t>
      </w:r>
      <w:r>
        <w:rPr>
          <w:rStyle w:val="26"/>
          <w:rFonts w:hint="eastAsia" w:ascii="黑体" w:hAnsi="黑体" w:eastAsia="黑体"/>
          <w:b w:val="0"/>
          <w:bCs/>
        </w:rPr>
        <w:t>单位决算情况</w:t>
      </w:r>
      <w:bookmarkEnd w:id="15"/>
      <w:bookmarkEnd w:id="16"/>
      <w:bookmarkEnd w:id="17"/>
      <w:bookmarkStart w:id="18" w:name="_Toc15396603"/>
      <w:bookmarkStart w:id="19" w:name="_Toc15377205"/>
      <w:bookmarkStart w:id="20" w:name="_Toc13314"/>
    </w:p>
    <w:p>
      <w:pPr>
        <w:pStyle w:val="3"/>
        <w:numPr>
          <w:ilvl w:val="0"/>
          <w:numId w:val="2"/>
        </w:numPr>
        <w:spacing w:line="600" w:lineRule="exact"/>
        <w:ind w:right="442"/>
        <w:rPr>
          <w:rFonts w:ascii="仿宋" w:hAnsi="仿宋" w:eastAsia="仿宋"/>
          <w:color w:val="000000" w:themeColor="text1"/>
          <w:sz w:val="32"/>
          <w:szCs w:val="32"/>
          <w14:textFill>
            <w14:solidFill>
              <w14:schemeClr w14:val="tx1"/>
            </w14:solidFill>
          </w14:textFill>
        </w:rPr>
      </w:pPr>
      <w:r>
        <w:rPr>
          <w:rFonts w:hint="eastAsia" w:ascii="黑体" w:hAnsi="黑体" w:eastAsia="黑体"/>
          <w:sz w:val="32"/>
          <w:szCs w:val="32"/>
        </w:rPr>
        <w:t>收</w:t>
      </w:r>
      <w:r>
        <w:rPr>
          <w:rStyle w:val="27"/>
          <w:rFonts w:hint="eastAsia" w:ascii="黑体" w:hAnsi="黑体" w:eastAsia="黑体"/>
          <w:b w:val="0"/>
          <w:bCs/>
        </w:rPr>
        <w:t>入支出决算总体情况说明</w:t>
      </w:r>
      <w:bookmarkEnd w:id="18"/>
      <w:bookmarkEnd w:id="19"/>
      <w:bookmarkEnd w:id="20"/>
    </w:p>
    <w:p>
      <w:pPr>
        <w:spacing w:line="600" w:lineRule="exact"/>
        <w:ind w:firstLine="640" w:firstLineChars="200"/>
        <w:outlineLvl w:val="2"/>
        <w:rPr>
          <w:rFonts w:ascii="仿宋" w:hAnsi="仿宋" w:eastAsia="仿宋"/>
          <w:sz w:val="32"/>
          <w:szCs w:val="32"/>
        </w:rPr>
      </w:pPr>
      <w:bookmarkStart w:id="21" w:name="_Toc12072"/>
      <w:bookmarkStart w:id="22" w:name="_Toc15396604"/>
      <w:bookmarkStart w:id="23" w:name="_Toc15377206"/>
      <w:r>
        <w:rPr>
          <w:rFonts w:hint="eastAsia" w:ascii="仿宋" w:hAnsi="仿宋" w:eastAsia="仿宋"/>
          <w:sz w:val="32"/>
          <w:szCs w:val="32"/>
        </w:rPr>
        <w:t>2021年度收、支总计  516.55 万元。与2020年相比，收、支总计（490.26元）增加了26.29万元，增长了5.36%。主要变动原因是教职工工资收入年度正常增长。</w:t>
      </w:r>
    </w:p>
    <w:p>
      <w:pPr>
        <w:pStyle w:val="2"/>
        <w:spacing w:before="72"/>
      </w:pPr>
      <w:r>
        <w:rPr>
          <w:rFonts w:hint="eastAsia" w:ascii="仿宋" w:hAnsi="仿宋" w:eastAsia="仿宋"/>
          <w:sz w:val="32"/>
          <w:szCs w:val="32"/>
          <w:lang w:val="zh-CN"/>
        </w:rPr>
        <w:drawing>
          <wp:anchor distT="0" distB="0" distL="114300" distR="114300" simplePos="0" relativeHeight="251669504" behindDoc="0" locked="0" layoutInCell="1" allowOverlap="1">
            <wp:simplePos x="0" y="0"/>
            <wp:positionH relativeFrom="column">
              <wp:posOffset>0</wp:posOffset>
            </wp:positionH>
            <wp:positionV relativeFrom="paragraph">
              <wp:posOffset>295275</wp:posOffset>
            </wp:positionV>
            <wp:extent cx="4343400" cy="1733550"/>
            <wp:effectExtent l="0" t="0" r="0" b="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outlineLvl w:val="1"/>
        <w:rPr>
          <w:rStyle w:val="27"/>
          <w:rFonts w:ascii="黑体" w:hAnsi="黑体" w:eastAsia="黑体"/>
          <w:b w:val="0"/>
        </w:rPr>
      </w:pPr>
      <w:r>
        <w:rPr>
          <w:rFonts w:hint="eastAsia" w:ascii="黑体" w:hAnsi="黑体" w:eastAsia="黑体"/>
          <w:sz w:val="32"/>
          <w:szCs w:val="32"/>
        </w:rPr>
        <w:t>二、收</w:t>
      </w:r>
      <w:r>
        <w:rPr>
          <w:rStyle w:val="27"/>
          <w:rFonts w:hint="eastAsia" w:ascii="黑体" w:hAnsi="黑体" w:eastAsia="黑体"/>
          <w:b w:val="0"/>
        </w:rPr>
        <w:t>入决算情况说明</w:t>
      </w:r>
      <w:bookmarkEnd w:id="21"/>
      <w:bookmarkEnd w:id="22"/>
      <w:bookmarkEnd w:id="23"/>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21年本年收入合计453.29万元，其中：一般公共预算财政拨款收入450.33万元，占99.35</w:t>
      </w:r>
      <w:r>
        <w:rPr>
          <w:rFonts w:ascii="仿宋" w:hAnsi="仿宋" w:eastAsia="仿宋"/>
          <w:sz w:val="32"/>
          <w:szCs w:val="32"/>
        </w:rPr>
        <w:t>%</w:t>
      </w:r>
      <w:r>
        <w:rPr>
          <w:rFonts w:hint="eastAsia" w:ascii="仿宋" w:hAnsi="仿宋" w:eastAsia="仿宋"/>
          <w:sz w:val="32"/>
          <w:szCs w:val="32"/>
        </w:rPr>
        <w:t>；政府性基金预算财政拨款收入0.00万元，占0.00</w:t>
      </w:r>
      <w:r>
        <w:rPr>
          <w:rFonts w:ascii="仿宋" w:hAnsi="仿宋" w:eastAsia="仿宋"/>
          <w:sz w:val="32"/>
          <w:szCs w:val="32"/>
        </w:rPr>
        <w:t>%</w:t>
      </w:r>
      <w:r>
        <w:rPr>
          <w:rFonts w:hint="eastAsia" w:ascii="仿宋" w:hAnsi="仿宋" w:eastAsia="仿宋"/>
          <w:sz w:val="32"/>
          <w:szCs w:val="32"/>
        </w:rPr>
        <w:t>；国有资本经营预算财政拨款收入0.00万元，占0.00</w:t>
      </w:r>
      <w:r>
        <w:rPr>
          <w:rFonts w:ascii="仿宋" w:hAnsi="仿宋" w:eastAsia="仿宋"/>
          <w:sz w:val="32"/>
          <w:szCs w:val="32"/>
        </w:rPr>
        <w:t>%</w:t>
      </w:r>
      <w:r>
        <w:rPr>
          <w:rFonts w:hint="eastAsia" w:ascii="仿宋" w:hAnsi="仿宋" w:eastAsia="仿宋"/>
          <w:sz w:val="32"/>
          <w:szCs w:val="32"/>
        </w:rPr>
        <w:t>；上级补助收入0.00万元，占0.00</w:t>
      </w:r>
      <w:r>
        <w:rPr>
          <w:rFonts w:ascii="仿宋" w:hAnsi="仿宋" w:eastAsia="仿宋"/>
          <w:sz w:val="32"/>
          <w:szCs w:val="32"/>
        </w:rPr>
        <w:t>%</w:t>
      </w:r>
      <w:r>
        <w:rPr>
          <w:rFonts w:hint="eastAsia" w:ascii="仿宋" w:hAnsi="仿宋" w:eastAsia="仿宋"/>
          <w:sz w:val="32"/>
          <w:szCs w:val="32"/>
        </w:rPr>
        <w:t>；事业收入0.00万元，占0.00</w:t>
      </w:r>
      <w:r>
        <w:rPr>
          <w:rFonts w:ascii="仿宋" w:hAnsi="仿宋" w:eastAsia="仿宋"/>
          <w:sz w:val="32"/>
          <w:szCs w:val="32"/>
        </w:rPr>
        <w:t>%</w:t>
      </w:r>
      <w:r>
        <w:rPr>
          <w:rFonts w:hint="eastAsia" w:ascii="仿宋" w:hAnsi="仿宋" w:eastAsia="仿宋"/>
          <w:sz w:val="32"/>
          <w:szCs w:val="32"/>
        </w:rPr>
        <w:t>；经营收入0.00万元，占0.00</w:t>
      </w:r>
      <w:r>
        <w:rPr>
          <w:rFonts w:ascii="仿宋" w:hAnsi="仿宋" w:eastAsia="仿宋"/>
          <w:sz w:val="32"/>
          <w:szCs w:val="32"/>
        </w:rPr>
        <w:t>%</w:t>
      </w:r>
      <w:r>
        <w:rPr>
          <w:rFonts w:hint="eastAsia" w:ascii="仿宋" w:hAnsi="仿宋" w:eastAsia="仿宋"/>
          <w:sz w:val="32"/>
          <w:szCs w:val="32"/>
        </w:rPr>
        <w:t>；附属单位上缴收入0.00万元，占0.00</w:t>
      </w:r>
      <w:r>
        <w:rPr>
          <w:rFonts w:ascii="仿宋" w:hAnsi="仿宋" w:eastAsia="仿宋"/>
          <w:sz w:val="32"/>
          <w:szCs w:val="32"/>
        </w:rPr>
        <w:t>%</w:t>
      </w:r>
      <w:r>
        <w:rPr>
          <w:rFonts w:hint="eastAsia" w:ascii="仿宋" w:hAnsi="仿宋" w:eastAsia="仿宋"/>
          <w:sz w:val="32"/>
          <w:szCs w:val="32"/>
        </w:rPr>
        <w:t>；其他收入2.96万元，占0.65</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jc w:val="cente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18415</wp:posOffset>
            </wp:positionH>
            <wp:positionV relativeFrom="paragraph">
              <wp:posOffset>132080</wp:posOffset>
            </wp:positionV>
            <wp:extent cx="5274310" cy="1986280"/>
            <wp:effectExtent l="4445" t="4445" r="17145" b="1587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（图2：收入决算结构图）（饼状图）</w:t>
      </w:r>
    </w:p>
    <w:p>
      <w:pPr>
        <w:pStyle w:val="25"/>
        <w:spacing w:line="600" w:lineRule="exact"/>
        <w:ind w:left="640" w:firstLine="0" w:firstLineChars="0"/>
        <w:outlineLvl w:val="1"/>
        <w:rPr>
          <w:rStyle w:val="27"/>
          <w:rFonts w:ascii="黑体" w:hAnsi="黑体" w:eastAsia="黑体"/>
          <w:b w:val="0"/>
        </w:rPr>
      </w:pPr>
      <w:bookmarkStart w:id="24" w:name="_Toc15396605"/>
      <w:bookmarkStart w:id="25" w:name="_Toc15842"/>
      <w:bookmarkStart w:id="26" w:name="_Toc15377207"/>
      <w:r>
        <w:rPr>
          <w:rFonts w:hint="eastAsia" w:ascii="黑体" w:hAnsi="黑体" w:eastAsia="黑体"/>
          <w:sz w:val="32"/>
          <w:szCs w:val="32"/>
        </w:rPr>
        <w:t>三、支</w:t>
      </w:r>
      <w:r>
        <w:rPr>
          <w:rStyle w:val="27"/>
          <w:rFonts w:hint="eastAsia" w:ascii="黑体" w:hAnsi="黑体" w:eastAsia="黑体"/>
          <w:b w:val="0"/>
        </w:rPr>
        <w:t>出决算情况说明</w:t>
      </w:r>
      <w:bookmarkEnd w:id="24"/>
      <w:bookmarkEnd w:id="25"/>
      <w:bookmarkEnd w:id="26"/>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21年本年支出合计466.45万元，其中：基本支出444.85万元，占95.37</w:t>
      </w:r>
      <w:r>
        <w:rPr>
          <w:rFonts w:ascii="仿宋" w:hAnsi="仿宋" w:eastAsia="仿宋"/>
          <w:sz w:val="32"/>
          <w:szCs w:val="32"/>
        </w:rPr>
        <w:t>%</w:t>
      </w:r>
      <w:r>
        <w:rPr>
          <w:rFonts w:hint="eastAsia" w:ascii="仿宋" w:hAnsi="仿宋" w:eastAsia="仿宋"/>
          <w:sz w:val="32"/>
          <w:szCs w:val="32"/>
        </w:rPr>
        <w:t>；项目支出21.6万元，占4.63</w:t>
      </w:r>
      <w:r>
        <w:rPr>
          <w:rFonts w:ascii="仿宋" w:hAnsi="仿宋" w:eastAsia="仿宋"/>
          <w:sz w:val="32"/>
          <w:szCs w:val="32"/>
        </w:rPr>
        <w:t>%</w:t>
      </w:r>
      <w:r>
        <w:rPr>
          <w:rFonts w:hint="eastAsia" w:ascii="仿宋" w:hAnsi="仿宋" w:eastAsia="仿宋"/>
          <w:sz w:val="32"/>
          <w:szCs w:val="32"/>
        </w:rPr>
        <w:t>；上缴上级支出0.00万元，占0.00</w:t>
      </w:r>
      <w:r>
        <w:rPr>
          <w:rFonts w:ascii="仿宋" w:hAnsi="仿宋" w:eastAsia="仿宋"/>
          <w:sz w:val="32"/>
          <w:szCs w:val="32"/>
        </w:rPr>
        <w:t>%</w:t>
      </w:r>
      <w:r>
        <w:rPr>
          <w:rFonts w:hint="eastAsia" w:ascii="仿宋" w:hAnsi="仿宋" w:eastAsia="仿宋"/>
          <w:sz w:val="32"/>
          <w:szCs w:val="32"/>
        </w:rPr>
        <w:t>；经营支出0.00万元，占0.00</w:t>
      </w:r>
      <w:r>
        <w:rPr>
          <w:rFonts w:ascii="仿宋" w:hAnsi="仿宋" w:eastAsia="仿宋"/>
          <w:sz w:val="32"/>
          <w:szCs w:val="32"/>
        </w:rPr>
        <w:t>%</w:t>
      </w:r>
      <w:r>
        <w:rPr>
          <w:rFonts w:hint="eastAsia" w:ascii="仿宋" w:hAnsi="仿宋" w:eastAsia="仿宋"/>
          <w:sz w:val="32"/>
          <w:szCs w:val="32"/>
        </w:rPr>
        <w:t>；对附属单位补助支出0.00万元，占0.00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3表，仅罗列本单位涉及的支出。）</w:t>
      </w:r>
    </w:p>
    <w:p>
      <w:pPr>
        <w:spacing w:line="600" w:lineRule="exact"/>
        <w:ind w:firstLine="64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（图3：支出决算结构图）（饼状图）</w:t>
      </w:r>
    </w:p>
    <w:p>
      <w:pPr>
        <w:spacing w:line="600" w:lineRule="exact"/>
        <w:ind w:firstLine="640" w:firstLineChars="200"/>
        <w:outlineLvl w:val="1"/>
        <w:rPr>
          <w:rStyle w:val="27"/>
          <w:rFonts w:ascii="黑体" w:hAnsi="黑体" w:eastAsia="黑体"/>
          <w:b w:val="0"/>
        </w:rPr>
      </w:pPr>
      <w:bookmarkStart w:id="27" w:name="_Toc15396606"/>
      <w:bookmarkStart w:id="28" w:name="_Toc17374"/>
      <w:bookmarkStart w:id="29"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7"/>
      <w:bookmarkEnd w:id="28"/>
      <w:bookmarkEnd w:id="29"/>
    </w:p>
    <w:p>
      <w:pPr>
        <w:spacing w:line="600" w:lineRule="exact"/>
        <w:ind w:firstLine="64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21年财政拨款收、支总计516.55万元。与</w:t>
      </w:r>
      <w:r>
        <w:rPr>
          <w:rFonts w:ascii="仿宋" w:hAnsi="仿宋" w:eastAsia="仿宋"/>
          <w:sz w:val="32"/>
          <w:szCs w:val="32"/>
        </w:rPr>
        <w:t>20</w:t>
      </w:r>
      <w:r>
        <w:rPr>
          <w:rFonts w:hint="eastAsia" w:ascii="仿宋" w:hAnsi="仿宋" w:eastAsia="仿宋"/>
          <w:sz w:val="32"/>
          <w:szCs w:val="32"/>
        </w:rPr>
        <w:t>20年（490.26万元）相比，财政拨款收、支总计增加了26.29万元，提升5.36</w:t>
      </w:r>
      <w:r>
        <w:rPr>
          <w:rFonts w:ascii="仿宋" w:hAnsi="仿宋" w:eastAsia="仿宋"/>
          <w:sz w:val="32"/>
          <w:szCs w:val="32"/>
        </w:rPr>
        <w:t>%</w:t>
      </w:r>
      <w:r>
        <w:rPr>
          <w:rFonts w:hint="eastAsia" w:ascii="仿宋" w:hAnsi="仿宋" w:eastAsia="仿宋"/>
          <w:sz w:val="32"/>
          <w:szCs w:val="32"/>
        </w:rPr>
        <w:t>。主要变动原因是</w:t>
      </w:r>
      <w:r>
        <w:rPr>
          <w:rStyle w:val="16"/>
          <w:rFonts w:hint="eastAsia" w:ascii="仿宋" w:hAnsi="仿宋" w:eastAsia="仿宋" w:cstheme="minorBidi"/>
          <w:b w:val="0"/>
          <w:bCs/>
          <w:color w:val="000000" w:themeColor="text1"/>
          <w:sz w:val="32"/>
          <w:szCs w:val="32"/>
          <w14:textFill>
            <w14:solidFill>
              <w14:schemeClr w14:val="tx1"/>
            </w14:solidFill>
          </w14:textFill>
        </w:rPr>
        <w:t>一是2021年财政拨款收、支出增加20.19万元；二是2021年其他收入增加0.26万元</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pStyle w:val="2"/>
        <w:spacing w:before="72"/>
        <w:outlineLvl w:val="2"/>
        <w:rPr>
          <w:rFonts w:ascii="仿宋" w:hAnsi="仿宋" w:eastAsia="仿宋"/>
          <w:b/>
          <w:sz w:val="32"/>
          <w:szCs w:val="32"/>
        </w:rPr>
      </w:pPr>
      <w:r>
        <w:rPr>
          <w:rFonts w:hint="eastAsia" w:ascii="仿宋" w:hAnsi="仿宋" w:eastAsia="仿宋"/>
          <w:sz w:val="32"/>
          <w:szCs w:val="32"/>
        </w:rPr>
        <w:drawing>
          <wp:inline distT="0" distB="0" distL="114300" distR="114300">
            <wp:extent cx="5612765" cy="2247265"/>
            <wp:effectExtent l="0" t="0" r="6985" b="635"/>
            <wp:docPr id="5" name="图片 5" descr="未标题-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true"/>
                    </pic:cNvPicPr>
                  </pic:nvPicPr>
                  <pic:blipFill>
                    <a:blip r:embed="rId10"/>
                    <a:stretch>
                      <a:fillRect/>
                    </a:stretch>
                  </pic:blipFill>
                  <pic:spPr>
                    <a:xfrm>
                      <a:off x="0" y="0"/>
                      <a:ext cx="5612765" cy="2247265"/>
                    </a:xfrm>
                    <a:prstGeom prst="rect">
                      <a:avLst/>
                    </a:prstGeom>
                  </pic:spPr>
                </pic:pic>
              </a:graphicData>
            </a:graphic>
          </wp:inline>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7"/>
          <w:rFonts w:ascii="黑体" w:hAnsi="黑体" w:eastAsia="黑体"/>
          <w:b w:val="0"/>
        </w:rPr>
      </w:pPr>
      <w:bookmarkStart w:id="30" w:name="_Toc15396607"/>
      <w:bookmarkStart w:id="31" w:name="_Toc15377209"/>
      <w:bookmarkStart w:id="32" w:name="_Toc17246"/>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0"/>
      <w:bookmarkEnd w:id="31"/>
      <w:bookmarkEnd w:id="32"/>
    </w:p>
    <w:p>
      <w:pPr>
        <w:spacing w:line="600" w:lineRule="exact"/>
        <w:ind w:firstLine="640" w:firstLineChars="200"/>
        <w:outlineLvl w:val="2"/>
        <w:rPr>
          <w:rFonts w:ascii="楷体" w:hAnsi="楷体" w:eastAsia="楷体" w:cs="楷体"/>
          <w:bCs/>
          <w:sz w:val="32"/>
          <w:szCs w:val="32"/>
        </w:rPr>
      </w:pPr>
      <w:bookmarkStart w:id="33" w:name="_Toc15377210"/>
      <w:r>
        <w:rPr>
          <w:rFonts w:hint="eastAsia" w:ascii="楷体" w:hAnsi="楷体" w:eastAsia="楷体" w:cs="楷体"/>
          <w:bCs/>
          <w:sz w:val="32"/>
          <w:szCs w:val="32"/>
        </w:rPr>
        <w:t>（一）一般公共预算财政拨款支出决算总体情况</w:t>
      </w:r>
      <w:bookmarkEnd w:id="33"/>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21年一般公共预算财政拨款支出463.49万元，占本年支出合计的100.00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20年（424.29万元）相比，一般公共预算财政拨款支出增加39.2万元，提高了9.24</w:t>
      </w:r>
      <w:r>
        <w:rPr>
          <w:rFonts w:ascii="仿宋" w:hAnsi="仿宋" w:eastAsia="仿宋"/>
          <w:sz w:val="32"/>
          <w:szCs w:val="32"/>
        </w:rPr>
        <w:t>%</w:t>
      </w:r>
      <w:r>
        <w:rPr>
          <w:rFonts w:hint="eastAsia" w:ascii="仿宋" w:hAnsi="仿宋" w:eastAsia="仿宋"/>
          <w:sz w:val="32"/>
          <w:szCs w:val="32"/>
        </w:rPr>
        <w:t>。主要变动原因是</w:t>
      </w:r>
      <w:r>
        <w:rPr>
          <w:rStyle w:val="16"/>
          <w:rFonts w:hint="eastAsia" w:ascii="仿宋" w:hAnsi="仿宋" w:eastAsia="仿宋" w:cstheme="minorBidi"/>
          <w:b w:val="0"/>
          <w:bCs/>
          <w:color w:val="000000" w:themeColor="text1"/>
          <w:sz w:val="32"/>
          <w:szCs w:val="32"/>
          <w14:textFill>
            <w14:solidFill>
              <w14:schemeClr w14:val="tx1"/>
            </w14:solidFill>
          </w14:textFill>
        </w:rPr>
        <w:t>2021年学前教育项目实施，项目资金支出21.6万元</w:t>
      </w:r>
      <w:r>
        <w:rPr>
          <w:rFonts w:hint="eastAsia" w:ascii="仿宋" w:hAnsi="仿宋" w:eastAsia="仿宋"/>
          <w:color w:val="000000" w:themeColor="text1"/>
          <w:sz w:val="32"/>
          <w:szCs w:val="32"/>
          <w14:textFill>
            <w14:solidFill>
              <w14:schemeClr w14:val="tx1"/>
            </w14:solidFill>
          </w14:textFill>
        </w:rPr>
        <w:t>。</w:t>
      </w:r>
    </w:p>
    <w:p>
      <w:pP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7456" behindDoc="1" locked="0" layoutInCell="1" allowOverlap="1">
            <wp:simplePos x="0" y="0"/>
            <wp:positionH relativeFrom="column">
              <wp:posOffset>218440</wp:posOffset>
            </wp:positionH>
            <wp:positionV relativeFrom="paragraph">
              <wp:posOffset>153670</wp:posOffset>
            </wp:positionV>
            <wp:extent cx="5062855" cy="1781175"/>
            <wp:effectExtent l="4445" t="4445" r="19050" b="5080"/>
            <wp:wrapTight wrapText="bothSides">
              <wp:wrapPolygon>
                <wp:start x="-19" y="-54"/>
                <wp:lineTo x="-19" y="21431"/>
                <wp:lineTo x="21519" y="21431"/>
                <wp:lineTo x="21519" y="-54"/>
                <wp:lineTo x="-19" y="-54"/>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outlineLvl w:val="2"/>
        <w:rPr>
          <w:rFonts w:ascii="仿宋" w:hAnsi="仿宋" w:eastAsia="仿宋"/>
          <w:sz w:val="32"/>
          <w:szCs w:val="32"/>
        </w:rPr>
      </w:pPr>
    </w:p>
    <w:p>
      <w:pPr>
        <w:spacing w:line="600" w:lineRule="exact"/>
        <w:outlineLvl w:val="2"/>
        <w:rPr>
          <w:rFonts w:ascii="仿宋" w:hAnsi="仿宋" w:eastAsia="仿宋"/>
          <w:sz w:val="32"/>
          <w:szCs w:val="32"/>
        </w:rPr>
      </w:pPr>
    </w:p>
    <w:p>
      <w:pPr>
        <w:spacing w:line="600" w:lineRule="exact"/>
        <w:outlineLvl w:val="2"/>
        <w:rPr>
          <w:rFonts w:ascii="仿宋" w:hAnsi="仿宋" w:eastAsia="仿宋"/>
          <w:sz w:val="32"/>
          <w:szCs w:val="32"/>
        </w:rPr>
      </w:pPr>
    </w:p>
    <w:p>
      <w:pPr>
        <w:spacing w:line="600" w:lineRule="exact"/>
        <w:outlineLvl w:val="2"/>
        <w:rPr>
          <w:rFonts w:ascii="仿宋" w:hAnsi="仿宋" w:eastAsia="仿宋"/>
          <w:sz w:val="32"/>
          <w:szCs w:val="32"/>
        </w:rPr>
      </w:pPr>
    </w:p>
    <w:p>
      <w:pPr>
        <w:spacing w:line="600" w:lineRule="exact"/>
        <w:outlineLvl w:val="2"/>
        <w:rPr>
          <w:rFonts w:ascii="仿宋" w:hAnsi="仿宋" w:eastAsia="仿宋"/>
          <w:sz w:val="32"/>
          <w:szCs w:val="32"/>
        </w:rPr>
      </w:pPr>
    </w:p>
    <w:p>
      <w:pPr>
        <w:spacing w:line="600" w:lineRule="exact"/>
        <w:outlineLvl w:val="2"/>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34" w:name="_Toc15377211"/>
      <w:r>
        <w:rPr>
          <w:rFonts w:hint="eastAsia" w:ascii="楷体" w:hAnsi="楷体" w:eastAsia="楷体" w:cs="楷体"/>
          <w:bCs/>
          <w:sz w:val="32"/>
          <w:szCs w:val="32"/>
        </w:rPr>
        <w:t>（二）一般公共预算财政拨款支出决算结构情况</w:t>
      </w:r>
      <w:bookmarkEnd w:id="34"/>
    </w:p>
    <w:p>
      <w:pPr>
        <w:spacing w:line="600" w:lineRule="exact"/>
        <w:ind w:firstLine="64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21年一般公共预算财政拨款支出463.49万元，主要用于以下方面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419.48万元，占90.5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支出29.92万元，占6.46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卫生健康支出14.09</w:t>
      </w:r>
      <w:r>
        <w:rPr>
          <w:rFonts w:hint="eastAsia" w:ascii="仿宋" w:hAnsi="仿宋" w:eastAsia="仿宋"/>
          <w:sz w:val="32"/>
          <w:szCs w:val="32"/>
        </w:rPr>
        <w:t>万元，占3.04</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 xml:space="preserve">（注：数据来源于财决01-1表，仅罗列本单位涉及的全部功能分类科目，至类级。） </w:t>
      </w:r>
    </w:p>
    <w:p>
      <w:pPr>
        <w:spacing w:line="600" w:lineRule="exact"/>
        <w:ind w:firstLine="640" w:firstLineChars="20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596265</wp:posOffset>
            </wp:positionH>
            <wp:positionV relativeFrom="paragraph">
              <wp:posOffset>142240</wp:posOffset>
            </wp:positionV>
            <wp:extent cx="5060315" cy="1724660"/>
            <wp:effectExtent l="5080" t="4445" r="14605" b="107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outlineLvl w:val="2"/>
        <w:rPr>
          <w:rFonts w:ascii="仿宋" w:hAnsi="仿宋" w:eastAsia="仿宋"/>
          <w:sz w:val="32"/>
          <w:szCs w:val="32"/>
        </w:rPr>
      </w:pPr>
    </w:p>
    <w:p>
      <w:pPr>
        <w:spacing w:line="600" w:lineRule="exact"/>
        <w:ind w:firstLine="640" w:firstLineChars="200"/>
        <w:outlineLvl w:val="2"/>
        <w:rPr>
          <w:rFonts w:ascii="仿宋" w:hAnsi="仿宋" w:eastAsia="仿宋"/>
          <w:sz w:val="32"/>
          <w:szCs w:val="32"/>
        </w:rPr>
      </w:pPr>
    </w:p>
    <w:p>
      <w:pPr>
        <w:spacing w:line="600" w:lineRule="exact"/>
        <w:ind w:firstLine="640" w:firstLineChars="200"/>
        <w:outlineLvl w:val="2"/>
        <w:rPr>
          <w:rFonts w:ascii="仿宋" w:hAnsi="仿宋" w:eastAsia="仿宋"/>
          <w:sz w:val="32"/>
          <w:szCs w:val="32"/>
        </w:rPr>
      </w:pPr>
    </w:p>
    <w:p>
      <w:pPr>
        <w:spacing w:line="600" w:lineRule="exact"/>
        <w:ind w:firstLine="640" w:firstLineChars="200"/>
        <w:outlineLvl w:val="2"/>
        <w:rPr>
          <w:rFonts w:ascii="仿宋" w:hAnsi="仿宋" w:eastAsia="仿宋"/>
          <w:sz w:val="32"/>
          <w:szCs w:val="32"/>
        </w:rPr>
      </w:pPr>
    </w:p>
    <w:p>
      <w:pPr>
        <w:spacing w:line="600" w:lineRule="exact"/>
        <w:ind w:firstLine="320" w:firstLineChars="100"/>
        <w:outlineLvl w:val="2"/>
        <w:rPr>
          <w:rFonts w:ascii="仿宋" w:hAnsi="仿宋" w:eastAsia="仿宋"/>
          <w:sz w:val="32"/>
          <w:szCs w:val="32"/>
        </w:rPr>
      </w:pPr>
      <w:r>
        <w:rPr>
          <w:rFonts w:hint="eastAsia" w:ascii="仿宋" w:hAnsi="仿宋" w:eastAsia="仿宋"/>
          <w:sz w:val="32"/>
          <w:szCs w:val="32"/>
        </w:rPr>
        <w:t>（图6：一般公共预算财政拨款支出决算结构）（饼状图）</w:t>
      </w:r>
    </w:p>
    <w:p>
      <w:pPr>
        <w:snapToGrid w:val="0"/>
        <w:spacing w:line="550" w:lineRule="exact"/>
        <w:ind w:firstLine="640" w:firstLineChars="200"/>
        <w:outlineLvl w:val="2"/>
        <w:rPr>
          <w:rFonts w:ascii="楷体" w:hAnsi="楷体" w:eastAsia="楷体" w:cs="楷体"/>
          <w:bCs/>
          <w:sz w:val="32"/>
          <w:szCs w:val="32"/>
        </w:rPr>
      </w:pPr>
      <w:bookmarkStart w:id="35" w:name="_Toc15377212"/>
      <w:r>
        <w:rPr>
          <w:rFonts w:hint="eastAsia" w:ascii="楷体" w:hAnsi="楷体" w:eastAsia="楷体" w:cs="楷体"/>
          <w:bCs/>
          <w:sz w:val="32"/>
          <w:szCs w:val="32"/>
        </w:rPr>
        <w:t>（三）一般公共预算财政拨款支出决算具体情况</w:t>
      </w:r>
      <w:bookmarkEnd w:id="35"/>
    </w:p>
    <w:p>
      <w:pPr>
        <w:snapToGrid w:val="0"/>
        <w:spacing w:line="560" w:lineRule="exact"/>
        <w:ind w:firstLine="642" w:firstLineChars="200"/>
        <w:outlineLvl w:val="2"/>
        <w:rPr>
          <w:rFonts w:ascii="仿宋" w:hAnsi="仿宋" w:eastAsia="仿宋"/>
          <w:sz w:val="32"/>
          <w:szCs w:val="32"/>
        </w:rPr>
      </w:pPr>
      <w:bookmarkStart w:id="36" w:name="_Toc15378460"/>
      <w:bookmarkStart w:id="37" w:name="_Toc15377213"/>
      <w:bookmarkStart w:id="38" w:name="_Toc15377444"/>
      <w:r>
        <w:rPr>
          <w:rFonts w:hint="eastAsia" w:ascii="仿宋" w:hAnsi="仿宋" w:eastAsia="仿宋"/>
          <w:b/>
          <w:sz w:val="32"/>
          <w:szCs w:val="32"/>
        </w:rPr>
        <w:t>2021年一般公共预算支出决算数为463.49万元</w:t>
      </w:r>
      <w:r>
        <w:rPr>
          <w:rFonts w:hint="eastAsia" w:ascii="仿宋" w:hAnsi="仿宋" w:eastAsia="仿宋"/>
          <w:sz w:val="32"/>
          <w:szCs w:val="32"/>
        </w:rPr>
        <w:t>，</w:t>
      </w:r>
      <w:r>
        <w:rPr>
          <w:rStyle w:val="16"/>
          <w:rFonts w:hint="eastAsia" w:ascii="仿宋" w:hAnsi="仿宋" w:eastAsia="仿宋"/>
          <w:bCs/>
          <w:sz w:val="32"/>
          <w:szCs w:val="32"/>
        </w:rPr>
        <w:t>完成预算64.87</w:t>
      </w:r>
      <w:r>
        <w:rPr>
          <w:rStyle w:val="16"/>
          <w:rFonts w:ascii="仿宋" w:hAnsi="仿宋" w:eastAsia="仿宋"/>
          <w:bCs/>
          <w:sz w:val="32"/>
          <w:szCs w:val="32"/>
        </w:rPr>
        <w:t>%</w:t>
      </w:r>
      <w:r>
        <w:rPr>
          <w:rStyle w:val="16"/>
          <w:rFonts w:hint="eastAsia" w:ascii="仿宋" w:hAnsi="仿宋" w:eastAsia="仿宋"/>
          <w:bCs/>
          <w:sz w:val="32"/>
          <w:szCs w:val="32"/>
        </w:rPr>
        <w:t>。其中：</w:t>
      </w:r>
      <w:bookmarkEnd w:id="36"/>
      <w:bookmarkEnd w:id="37"/>
      <w:bookmarkEnd w:id="38"/>
      <w:r>
        <w:rPr>
          <w:rFonts w:hint="eastAsia" w:ascii="仿宋" w:hAnsi="仿宋" w:eastAsia="仿宋"/>
          <w:b/>
          <w:sz w:val="32"/>
          <w:szCs w:val="32"/>
        </w:rPr>
        <w:t>2021年一般公共预算支出决算数为463.49</w:t>
      </w:r>
      <w:r>
        <w:rPr>
          <w:rFonts w:hint="eastAsia" w:ascii="仿宋" w:hAnsi="仿宋" w:eastAsia="仿宋"/>
          <w:sz w:val="32"/>
          <w:szCs w:val="32"/>
        </w:rPr>
        <w:t>，</w:t>
      </w:r>
      <w:r>
        <w:rPr>
          <w:rStyle w:val="16"/>
          <w:rFonts w:hint="eastAsia" w:ascii="仿宋" w:hAnsi="仿宋" w:eastAsia="仿宋"/>
          <w:bCs/>
          <w:sz w:val="32"/>
          <w:szCs w:val="32"/>
        </w:rPr>
        <w:t>完成预算79.28</w:t>
      </w:r>
      <w:r>
        <w:rPr>
          <w:rStyle w:val="16"/>
          <w:rFonts w:ascii="仿宋" w:hAnsi="仿宋" w:eastAsia="仿宋"/>
          <w:bCs/>
          <w:sz w:val="32"/>
          <w:szCs w:val="32"/>
        </w:rPr>
        <w:t>%</w:t>
      </w:r>
      <w:r>
        <w:rPr>
          <w:rStyle w:val="16"/>
          <w:rFonts w:hint="eastAsia" w:ascii="仿宋" w:hAnsi="仿宋" w:eastAsia="仿宋"/>
          <w:bCs/>
          <w:sz w:val="32"/>
          <w:szCs w:val="32"/>
        </w:rPr>
        <w:t>。</w:t>
      </w:r>
    </w:p>
    <w:p>
      <w:pPr>
        <w:snapToGrid w:val="0"/>
        <w:spacing w:line="560" w:lineRule="exact"/>
        <w:ind w:firstLine="642" w:firstLineChars="200"/>
        <w:rPr>
          <w:rStyle w:val="16"/>
          <w:rFonts w:ascii="仿宋" w:hAnsi="仿宋" w:eastAsia="仿宋"/>
          <w:bCs/>
          <w:color w:val="000000" w:themeColor="text1"/>
          <w:sz w:val="32"/>
          <w:szCs w:val="32"/>
          <w14:textFill>
            <w14:solidFill>
              <w14:schemeClr w14:val="tx1"/>
            </w14:solidFill>
          </w14:textFill>
        </w:rPr>
      </w:pPr>
      <w:r>
        <w:rPr>
          <w:rStyle w:val="16"/>
          <w:rFonts w:ascii="仿宋" w:hAnsi="仿宋" w:eastAsia="仿宋"/>
          <w:bCs/>
          <w:sz w:val="32"/>
          <w:szCs w:val="32"/>
        </w:rPr>
        <w:t>1.</w:t>
      </w:r>
      <w:r>
        <w:rPr>
          <w:rStyle w:val="16"/>
          <w:rFonts w:hint="eastAsia" w:ascii="仿宋" w:hAnsi="仿宋" w:eastAsia="仿宋"/>
          <w:bCs/>
          <w:sz w:val="32"/>
          <w:szCs w:val="32"/>
        </w:rPr>
        <w:t>教育支出（类）普通教育（款）小学教育（项）</w:t>
      </w:r>
      <w:r>
        <w:rPr>
          <w:rStyle w:val="16"/>
          <w:rFonts w:ascii="仿宋" w:hAnsi="仿宋" w:eastAsia="仿宋"/>
          <w:bCs/>
          <w:sz w:val="32"/>
          <w:szCs w:val="32"/>
        </w:rPr>
        <w:t>:</w:t>
      </w:r>
      <w:r>
        <w:rPr>
          <w:rStyle w:val="16"/>
          <w:rFonts w:hint="eastAsia" w:ascii="仿宋" w:hAnsi="仿宋" w:eastAsia="仿宋"/>
          <w:bCs/>
          <w:sz w:val="32"/>
          <w:szCs w:val="32"/>
        </w:rPr>
        <w:t>支出决算为</w:t>
      </w:r>
      <w:r>
        <w:rPr>
          <w:rStyle w:val="16"/>
          <w:rFonts w:hint="eastAsia" w:ascii="仿宋" w:hAnsi="仿宋" w:eastAsia="仿宋"/>
          <w:b w:val="0"/>
          <w:bCs/>
          <w:color w:val="000000" w:themeColor="text1"/>
          <w:sz w:val="32"/>
          <w:szCs w:val="32"/>
          <w14:textFill>
            <w14:solidFill>
              <w14:schemeClr w14:val="tx1"/>
            </w14:solidFill>
          </w14:textFill>
        </w:rPr>
        <w:t>406.12万元，完成预算100</w:t>
      </w:r>
      <w:r>
        <w:rPr>
          <w:rStyle w:val="16"/>
          <w:rFonts w:ascii="仿宋" w:hAnsi="仿宋" w:eastAsia="仿宋"/>
          <w:b w:val="0"/>
          <w:bCs/>
          <w:color w:val="000000" w:themeColor="text1"/>
          <w:sz w:val="32"/>
          <w:szCs w:val="32"/>
          <w14:textFill>
            <w14:solidFill>
              <w14:schemeClr w14:val="tx1"/>
            </w14:solidFill>
          </w14:textFill>
        </w:rPr>
        <w:t>%</w:t>
      </w:r>
      <w:r>
        <w:rPr>
          <w:rStyle w:val="16"/>
          <w:rFonts w:hint="eastAsia" w:ascii="仿宋" w:hAnsi="仿宋" w:eastAsia="仿宋"/>
          <w:bCs/>
          <w:color w:val="000000" w:themeColor="text1"/>
          <w:kern w:val="0"/>
          <w:sz w:val="32"/>
          <w:szCs w:val="32"/>
          <w14:textFill>
            <w14:solidFill>
              <w14:schemeClr w14:val="tx1"/>
            </w14:solidFill>
          </w14:textFill>
        </w:rPr>
        <w:t>。</w:t>
      </w:r>
    </w:p>
    <w:p>
      <w:pPr>
        <w:snapToGrid w:val="0"/>
        <w:spacing w:line="560" w:lineRule="exact"/>
        <w:ind w:firstLine="642" w:firstLineChars="200"/>
        <w:rPr>
          <w:color w:val="000000" w:themeColor="text1"/>
          <w:sz w:val="32"/>
          <w:szCs w:val="32"/>
          <w14:textFill>
            <w14:solidFill>
              <w14:schemeClr w14:val="tx1"/>
            </w14:solidFill>
          </w14:textFill>
        </w:rPr>
      </w:pPr>
      <w:r>
        <w:rPr>
          <w:rStyle w:val="16"/>
          <w:rFonts w:ascii="仿宋" w:hAnsi="仿宋" w:eastAsia="仿宋"/>
          <w:bCs/>
          <w:sz w:val="32"/>
          <w:szCs w:val="32"/>
        </w:rPr>
        <w:t>2.</w:t>
      </w:r>
      <w:r>
        <w:rPr>
          <w:rStyle w:val="16"/>
          <w:rFonts w:hint="eastAsia" w:ascii="仿宋" w:hAnsi="仿宋" w:eastAsia="仿宋"/>
          <w:bCs/>
          <w:sz w:val="32"/>
          <w:szCs w:val="32"/>
        </w:rPr>
        <w:t>社会保障和就业（类）行政事业单位养老支出（款）行政单位离退休（项）</w:t>
      </w:r>
      <w:r>
        <w:rPr>
          <w:rStyle w:val="16"/>
          <w:rFonts w:ascii="仿宋" w:hAnsi="仿宋" w:eastAsia="仿宋"/>
          <w:bCs/>
          <w:sz w:val="32"/>
          <w:szCs w:val="32"/>
        </w:rPr>
        <w:t xml:space="preserve">: </w:t>
      </w:r>
      <w:r>
        <w:rPr>
          <w:rStyle w:val="16"/>
          <w:rFonts w:hint="eastAsia" w:ascii="仿宋" w:hAnsi="仿宋" w:eastAsia="仿宋"/>
          <w:bCs/>
          <w:sz w:val="32"/>
          <w:szCs w:val="32"/>
        </w:rPr>
        <w:t>支出决算为0万元，完成预算0</w:t>
      </w:r>
      <w:r>
        <w:rPr>
          <w:rStyle w:val="16"/>
          <w:rFonts w:ascii="仿宋" w:hAnsi="仿宋" w:eastAsia="仿宋"/>
          <w:bCs/>
          <w:sz w:val="32"/>
          <w:szCs w:val="32"/>
        </w:rPr>
        <w:t>%</w:t>
      </w:r>
      <w:r>
        <w:rPr>
          <w:rStyle w:val="16"/>
          <w:rFonts w:hint="eastAsia" w:ascii="仿宋" w:hAnsi="仿宋" w:eastAsia="仿宋"/>
          <w:bCs/>
          <w:color w:val="000000" w:themeColor="text1"/>
          <w:sz w:val="32"/>
          <w:szCs w:val="32"/>
          <w14:textFill>
            <w14:solidFill>
              <w14:schemeClr w14:val="tx1"/>
            </w14:solidFill>
          </w14:textFill>
        </w:rPr>
        <w:t>。</w:t>
      </w:r>
    </w:p>
    <w:p>
      <w:pPr>
        <w:pStyle w:val="2"/>
        <w:snapToGrid w:val="0"/>
        <w:spacing w:beforeLines="0" w:line="560" w:lineRule="exact"/>
        <w:ind w:firstLine="642" w:firstLineChars="200"/>
        <w:rPr>
          <w:rStyle w:val="16"/>
          <w:rFonts w:ascii="仿宋" w:hAnsi="仿宋" w:eastAsia="仿宋"/>
          <w:bCs/>
          <w:color w:val="000000" w:themeColor="text1"/>
          <w:sz w:val="32"/>
          <w:szCs w:val="32"/>
          <w14:textFill>
            <w14:solidFill>
              <w14:schemeClr w14:val="tx1"/>
            </w14:solidFill>
          </w14:textFill>
        </w:rPr>
      </w:pPr>
      <w:r>
        <w:rPr>
          <w:rStyle w:val="16"/>
          <w:rFonts w:ascii="仿宋" w:hAnsi="仿宋" w:eastAsia="仿宋"/>
          <w:bCs/>
          <w:sz w:val="32"/>
          <w:szCs w:val="32"/>
        </w:rPr>
        <w:t>3.</w:t>
      </w:r>
      <w:r>
        <w:rPr>
          <w:rStyle w:val="16"/>
          <w:rFonts w:hint="eastAsia" w:ascii="仿宋" w:hAnsi="仿宋" w:eastAsia="仿宋"/>
          <w:bCs/>
          <w:sz w:val="32"/>
          <w:szCs w:val="32"/>
        </w:rPr>
        <w:t>社会保障和就业（类）行政事业单位养老支出（款）事业单位离退休（项）</w:t>
      </w:r>
      <w:r>
        <w:rPr>
          <w:rStyle w:val="16"/>
          <w:rFonts w:ascii="仿宋" w:hAnsi="仿宋" w:eastAsia="仿宋"/>
          <w:bCs/>
          <w:sz w:val="32"/>
          <w:szCs w:val="32"/>
        </w:rPr>
        <w:t xml:space="preserve">: </w:t>
      </w:r>
      <w:r>
        <w:rPr>
          <w:rStyle w:val="16"/>
          <w:rFonts w:hint="eastAsia" w:ascii="仿宋" w:hAnsi="仿宋" w:eastAsia="仿宋"/>
          <w:bCs/>
          <w:sz w:val="32"/>
          <w:szCs w:val="32"/>
        </w:rPr>
        <w:t>支出决算为46.69万元，完成预算100</w:t>
      </w:r>
      <w:r>
        <w:rPr>
          <w:rStyle w:val="16"/>
          <w:rFonts w:ascii="仿宋" w:hAnsi="仿宋" w:eastAsia="仿宋"/>
          <w:bCs/>
          <w:sz w:val="32"/>
          <w:szCs w:val="32"/>
        </w:rPr>
        <w:t>%</w:t>
      </w:r>
      <w:r>
        <w:rPr>
          <w:rStyle w:val="16"/>
          <w:rFonts w:hint="eastAsia" w:ascii="仿宋" w:hAnsi="仿宋" w:eastAsia="仿宋"/>
          <w:bCs/>
          <w:sz w:val="32"/>
          <w:szCs w:val="32"/>
        </w:rPr>
        <w:t>，决算数等于预算数的主要原因是</w:t>
      </w:r>
      <w:r>
        <w:rPr>
          <w:rStyle w:val="16"/>
          <w:rFonts w:hint="eastAsia" w:ascii="仿宋" w:hAnsi="仿宋" w:eastAsia="仿宋"/>
          <w:bCs/>
          <w:color w:val="000000" w:themeColor="text1"/>
          <w:sz w:val="32"/>
          <w:szCs w:val="32"/>
          <w14:textFill>
            <w14:solidFill>
              <w14:schemeClr w14:val="tx1"/>
            </w14:solidFill>
          </w14:textFill>
        </w:rPr>
        <w:t>年初预算根据实际编列，预算执行中根据实际支出情况调整预算</w:t>
      </w:r>
      <w:r>
        <w:rPr>
          <w:rStyle w:val="16"/>
          <w:rFonts w:hint="eastAsia" w:ascii="仿宋" w:hAnsi="仿宋" w:eastAsia="仿宋" w:cstheme="minorBidi"/>
          <w:bCs/>
          <w:color w:val="000000" w:themeColor="text1"/>
          <w:sz w:val="32"/>
          <w:szCs w:val="32"/>
          <w14:textFill>
            <w14:solidFill>
              <w14:schemeClr w14:val="tx1"/>
            </w14:solidFill>
          </w14:textFill>
        </w:rPr>
        <w:t>。</w:t>
      </w:r>
    </w:p>
    <w:p>
      <w:pPr>
        <w:snapToGrid w:val="0"/>
        <w:spacing w:line="560" w:lineRule="exact"/>
        <w:ind w:firstLine="642" w:firstLineChars="200"/>
        <w:rPr>
          <w:rStyle w:val="16"/>
          <w:rFonts w:ascii="仿宋" w:hAnsi="仿宋" w:eastAsia="仿宋"/>
          <w:bCs/>
          <w:color w:val="000000" w:themeColor="text1"/>
          <w:sz w:val="32"/>
          <w:szCs w:val="32"/>
          <w14:textFill>
            <w14:solidFill>
              <w14:schemeClr w14:val="tx1"/>
            </w14:solidFill>
          </w14:textFill>
        </w:rPr>
      </w:pPr>
      <w:r>
        <w:rPr>
          <w:rStyle w:val="16"/>
          <w:rFonts w:ascii="仿宋" w:hAnsi="仿宋" w:eastAsia="仿宋"/>
          <w:bCs/>
          <w:sz w:val="32"/>
          <w:szCs w:val="32"/>
        </w:rPr>
        <w:t>4.</w:t>
      </w:r>
      <w:r>
        <w:rPr>
          <w:rStyle w:val="16"/>
          <w:rFonts w:hint="eastAsia" w:ascii="仿宋" w:hAnsi="仿宋" w:eastAsia="仿宋"/>
          <w:bCs/>
          <w:sz w:val="32"/>
          <w:szCs w:val="32"/>
        </w:rPr>
        <w:t>社会保障和就业（类）行政事业单位养老支出（款）机关事业单位基本养老保险缴费支出（项）</w:t>
      </w:r>
      <w:r>
        <w:rPr>
          <w:rStyle w:val="16"/>
          <w:rFonts w:ascii="仿宋" w:hAnsi="仿宋" w:eastAsia="仿宋"/>
          <w:bCs/>
          <w:sz w:val="32"/>
          <w:szCs w:val="32"/>
        </w:rPr>
        <w:t xml:space="preserve">: </w:t>
      </w:r>
      <w:r>
        <w:rPr>
          <w:rStyle w:val="16"/>
          <w:rFonts w:hint="eastAsia" w:ascii="仿宋" w:hAnsi="仿宋" w:eastAsia="仿宋"/>
          <w:bCs/>
          <w:sz w:val="32"/>
          <w:szCs w:val="32"/>
        </w:rPr>
        <w:t>支出决算为</w:t>
      </w:r>
      <w:r>
        <w:rPr>
          <w:rStyle w:val="16"/>
          <w:rFonts w:hint="eastAsia" w:ascii="仿宋" w:hAnsi="仿宋" w:eastAsia="仿宋"/>
          <w:b w:val="0"/>
          <w:bCs/>
          <w:color w:val="000000" w:themeColor="text1"/>
          <w:sz w:val="32"/>
          <w:szCs w:val="32"/>
          <w14:textFill>
            <w14:solidFill>
              <w14:schemeClr w14:val="tx1"/>
            </w14:solidFill>
          </w14:textFill>
        </w:rPr>
        <w:t>27.99</w:t>
      </w:r>
      <w:r>
        <w:rPr>
          <w:rStyle w:val="16"/>
          <w:rFonts w:hint="eastAsia" w:ascii="仿宋" w:hAnsi="仿宋" w:eastAsia="仿宋"/>
          <w:bCs/>
          <w:sz w:val="32"/>
          <w:szCs w:val="32"/>
        </w:rPr>
        <w:t>万元，完成预算100.00</w:t>
      </w:r>
      <w:r>
        <w:rPr>
          <w:rStyle w:val="16"/>
          <w:rFonts w:ascii="仿宋" w:hAnsi="仿宋" w:eastAsia="仿宋"/>
          <w:bCs/>
          <w:sz w:val="32"/>
          <w:szCs w:val="32"/>
        </w:rPr>
        <w:t>%</w:t>
      </w:r>
      <w:r>
        <w:rPr>
          <w:rStyle w:val="16"/>
          <w:rFonts w:hint="eastAsia" w:ascii="仿宋" w:hAnsi="仿宋" w:eastAsia="仿宋"/>
          <w:bCs/>
          <w:sz w:val="32"/>
          <w:szCs w:val="32"/>
        </w:rPr>
        <w:t>，决算数等于预算数的主要原因是</w:t>
      </w:r>
      <w:r>
        <w:rPr>
          <w:rStyle w:val="16"/>
          <w:rFonts w:hint="eastAsia" w:ascii="仿宋" w:hAnsi="仿宋" w:eastAsia="仿宋"/>
          <w:bCs/>
          <w:color w:val="000000" w:themeColor="text1"/>
          <w:kern w:val="0"/>
          <w:sz w:val="32"/>
          <w:szCs w:val="32"/>
          <w14:textFill>
            <w14:solidFill>
              <w14:schemeClr w14:val="tx1"/>
            </w14:solidFill>
          </w14:textFill>
        </w:rPr>
        <w:t>年初预算根据实际编列，</w:t>
      </w:r>
      <w:r>
        <w:rPr>
          <w:rStyle w:val="16"/>
          <w:rFonts w:hint="eastAsia" w:ascii="仿宋" w:hAnsi="仿宋" w:eastAsia="仿宋"/>
          <w:bCs/>
          <w:color w:val="000000" w:themeColor="text1"/>
          <w:sz w:val="32"/>
          <w:szCs w:val="32"/>
          <w14:textFill>
            <w14:solidFill>
              <w14:schemeClr w14:val="tx1"/>
            </w14:solidFill>
          </w14:textFill>
        </w:rPr>
        <w:t>预算执行中根据实际支出情况调整预算。</w:t>
      </w:r>
    </w:p>
    <w:p>
      <w:pPr>
        <w:snapToGrid w:val="0"/>
        <w:spacing w:line="560" w:lineRule="exact"/>
        <w:ind w:firstLine="642" w:firstLineChars="200"/>
        <w:rPr>
          <w:rStyle w:val="16"/>
          <w:rFonts w:ascii="仿宋" w:hAnsi="仿宋" w:eastAsia="仿宋"/>
          <w:bCs/>
          <w:color w:val="000000" w:themeColor="text1"/>
          <w:sz w:val="32"/>
          <w:szCs w:val="32"/>
          <w14:textFill>
            <w14:solidFill>
              <w14:schemeClr w14:val="tx1"/>
            </w14:solidFill>
          </w14:textFill>
        </w:rPr>
      </w:pPr>
      <w:r>
        <w:rPr>
          <w:rStyle w:val="16"/>
          <w:rFonts w:ascii="仿宋" w:hAnsi="仿宋" w:eastAsia="仿宋"/>
          <w:bCs/>
          <w:sz w:val="32"/>
          <w:szCs w:val="32"/>
        </w:rPr>
        <w:t>5.</w:t>
      </w:r>
      <w:r>
        <w:rPr>
          <w:rStyle w:val="16"/>
          <w:rFonts w:hint="eastAsia" w:ascii="仿宋" w:hAnsi="仿宋" w:eastAsia="仿宋"/>
          <w:bCs/>
          <w:sz w:val="32"/>
          <w:szCs w:val="32"/>
        </w:rPr>
        <w:t>社会保障和就业（类）其他社会保障和就业支出（款）其他社会保障和就业支出（项）</w:t>
      </w:r>
      <w:r>
        <w:rPr>
          <w:rStyle w:val="16"/>
          <w:rFonts w:ascii="仿宋" w:hAnsi="仿宋" w:eastAsia="仿宋"/>
          <w:bCs/>
          <w:sz w:val="32"/>
          <w:szCs w:val="32"/>
        </w:rPr>
        <w:t xml:space="preserve">: </w:t>
      </w:r>
      <w:r>
        <w:rPr>
          <w:rStyle w:val="16"/>
          <w:rFonts w:hint="eastAsia" w:ascii="仿宋" w:hAnsi="仿宋" w:eastAsia="仿宋"/>
          <w:bCs/>
          <w:sz w:val="32"/>
          <w:szCs w:val="32"/>
        </w:rPr>
        <w:t>支出决算为</w:t>
      </w:r>
      <w:r>
        <w:rPr>
          <w:rStyle w:val="16"/>
          <w:rFonts w:hint="eastAsia" w:ascii="仿宋" w:hAnsi="仿宋" w:eastAsia="仿宋"/>
          <w:b w:val="0"/>
          <w:bCs/>
          <w:color w:val="000000" w:themeColor="text1"/>
          <w:sz w:val="32"/>
          <w:szCs w:val="32"/>
          <w14:textFill>
            <w14:solidFill>
              <w14:schemeClr w14:val="tx1"/>
            </w14:solidFill>
          </w14:textFill>
        </w:rPr>
        <w:t>1.92</w:t>
      </w:r>
      <w:r>
        <w:rPr>
          <w:rStyle w:val="16"/>
          <w:rFonts w:hint="eastAsia" w:ascii="仿宋" w:hAnsi="仿宋" w:eastAsia="仿宋"/>
          <w:bCs/>
          <w:sz w:val="32"/>
          <w:szCs w:val="32"/>
        </w:rPr>
        <w:t>万元，完成预算100</w:t>
      </w:r>
      <w:r>
        <w:rPr>
          <w:rStyle w:val="16"/>
          <w:rFonts w:ascii="仿宋" w:hAnsi="仿宋" w:eastAsia="仿宋"/>
          <w:bCs/>
          <w:sz w:val="32"/>
          <w:szCs w:val="32"/>
        </w:rPr>
        <w:t>%</w:t>
      </w:r>
      <w:r>
        <w:rPr>
          <w:rStyle w:val="16"/>
          <w:rFonts w:hint="eastAsia" w:ascii="仿宋" w:hAnsi="仿宋" w:eastAsia="仿宋"/>
          <w:bCs/>
          <w:color w:val="000000" w:themeColor="text1"/>
          <w:sz w:val="32"/>
          <w:szCs w:val="32"/>
          <w14:textFill>
            <w14:solidFill>
              <w14:schemeClr w14:val="tx1"/>
            </w14:solidFill>
          </w14:textFill>
        </w:rPr>
        <w:t>。</w:t>
      </w:r>
    </w:p>
    <w:p>
      <w:pPr>
        <w:snapToGrid w:val="0"/>
        <w:spacing w:line="550" w:lineRule="exact"/>
        <w:ind w:firstLine="642" w:firstLineChars="200"/>
        <w:outlineLvl w:val="2"/>
        <w:rPr>
          <w:rStyle w:val="16"/>
          <w:rFonts w:ascii="仿宋" w:hAnsi="仿宋" w:eastAsia="仿宋"/>
          <w:bCs/>
          <w:color w:val="000000" w:themeColor="text1"/>
          <w:sz w:val="32"/>
          <w:szCs w:val="32"/>
          <w14:textFill>
            <w14:solidFill>
              <w14:schemeClr w14:val="tx1"/>
            </w14:solidFill>
          </w14:textFill>
        </w:rPr>
      </w:pPr>
      <w:r>
        <w:rPr>
          <w:rStyle w:val="16"/>
          <w:rFonts w:ascii="仿宋" w:hAnsi="仿宋" w:eastAsia="仿宋"/>
          <w:bCs/>
          <w:sz w:val="32"/>
          <w:szCs w:val="32"/>
        </w:rPr>
        <w:t>6.</w:t>
      </w:r>
      <w:r>
        <w:rPr>
          <w:rStyle w:val="16"/>
          <w:rFonts w:hint="eastAsia" w:ascii="仿宋" w:hAnsi="仿宋" w:eastAsia="仿宋"/>
          <w:bCs/>
          <w:sz w:val="32"/>
          <w:szCs w:val="32"/>
        </w:rPr>
        <w:t>卫生健康支出（类）行政事业单位医疗（款）事业单位医疗（项）</w:t>
      </w:r>
      <w:r>
        <w:rPr>
          <w:rStyle w:val="16"/>
          <w:rFonts w:ascii="仿宋" w:hAnsi="仿宋" w:eastAsia="仿宋"/>
          <w:bCs/>
          <w:sz w:val="32"/>
          <w:szCs w:val="32"/>
        </w:rPr>
        <w:t xml:space="preserve">: </w:t>
      </w:r>
      <w:r>
        <w:rPr>
          <w:rStyle w:val="16"/>
          <w:rFonts w:hint="eastAsia" w:ascii="仿宋" w:hAnsi="仿宋" w:eastAsia="仿宋"/>
          <w:bCs/>
          <w:sz w:val="32"/>
          <w:szCs w:val="32"/>
        </w:rPr>
        <w:t>支出决算为</w:t>
      </w:r>
      <w:r>
        <w:rPr>
          <w:rStyle w:val="16"/>
          <w:rFonts w:hint="eastAsia" w:ascii="仿宋" w:hAnsi="仿宋" w:eastAsia="仿宋"/>
          <w:b w:val="0"/>
          <w:bCs/>
          <w:color w:val="000000" w:themeColor="text1"/>
          <w:sz w:val="32"/>
          <w:szCs w:val="32"/>
          <w14:textFill>
            <w14:solidFill>
              <w14:schemeClr w14:val="tx1"/>
            </w14:solidFill>
          </w14:textFill>
        </w:rPr>
        <w:t>14.09万元，完成预算100.00</w:t>
      </w:r>
      <w:r>
        <w:rPr>
          <w:rStyle w:val="16"/>
          <w:rFonts w:ascii="仿宋" w:hAnsi="仿宋" w:eastAsia="仿宋"/>
          <w:bCs/>
          <w:color w:val="000000" w:themeColor="text1"/>
          <w:sz w:val="32"/>
          <w:szCs w:val="32"/>
          <w14:textFill>
            <w14:solidFill>
              <w14:schemeClr w14:val="tx1"/>
            </w14:solidFill>
          </w14:textFill>
        </w:rPr>
        <w:t>%</w:t>
      </w:r>
      <w:r>
        <w:rPr>
          <w:rStyle w:val="16"/>
          <w:rFonts w:hint="eastAsia" w:ascii="仿宋" w:hAnsi="仿宋" w:eastAsia="仿宋"/>
          <w:b w:val="0"/>
          <w:bCs/>
          <w:color w:val="000000" w:themeColor="text1"/>
          <w:sz w:val="32"/>
          <w:szCs w:val="32"/>
          <w14:textFill>
            <w14:solidFill>
              <w14:schemeClr w14:val="tx1"/>
            </w14:solidFill>
          </w14:textFill>
        </w:rPr>
        <w:t>，决算数等于预算数的主要原因是</w:t>
      </w:r>
      <w:r>
        <w:rPr>
          <w:rStyle w:val="16"/>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16"/>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60" w:lineRule="exact"/>
        <w:ind w:firstLine="642" w:firstLineChars="200"/>
        <w:rPr>
          <w:rFonts w:ascii="仿宋" w:hAnsi="仿宋" w:eastAsia="仿宋"/>
          <w:b/>
          <w:color w:val="00B0F0"/>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napToGrid w:val="0"/>
        <w:spacing w:line="550" w:lineRule="exact"/>
        <w:ind w:firstLine="640"/>
        <w:outlineLvl w:val="1"/>
        <w:rPr>
          <w:rStyle w:val="27"/>
          <w:color w:val="000000" w:themeColor="text1"/>
          <w14:textFill>
            <w14:solidFill>
              <w14:schemeClr w14:val="tx1"/>
            </w14:solidFill>
          </w14:textFill>
        </w:rPr>
      </w:pPr>
      <w:bookmarkStart w:id="39" w:name="_Toc15396608"/>
      <w:bookmarkStart w:id="40" w:name="_Toc22707"/>
      <w:bookmarkStart w:id="41" w:name="_Toc15377214"/>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7"/>
          <w:rFonts w:hint="eastAsia" w:ascii="黑体" w:hAnsi="黑体" w:eastAsia="黑体"/>
          <w:b w:val="0"/>
          <w:color w:val="000000" w:themeColor="text1"/>
          <w14:textFill>
            <w14:solidFill>
              <w14:schemeClr w14:val="tx1"/>
            </w14:solidFill>
          </w14:textFill>
        </w:rPr>
        <w:t>般公共预算财政拨款基本支出决算情况说明</w:t>
      </w:r>
      <w:bookmarkEnd w:id="39"/>
      <w:bookmarkEnd w:id="40"/>
      <w:bookmarkEnd w:id="41"/>
      <w:r>
        <w:rPr>
          <w:rStyle w:val="27"/>
          <w:rFonts w:ascii="黑体" w:hAnsi="黑体" w:eastAsia="黑体"/>
          <w:b w:val="0"/>
          <w:color w:val="000000" w:themeColor="text1"/>
          <w14:textFill>
            <w14:solidFill>
              <w14:schemeClr w14:val="tx1"/>
            </w14:solidFill>
          </w14:textFill>
        </w:rPr>
        <w:tab/>
      </w:r>
    </w:p>
    <w:p>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pacing w:val="-6"/>
          <w:sz w:val="32"/>
          <w:szCs w:val="32"/>
          <w14:textFill>
            <w14:solidFill>
              <w14:schemeClr w14:val="tx1"/>
            </w14:solidFill>
          </w14:textFill>
        </w:rPr>
        <w:t>0</w:t>
      </w:r>
      <w:r>
        <w:rPr>
          <w:rFonts w:hint="eastAsia" w:ascii="仿宋" w:hAnsi="仿宋" w:eastAsia="仿宋"/>
          <w:color w:val="000000" w:themeColor="text1"/>
          <w:spacing w:val="-6"/>
          <w:sz w:val="32"/>
          <w:szCs w:val="32"/>
          <w14:textFill>
            <w14:solidFill>
              <w14:schemeClr w14:val="tx1"/>
            </w14:solidFill>
          </w14:textFill>
        </w:rPr>
        <w:t>21年一般公共预算财政拨款基本支出441.89万元，其中：</w:t>
      </w:r>
    </w:p>
    <w:p>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员经费399.91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用经费41.98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napToGrid w:val="0"/>
        <w:spacing w:line="550" w:lineRule="exact"/>
        <w:ind w:firstLine="645"/>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6表和财决08-1表，仅罗列本单位实际支出涉及的经济分类科目。）</w:t>
      </w:r>
    </w:p>
    <w:p>
      <w:pPr>
        <w:snapToGrid w:val="0"/>
        <w:spacing w:line="550" w:lineRule="exact"/>
        <w:ind w:firstLine="640"/>
        <w:outlineLvl w:val="1"/>
        <w:rPr>
          <w:rStyle w:val="27"/>
          <w:rFonts w:ascii="黑体" w:hAnsi="黑体" w:eastAsia="黑体"/>
          <w:b w:val="0"/>
          <w:color w:val="000000" w:themeColor="text1"/>
          <w14:textFill>
            <w14:solidFill>
              <w14:schemeClr w14:val="tx1"/>
            </w14:solidFill>
          </w14:textFill>
        </w:rPr>
      </w:pPr>
      <w:bookmarkStart w:id="42" w:name="_Toc17578"/>
      <w:bookmarkStart w:id="43" w:name="_Toc15377215"/>
      <w:bookmarkStart w:id="44" w:name="_Toc15396609"/>
      <w:r>
        <w:rPr>
          <w:rFonts w:hint="eastAsia" w:ascii="黑体" w:eastAsia="黑体"/>
          <w:color w:val="000000" w:themeColor="text1"/>
          <w:sz w:val="32"/>
          <w:szCs w:val="32"/>
          <w14:textFill>
            <w14:solidFill>
              <w14:schemeClr w14:val="tx1"/>
            </w14:solidFill>
          </w14:textFill>
        </w:rPr>
        <w:t>七、</w:t>
      </w:r>
      <w:r>
        <w:rPr>
          <w:rStyle w:val="27"/>
          <w:rFonts w:hint="eastAsia" w:ascii="黑体" w:hAnsi="黑体" w:eastAsia="黑体"/>
          <w:color w:val="000000" w:themeColor="text1"/>
          <w14:textFill>
            <w14:solidFill>
              <w14:schemeClr w14:val="tx1"/>
            </w14:solidFill>
          </w14:textFill>
        </w:rPr>
        <w:t>“</w:t>
      </w:r>
      <w:r>
        <w:rPr>
          <w:rStyle w:val="27"/>
          <w:rFonts w:hint="eastAsia" w:ascii="黑体" w:hAnsi="黑体" w:eastAsia="黑体"/>
          <w:b w:val="0"/>
          <w:color w:val="000000" w:themeColor="text1"/>
          <w14:textFill>
            <w14:solidFill>
              <w14:schemeClr w14:val="tx1"/>
            </w14:solidFill>
          </w14:textFill>
        </w:rPr>
        <w:t>三公”经费财政拨款支出决算情况说明</w:t>
      </w:r>
      <w:bookmarkEnd w:id="42"/>
      <w:bookmarkEnd w:id="43"/>
      <w:bookmarkEnd w:id="44"/>
    </w:p>
    <w:p>
      <w:pPr>
        <w:snapToGrid w:val="0"/>
        <w:spacing w:line="560" w:lineRule="exact"/>
        <w:ind w:firstLine="640" w:firstLineChars="200"/>
        <w:outlineLvl w:val="2"/>
        <w:rPr>
          <w:rFonts w:ascii="楷体" w:hAnsi="楷体" w:eastAsia="楷体" w:cs="楷体"/>
          <w:bCs/>
          <w:sz w:val="32"/>
          <w:szCs w:val="32"/>
        </w:rPr>
      </w:pPr>
      <w:bookmarkStart w:id="45" w:name="_Toc15377216"/>
      <w:bookmarkStart w:id="46" w:name="_Hlk146205862"/>
      <w:bookmarkStart w:id="47" w:name="_Toc15377224"/>
      <w:r>
        <w:rPr>
          <w:rFonts w:hint="eastAsia" w:ascii="楷体" w:hAnsi="楷体" w:eastAsia="楷体" w:cs="楷体"/>
          <w:bCs/>
          <w:sz w:val="32"/>
          <w:szCs w:val="32"/>
        </w:rPr>
        <w:t>（一）“三公”经费财政拨款支出决算总体情况说明</w:t>
      </w:r>
      <w:bookmarkEnd w:id="45"/>
    </w:p>
    <w:p>
      <w:pPr>
        <w:snapToGrid w:val="0"/>
        <w:spacing w:line="56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w:t>
      </w:r>
    </w:p>
    <w:p>
      <w:pPr>
        <w:snapToGrid w:val="0"/>
        <w:spacing w:line="560" w:lineRule="exact"/>
        <w:ind w:firstLine="640"/>
        <w:rPr>
          <w:rFonts w:ascii="仿宋" w:hAnsi="仿宋" w:eastAsia="仿宋"/>
          <w:b/>
          <w:sz w:val="32"/>
          <w:szCs w:val="32"/>
        </w:rPr>
      </w:pPr>
      <w:r>
        <w:rPr>
          <w:rFonts w:hint="eastAsia" w:ascii="仿宋" w:hAnsi="仿宋" w:eastAsia="仿宋"/>
          <w:b/>
          <w:sz w:val="32"/>
          <w:szCs w:val="32"/>
        </w:rPr>
        <w:t>（注：上述“预算”口径为调整预算数。）</w:t>
      </w:r>
    </w:p>
    <w:p>
      <w:pPr>
        <w:snapToGrid w:val="0"/>
        <w:spacing w:line="560" w:lineRule="exact"/>
        <w:ind w:firstLine="640" w:firstLineChars="200"/>
        <w:outlineLvl w:val="2"/>
        <w:rPr>
          <w:rFonts w:ascii="楷体" w:hAnsi="楷体" w:eastAsia="楷体" w:cs="楷体"/>
          <w:bCs/>
          <w:sz w:val="32"/>
          <w:szCs w:val="32"/>
        </w:rPr>
      </w:pPr>
      <w:bookmarkStart w:id="48" w:name="_Toc15377217"/>
      <w:bookmarkStart w:id="49" w:name="_Hlk146184426"/>
      <w:r>
        <w:rPr>
          <w:rFonts w:hint="eastAsia" w:ascii="楷体" w:hAnsi="楷体" w:eastAsia="楷体" w:cs="楷体"/>
          <w:bCs/>
          <w:sz w:val="32"/>
          <w:szCs w:val="32"/>
        </w:rPr>
        <w:t>（二）“三公”经费财政拨款支出决算具体情况说明</w:t>
      </w:r>
      <w:bookmarkEnd w:id="48"/>
    </w:p>
    <w:bookmarkEnd w:id="49"/>
    <w:p>
      <w:pPr>
        <w:snapToGrid w:val="0"/>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r>
        <w:rPr>
          <w:rFonts w:ascii="仿宋" w:hAnsi="仿宋" w:eastAsia="仿宋"/>
          <w:sz w:val="32"/>
          <w:szCs w:val="32"/>
        </w:rPr>
        <w:t xml:space="preserve"> </w:t>
      </w:r>
    </w:p>
    <w:p>
      <w:pPr>
        <w:spacing w:line="560" w:lineRule="exact"/>
        <w:ind w:firstLine="642" w:firstLineChars="200"/>
        <w:rPr>
          <w:rFonts w:ascii="仿宋_GB2312" w:eastAsia="仿宋_GB2312"/>
          <w:b/>
          <w:color w:val="000000" w:themeColor="text1"/>
          <w:sz w:val="32"/>
          <w:szCs w:val="32"/>
          <w14:textFill>
            <w14:solidFill>
              <w14:schemeClr w14:val="tx1"/>
            </w14:solidFill>
          </w14:textFill>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6"/>
          <w:rFonts w:hint="eastAsia" w:ascii="仿宋" w:hAnsi="仿宋" w:eastAsia="仿宋"/>
          <w:bCs/>
          <w:sz w:val="32"/>
          <w:szCs w:val="32"/>
        </w:rPr>
        <w:t>完成预算</w:t>
      </w:r>
      <w:r>
        <w:rPr>
          <w:rFonts w:hint="eastAsia" w:ascii="仿宋_GB2312" w:eastAsia="仿宋_GB2312"/>
          <w:sz w:val="32"/>
          <w:szCs w:val="32"/>
        </w:rPr>
        <w:t>0.00</w:t>
      </w:r>
      <w:r>
        <w:rPr>
          <w:rStyle w:val="16"/>
          <w:rFonts w:ascii="仿宋" w:hAnsi="仿宋" w:eastAsia="仿宋"/>
          <w:bCs/>
          <w:sz w:val="32"/>
          <w:szCs w:val="32"/>
        </w:rPr>
        <w:t>%</w:t>
      </w:r>
      <w:r>
        <w:rPr>
          <w:rStyle w:val="16"/>
          <w:rFonts w:hint="eastAsia" w:ascii="仿宋" w:hAnsi="仿宋" w:eastAsia="仿宋"/>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w:t>
      </w:r>
      <w:r>
        <w:rPr>
          <w:rStyle w:val="16"/>
          <w:rFonts w:hint="eastAsia" w:ascii="仿宋" w:hAnsi="仿宋" w:eastAsia="仿宋"/>
          <w:bCs/>
          <w:color w:val="000000" w:themeColor="text1"/>
          <w:kern w:val="0"/>
          <w:sz w:val="32"/>
          <w:szCs w:val="32"/>
          <w14:textFill>
            <w14:solidFill>
              <w14:schemeClr w14:val="tx1"/>
            </w14:solidFill>
          </w14:textFill>
        </w:rPr>
        <w:t>当年未安排因公出国（境）支出预算，无因公出国（境）支出。</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开支内容包括：</w:t>
      </w:r>
      <w:r>
        <w:rPr>
          <w:rStyle w:val="16"/>
          <w:rFonts w:hint="eastAsia" w:ascii="仿宋" w:hAnsi="仿宋" w:eastAsia="仿宋"/>
          <w:bCs/>
          <w:color w:val="000000" w:themeColor="text1"/>
          <w:kern w:val="0"/>
          <w:sz w:val="32"/>
          <w:szCs w:val="32"/>
          <w14:textFill>
            <w14:solidFill>
              <w14:schemeClr w14:val="tx1"/>
            </w14:solidFill>
          </w14:textFill>
        </w:rPr>
        <w:t>本年度未安排因公出国（境）支出。</w:t>
      </w:r>
    </w:p>
    <w:p>
      <w:pPr>
        <w:spacing w:line="560" w:lineRule="exact"/>
        <w:ind w:firstLine="640"/>
        <w:rPr>
          <w:rStyle w:val="16"/>
          <w:rFonts w:ascii="仿宋" w:hAnsi="仿宋" w:eastAsia="仿宋"/>
          <w:b w:val="0"/>
          <w:bCs/>
          <w:color w:val="000000" w:themeColor="text1"/>
          <w:kern w:val="0"/>
          <w:sz w:val="32"/>
          <w:szCs w:val="32"/>
          <w14:textFill>
            <w14:solidFill>
              <w14:schemeClr w14:val="tx1"/>
            </w14:solidFill>
          </w14:textFill>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6"/>
          <w:rFonts w:hint="eastAsia" w:ascii="仿宋" w:hAnsi="仿宋" w:eastAsia="仿宋"/>
          <w:bCs/>
          <w:sz w:val="32"/>
          <w:szCs w:val="32"/>
        </w:rPr>
        <w:t>完成预算0.00</w:t>
      </w:r>
      <w:r>
        <w:rPr>
          <w:rStyle w:val="16"/>
          <w:rFonts w:ascii="仿宋" w:hAnsi="仿宋" w:eastAsia="仿宋"/>
          <w:bCs/>
          <w:sz w:val="32"/>
          <w:szCs w:val="32"/>
        </w:rPr>
        <w:t>%</w:t>
      </w:r>
      <w:r>
        <w:rPr>
          <w:rStyle w:val="16"/>
          <w:rFonts w:hint="eastAsia" w:ascii="仿宋" w:hAnsi="仿宋" w:eastAsia="仿宋"/>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Style w:val="16"/>
          <w:rFonts w:hint="eastAsia" w:ascii="仿宋" w:hAnsi="仿宋" w:eastAsia="仿宋"/>
          <w:bCs/>
          <w:color w:val="000000" w:themeColor="text1"/>
          <w:kern w:val="0"/>
          <w:sz w:val="32"/>
          <w:szCs w:val="32"/>
          <w14:textFill>
            <w14:solidFill>
              <w14:schemeClr w14:val="tx1"/>
            </w14:solidFill>
          </w14:textFill>
        </w:rPr>
        <w:t>。</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0.00万元。全年按规定更新购置公务用车0辆，其中：轿车0辆、金额0.00万元，越野车0辆、金额0.00万元，载客汽车0辆、金额0.00万元。截至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公务用车运行维护费支出</w:t>
      </w:r>
      <w:r>
        <w:rPr>
          <w:rFonts w:hint="eastAsia" w:ascii="仿宋_GB2312" w:eastAsia="仿宋_GB2312"/>
          <w:sz w:val="32"/>
          <w:szCs w:val="32"/>
        </w:rPr>
        <w:t>0.00万元。主要用于（具体工作等所需的公务用车燃料费、维修费、过路过桥费、保险费等支出）</w:t>
      </w:r>
      <w:r>
        <w:rPr>
          <w:rStyle w:val="16"/>
          <w:rFonts w:hint="eastAsia" w:ascii="仿宋" w:hAnsi="仿宋" w:eastAsia="仿宋"/>
          <w:bCs/>
          <w:color w:val="000000" w:themeColor="text1"/>
          <w:kern w:val="0"/>
          <w:sz w:val="32"/>
          <w:szCs w:val="32"/>
          <w14:textFill>
            <w14:solidFill>
              <w14:schemeClr w14:val="tx1"/>
            </w14:solidFill>
          </w14:textFill>
        </w:rPr>
        <w:t>本年度未安排公务用车运行维护费支出。</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0万元，</w:t>
      </w:r>
      <w:r>
        <w:rPr>
          <w:rStyle w:val="16"/>
          <w:rFonts w:hint="eastAsia" w:ascii="仿宋" w:hAnsi="仿宋" w:eastAsia="仿宋"/>
          <w:bCs/>
          <w:sz w:val="32"/>
          <w:szCs w:val="32"/>
        </w:rPr>
        <w:t>完成预算0</w:t>
      </w:r>
      <w:r>
        <w:rPr>
          <w:rStyle w:val="16"/>
          <w:rFonts w:ascii="仿宋" w:hAnsi="仿宋" w:eastAsia="仿宋"/>
          <w:bCs/>
          <w:sz w:val="32"/>
          <w:szCs w:val="32"/>
        </w:rPr>
        <w:t>%</w:t>
      </w:r>
      <w:r>
        <w:rPr>
          <w:rStyle w:val="16"/>
          <w:rFonts w:hint="eastAsia" w:ascii="仿宋" w:hAnsi="仿宋" w:eastAsia="仿宋"/>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20年减少0万元，下降0</w:t>
      </w:r>
      <w:r>
        <w:rPr>
          <w:rFonts w:ascii="仿宋_GB2312" w:eastAsia="仿宋_GB2312"/>
          <w:sz w:val="32"/>
          <w:szCs w:val="32"/>
        </w:rPr>
        <w:t>%</w:t>
      </w:r>
      <w:r>
        <w:rPr>
          <w:rFonts w:hint="eastAsia" w:ascii="仿宋_GB2312" w:eastAsia="仿宋_GB2312"/>
          <w:sz w:val="32"/>
          <w:szCs w:val="32"/>
        </w:rPr>
        <w:t>。</w:t>
      </w:r>
    </w:p>
    <w:p>
      <w:pPr>
        <w:spacing w:line="560" w:lineRule="exact"/>
        <w:ind w:firstLine="640"/>
        <w:outlineLvl w:val="1"/>
        <w:rPr>
          <w:rFonts w:ascii="仿宋_GB2312" w:eastAsia="仿宋_GB2312"/>
          <w:sz w:val="32"/>
          <w:szCs w:val="32"/>
        </w:rPr>
      </w:pPr>
      <w:r>
        <w:rPr>
          <w:rFonts w:hint="eastAsia" w:ascii="仿宋_GB2312" w:eastAsia="仿宋_GB2312"/>
          <w:sz w:val="32"/>
          <w:szCs w:val="32"/>
        </w:rPr>
        <w:t>外事接待支出0.00万元，外事接待0批次，0人，共计支出0.00万元。</w:t>
      </w:r>
    </w:p>
    <w:bookmarkEnd w:id="46"/>
    <w:p>
      <w:pPr>
        <w:spacing w:line="560" w:lineRule="exact"/>
        <w:ind w:firstLine="640"/>
        <w:outlineLvl w:val="1"/>
        <w:rPr>
          <w:rStyle w:val="35"/>
          <w:rFonts w:ascii="黑体" w:hAnsi="黑体" w:eastAsia="黑体"/>
        </w:rPr>
      </w:pPr>
      <w:bookmarkStart w:id="50" w:name="_Toc15396610"/>
      <w:bookmarkStart w:id="51" w:name="_Toc15377218"/>
      <w:bookmarkStart w:id="52" w:name="_Toc21094"/>
      <w:r>
        <w:rPr>
          <w:rFonts w:hint="eastAsia" w:ascii="黑体" w:eastAsia="黑体"/>
          <w:sz w:val="32"/>
          <w:szCs w:val="32"/>
        </w:rPr>
        <w:t>八、</w:t>
      </w:r>
      <w:r>
        <w:rPr>
          <w:rStyle w:val="35"/>
          <w:rFonts w:hint="eastAsia" w:ascii="黑体" w:hAnsi="黑体" w:eastAsia="黑体"/>
          <w:b w:val="0"/>
        </w:rPr>
        <w:t>政府性基金预算支出决算情况说明</w:t>
      </w:r>
      <w:bookmarkEnd w:id="50"/>
      <w:bookmarkEnd w:id="51"/>
      <w:bookmarkEnd w:id="52"/>
    </w:p>
    <w:p>
      <w:pPr>
        <w:spacing w:line="560" w:lineRule="exact"/>
        <w:ind w:firstLine="640"/>
        <w:outlineLvl w:val="2"/>
        <w:rPr>
          <w:rFonts w:ascii="仿宋_GB2312" w:eastAsia="仿宋_GB2312"/>
          <w:sz w:val="32"/>
          <w:szCs w:val="32"/>
        </w:rPr>
      </w:pPr>
      <w:r>
        <w:rPr>
          <w:rFonts w:hint="eastAsia" w:ascii="仿宋" w:hAnsi="仿宋" w:eastAsia="仿宋" w:cs="仿宋"/>
          <w:sz w:val="32"/>
          <w:szCs w:val="32"/>
        </w:rPr>
        <w:t>2021年政府性基金预算财政拨款支出0.00万元</w:t>
      </w:r>
      <w:r>
        <w:rPr>
          <w:rFonts w:hint="eastAsia" w:ascii="仿宋_GB2312" w:eastAsia="仿宋_GB2312"/>
          <w:sz w:val="32"/>
          <w:szCs w:val="32"/>
        </w:rPr>
        <w:t>。</w:t>
      </w:r>
    </w:p>
    <w:p>
      <w:pPr>
        <w:numPr>
          <w:ilvl w:val="0"/>
          <w:numId w:val="3"/>
        </w:numPr>
        <w:spacing w:line="560" w:lineRule="exact"/>
        <w:ind w:firstLine="640"/>
        <w:outlineLvl w:val="1"/>
        <w:rPr>
          <w:rStyle w:val="35"/>
          <w:rFonts w:ascii="黑体" w:hAnsi="黑体" w:eastAsia="黑体"/>
          <w:b w:val="0"/>
        </w:rPr>
      </w:pPr>
      <w:bookmarkStart w:id="53" w:name="_Toc4469"/>
      <w:bookmarkStart w:id="54" w:name="_Toc15396611"/>
      <w:bookmarkStart w:id="55" w:name="_Toc15377219"/>
      <w:r>
        <w:rPr>
          <w:rStyle w:val="35"/>
          <w:rFonts w:hint="eastAsia" w:ascii="黑体" w:hAnsi="黑体" w:eastAsia="黑体"/>
          <w:b w:val="0"/>
        </w:rPr>
        <w:t>国有资本经营预算支出决算情况说明</w:t>
      </w:r>
      <w:bookmarkEnd w:id="53"/>
      <w:bookmarkEnd w:id="54"/>
      <w:bookmarkEnd w:id="55"/>
    </w:p>
    <w:p>
      <w:pPr>
        <w:spacing w:line="560" w:lineRule="exact"/>
        <w:ind w:firstLine="640"/>
        <w:outlineLvl w:val="2"/>
        <w:rPr>
          <w:rFonts w:ascii="仿宋" w:hAnsi="仿宋" w:eastAsia="仿宋" w:cs="仿宋"/>
          <w:sz w:val="32"/>
          <w:szCs w:val="32"/>
        </w:rPr>
      </w:pPr>
      <w:r>
        <w:rPr>
          <w:rFonts w:hint="eastAsia" w:ascii="仿宋" w:hAnsi="仿宋" w:eastAsia="仿宋" w:cs="仿宋"/>
          <w:sz w:val="32"/>
          <w:szCs w:val="32"/>
        </w:rPr>
        <w:t>2021年国有资本经营预算财政拨款支出0.00万元。</w:t>
      </w:r>
    </w:p>
    <w:p>
      <w:pPr>
        <w:numPr>
          <w:ilvl w:val="0"/>
          <w:numId w:val="3"/>
        </w:numPr>
        <w:spacing w:line="560" w:lineRule="exact"/>
        <w:ind w:firstLine="640"/>
        <w:outlineLvl w:val="1"/>
        <w:rPr>
          <w:rStyle w:val="35"/>
          <w:rFonts w:ascii="黑体" w:hAnsi="黑体" w:eastAsia="黑体"/>
          <w:b w:val="0"/>
        </w:rPr>
      </w:pPr>
      <w:bookmarkStart w:id="56" w:name="_Toc15396612"/>
      <w:bookmarkStart w:id="57" w:name="_Toc10003"/>
      <w:bookmarkStart w:id="58" w:name="_Toc15377221"/>
      <w:bookmarkStart w:id="59" w:name="_Hlk146206394"/>
      <w:bookmarkStart w:id="60" w:name="_Hlk146205778"/>
      <w:bookmarkStart w:id="61" w:name="_Hlk146101583"/>
      <w:r>
        <w:rPr>
          <w:rStyle w:val="35"/>
          <w:rFonts w:hint="eastAsia" w:ascii="黑体" w:hAnsi="黑体" w:eastAsia="黑体"/>
          <w:b w:val="0"/>
        </w:rPr>
        <w:t>其他重要事项的情况说明</w:t>
      </w:r>
      <w:bookmarkEnd w:id="56"/>
      <w:bookmarkEnd w:id="57"/>
      <w:bookmarkEnd w:id="58"/>
    </w:p>
    <w:bookmarkEnd w:id="59"/>
    <w:p>
      <w:pPr>
        <w:spacing w:line="560" w:lineRule="exact"/>
        <w:ind w:firstLine="640" w:firstLineChars="200"/>
        <w:outlineLvl w:val="2"/>
        <w:rPr>
          <w:rFonts w:ascii="楷体" w:hAnsi="楷体" w:eastAsia="楷体" w:cs="楷体"/>
          <w:bCs/>
          <w:sz w:val="32"/>
          <w:szCs w:val="32"/>
        </w:rPr>
      </w:pPr>
      <w:bookmarkStart w:id="62" w:name="_Toc15377222"/>
      <w:bookmarkStart w:id="63" w:name="_Hlk146183594"/>
      <w:bookmarkStart w:id="64" w:name="_Hlk146206262"/>
      <w:bookmarkStart w:id="65" w:name="_Hlk146106132"/>
      <w:r>
        <w:rPr>
          <w:rFonts w:hint="eastAsia" w:ascii="楷体" w:hAnsi="楷体" w:eastAsia="楷体" w:cs="楷体"/>
          <w:bCs/>
          <w:sz w:val="32"/>
          <w:szCs w:val="32"/>
        </w:rPr>
        <w:t>（一）机关运行经费支出情况</w:t>
      </w:r>
      <w:bookmarkEnd w:id="62"/>
    </w:p>
    <w:p>
      <w:pPr>
        <w:spacing w:line="600" w:lineRule="exact"/>
        <w:ind w:firstLine="640" w:firstLineChars="200"/>
        <w:rPr>
          <w:rFonts w:ascii="仿宋_GB2312" w:eastAsia="仿宋_GB2312"/>
          <w:sz w:val="32"/>
          <w:szCs w:val="32"/>
        </w:rPr>
      </w:pPr>
      <w:bookmarkStart w:id="66" w:name="_Hlk146102482"/>
      <w:bookmarkStart w:id="67" w:name="_Hlk146184241"/>
      <w:r>
        <w:rPr>
          <w:rFonts w:ascii="仿宋_GB2312" w:eastAsia="仿宋_GB2312"/>
          <w:sz w:val="32"/>
          <w:szCs w:val="32"/>
        </w:rPr>
        <w:t>20</w:t>
      </w:r>
      <w:r>
        <w:rPr>
          <w:rFonts w:hint="eastAsia" w:ascii="仿宋_GB2312" w:eastAsia="仿宋_GB2312"/>
          <w:sz w:val="32"/>
          <w:szCs w:val="32"/>
        </w:rPr>
        <w:t>21年，</w:t>
      </w:r>
      <w:r>
        <w:rPr>
          <w:rFonts w:hint="eastAsia" w:ascii="仿宋_GB2312" w:hAnsi="仿宋_GB2312" w:eastAsia="仿宋_GB2312" w:cs="仿宋_GB2312"/>
          <w:sz w:val="32"/>
          <w:szCs w:val="32"/>
        </w:rPr>
        <w:t>本单位</w:t>
      </w:r>
      <w:r>
        <w:rPr>
          <w:rFonts w:hint="eastAsia" w:ascii="仿宋_GB2312" w:eastAsia="仿宋_GB2312"/>
          <w:sz w:val="32"/>
          <w:szCs w:val="32"/>
        </w:rPr>
        <w:t>机关运行经费支出</w:t>
      </w:r>
      <w:r>
        <w:rPr>
          <w:rFonts w:ascii="仿宋_GB2312" w:eastAsia="仿宋_GB2312"/>
          <w:sz w:val="32"/>
          <w:szCs w:val="32"/>
        </w:rPr>
        <w:t>0</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0</w:t>
      </w:r>
      <w:r>
        <w:rPr>
          <w:rFonts w:hint="eastAsia" w:ascii="仿宋_GB2312" w:eastAsia="仿宋_GB2312"/>
          <w:sz w:val="32"/>
          <w:szCs w:val="32"/>
        </w:rPr>
        <w:t>万元，与</w:t>
      </w:r>
      <w:r>
        <w:rPr>
          <w:rFonts w:ascii="仿宋_GB2312" w:eastAsia="仿宋_GB2312"/>
          <w:sz w:val="32"/>
          <w:szCs w:val="32"/>
        </w:rPr>
        <w:t>20</w:t>
      </w:r>
      <w:r>
        <w:rPr>
          <w:rFonts w:hint="eastAsia" w:ascii="仿宋_GB2312" w:eastAsia="仿宋_GB2312"/>
          <w:sz w:val="32"/>
          <w:szCs w:val="32"/>
        </w:rPr>
        <w:t>20年决算数持平。</w:t>
      </w:r>
    </w:p>
    <w:bookmarkEnd w:id="63"/>
    <w:bookmarkEnd w:id="66"/>
    <w:p>
      <w:pPr>
        <w:spacing w:line="560" w:lineRule="exact"/>
        <w:ind w:firstLine="642" w:firstLineChars="200"/>
        <w:outlineLvl w:val="2"/>
        <w:rPr>
          <w:rFonts w:ascii="仿宋" w:hAnsi="仿宋" w:eastAsia="仿宋" w:cs="仿宋"/>
          <w:b/>
          <w:sz w:val="32"/>
          <w:szCs w:val="32"/>
        </w:rPr>
      </w:pPr>
      <w:r>
        <w:rPr>
          <w:rFonts w:hint="eastAsia" w:ascii="仿宋" w:hAnsi="仿宋" w:eastAsia="仿宋" w:cs="仿宋"/>
          <w:b/>
          <w:sz w:val="32"/>
          <w:szCs w:val="32"/>
        </w:rPr>
        <w:t>（注：数据来源于财决附03表）</w:t>
      </w:r>
    </w:p>
    <w:bookmarkEnd w:id="67"/>
    <w:p>
      <w:pPr>
        <w:spacing w:line="560" w:lineRule="exact"/>
        <w:ind w:firstLine="560" w:firstLineChars="200"/>
        <w:outlineLvl w:val="2"/>
        <w:rPr>
          <w:rFonts w:ascii="黑体" w:hAnsi="黑体" w:eastAsia="黑体" w:cs="黑体"/>
          <w:bCs/>
          <w:sz w:val="28"/>
          <w:szCs w:val="28"/>
        </w:rPr>
      </w:pPr>
      <w:bookmarkStart w:id="68" w:name="_Toc15377223"/>
      <w:r>
        <w:rPr>
          <w:rFonts w:hint="eastAsia" w:ascii="黑体" w:hAnsi="黑体" w:eastAsia="黑体" w:cs="黑体"/>
          <w:bCs/>
          <w:sz w:val="28"/>
          <w:szCs w:val="28"/>
        </w:rPr>
        <w:t>（二）政府采购支出情况</w:t>
      </w:r>
      <w:bookmarkEnd w:id="68"/>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2021年，本单位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spacing w:line="560" w:lineRule="exact"/>
        <w:ind w:firstLine="642" w:firstLineChars="200"/>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（注：数据来源于财决附03表）</w:t>
      </w:r>
    </w:p>
    <w:p>
      <w:pPr>
        <w:spacing w:line="560" w:lineRule="exact"/>
        <w:ind w:firstLine="560" w:firstLineChars="200"/>
        <w:outlineLvl w:val="2"/>
        <w:rPr>
          <w:rFonts w:ascii="黑体" w:hAnsi="黑体" w:eastAsia="黑体" w:cs="黑体"/>
          <w:bCs/>
          <w:sz w:val="28"/>
          <w:szCs w:val="28"/>
        </w:rPr>
      </w:pPr>
      <w:r>
        <w:rPr>
          <w:rFonts w:hint="eastAsia" w:ascii="黑体" w:hAnsi="黑体" w:eastAsia="黑体" w:cs="黑体"/>
          <w:bCs/>
          <w:sz w:val="28"/>
          <w:szCs w:val="28"/>
        </w:rPr>
        <w:t>（三）国有资产占有使用情况</w:t>
      </w:r>
    </w:p>
    <w:p>
      <w:pPr>
        <w:autoSpaceDE w:val="0"/>
        <w:autoSpaceDN w:val="0"/>
        <w:adjustRightInd w:val="0"/>
        <w:spacing w:line="560" w:lineRule="exact"/>
        <w:ind w:firstLine="640" w:firstLineChars="200"/>
        <w:jc w:val="left"/>
        <w:outlineLvl w:val="2"/>
        <w:rPr>
          <w:rFonts w:ascii="仿宋" w:hAnsi="仿宋" w:eastAsia="仿宋" w:cs="仿宋"/>
          <w:sz w:val="32"/>
          <w:szCs w:val="32"/>
        </w:rPr>
      </w:pPr>
      <w:bookmarkStart w:id="69" w:name="_Hlk146103134"/>
      <w:r>
        <w:rPr>
          <w:rFonts w:hint="eastAsia" w:ascii="仿宋" w:hAnsi="仿宋" w:eastAsia="仿宋" w:cs="仿宋"/>
          <w:sz w:val="32"/>
          <w:szCs w:val="32"/>
        </w:rPr>
        <w:t>截至2021年12月31日，本单位共有车辆0辆，其中：主要领导干部用车0辆、机要通信用车0辆、应急保障用车0辆、其他用车0辆,单价50万元以上通用设备0台（套），单价100万元以上专用设备0台（套）。</w:t>
      </w:r>
    </w:p>
    <w:bookmarkEnd w:id="69"/>
    <w:p>
      <w:pPr>
        <w:autoSpaceDE w:val="0"/>
        <w:autoSpaceDN w:val="0"/>
        <w:adjustRightInd w:val="0"/>
        <w:spacing w:line="560" w:lineRule="exact"/>
        <w:ind w:firstLine="642" w:firstLineChars="200"/>
        <w:jc w:val="left"/>
        <w:outlineLvl w:val="2"/>
        <w:rPr>
          <w:rFonts w:ascii="仿宋" w:hAnsi="仿宋" w:eastAsia="仿宋" w:cs="仿宋"/>
          <w:b/>
          <w:sz w:val="32"/>
          <w:szCs w:val="32"/>
        </w:rPr>
      </w:pPr>
      <w:r>
        <w:rPr>
          <w:rFonts w:hint="eastAsia" w:ascii="仿宋" w:hAnsi="仿宋" w:eastAsia="仿宋" w:cs="仿宋"/>
          <w:b/>
          <w:sz w:val="32"/>
          <w:szCs w:val="32"/>
        </w:rPr>
        <w:t>（注：数据来源于财决附03表，按单位决算报表填报数据罗列车辆情况。）</w:t>
      </w:r>
    </w:p>
    <w:p>
      <w:pPr>
        <w:pStyle w:val="2"/>
        <w:spacing w:before="72"/>
      </w:pPr>
    </w:p>
    <w:bookmarkEnd w:id="47"/>
    <w:bookmarkEnd w:id="60"/>
    <w:p>
      <w:pPr>
        <w:spacing w:line="56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70" w:name="_Hlk146205823"/>
      <w:r>
        <w:rPr>
          <w:rFonts w:hint="eastAsia" w:ascii="楷体" w:hAnsi="楷体" w:eastAsia="楷体" w:cs="楷体"/>
          <w:bCs/>
          <w:color w:val="000000" w:themeColor="text1"/>
          <w:sz w:val="32"/>
          <w:szCs w:val="32"/>
          <w14:textFill>
            <w14:solidFill>
              <w14:schemeClr w14:val="tx1"/>
            </w14:solidFill>
          </w14:textFill>
        </w:rPr>
        <w:t>（四）预算绩效管理情况</w:t>
      </w:r>
    </w:p>
    <w:bookmarkEnd w:id="61"/>
    <w:bookmarkEnd w:id="64"/>
    <w:bookmarkEnd w:id="70"/>
    <w:p>
      <w:pPr>
        <w:spacing w:line="560" w:lineRule="exact"/>
        <w:ind w:firstLine="640" w:firstLineChars="200"/>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单位在2021年度预算编制阶段，组织对标准化考点运行维护项目等6个项目开展了预算事前绩效评估，对6个项目编制了绩效目标，预算执行过程中，选取4个项目开展绩效监控，年终执行完毕后，对6个项目开展了绩效自评，2021年特定目标类部门预算项目绩效目标自评表见附件（第四部分）。</w:t>
      </w:r>
    </w:p>
    <w:p>
      <w:pPr>
        <w:autoSpaceDE w:val="0"/>
        <w:autoSpaceDN w:val="0"/>
        <w:adjustRightInd w:val="0"/>
        <w:spacing w:line="560" w:lineRule="exact"/>
        <w:ind w:firstLine="642" w:firstLineChars="200"/>
        <w:outlineLvl w:val="2"/>
        <w:rPr>
          <w:color w:val="000000" w:themeColor="text1"/>
          <w:highlight w:val="yellow"/>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0"/>
          <w:szCs w:val="30"/>
          <w14:textFill>
            <w14:solidFill>
              <w14:schemeClr w14:val="tx1"/>
            </w14:solidFill>
          </w14:textFill>
        </w:rPr>
        <w:t>注：单位</w:t>
      </w:r>
      <w:r>
        <w:rPr>
          <w:rFonts w:hint="eastAsia" w:ascii="仿宋_GB2312" w:hAnsi="仿宋_GB2312" w:eastAsia="仿宋_GB2312" w:cs="仿宋_GB2312"/>
          <w:b/>
          <w:color w:val="000000" w:themeColor="text1"/>
          <w:sz w:val="30"/>
          <w:szCs w:val="30"/>
          <w14:textFill>
            <w14:solidFill>
              <w14:schemeClr w14:val="tx1"/>
            </w14:solidFill>
          </w14:textFill>
        </w:rPr>
        <w:t>2021年特定目标类部门预算项目绩效目标自评表为本部门2021年部门整体支出绩效评价报告中涉及本单位的附表</w:t>
      </w:r>
      <w:r>
        <w:rPr>
          <w:rFonts w:hint="eastAsia" w:ascii="仿宋" w:hAnsi="仿宋" w:eastAsia="仿宋"/>
          <w:b/>
          <w:color w:val="000000" w:themeColor="text1"/>
          <w:sz w:val="30"/>
          <w:szCs w:val="30"/>
          <w14:textFill>
            <w14:solidFill>
              <w14:schemeClr w14:val="tx1"/>
            </w14:solidFill>
          </w14:textFill>
        </w:rPr>
        <w:t>）</w:t>
      </w:r>
    </w:p>
    <w:bookmarkEnd w:id="65"/>
    <w:p>
      <w:pPr>
        <w:widowControl/>
        <w:jc w:val="left"/>
        <w:rPr>
          <w:rFonts w:ascii="仿宋_GB2312" w:eastAsia="仿宋_GB2312"/>
          <w:b/>
          <w:color w:val="00B0F0"/>
          <w:sz w:val="32"/>
          <w:szCs w:val="32"/>
        </w:rPr>
      </w:pPr>
      <w:r>
        <w:rPr>
          <w:rFonts w:ascii="仿宋_GB2312" w:eastAsia="仿宋_GB2312"/>
          <w:b/>
          <w:color w:val="00B0F0"/>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color w:val="000000" w:themeColor="text1"/>
          <w14:textFill>
            <w14:solidFill>
              <w14:schemeClr w14:val="tx1"/>
            </w14:solidFill>
          </w14:textFill>
        </w:rPr>
      </w:pPr>
      <w:bookmarkStart w:id="71" w:name="_Toc15396613"/>
      <w:bookmarkStart w:id="72" w:name="_Toc15377225"/>
      <w:bookmarkStart w:id="73" w:name="_Toc32389"/>
      <w:r>
        <w:rPr>
          <w:rFonts w:hint="eastAsia" w:ascii="黑体" w:hAnsi="黑体" w:eastAsia="黑体"/>
          <w:color w:val="000000" w:themeColor="text1"/>
          <w:sz w:val="44"/>
          <w:szCs w:val="44"/>
          <w14:textFill>
            <w14:solidFill>
              <w14:schemeClr w14:val="tx1"/>
            </w14:solidFill>
          </w14:textFill>
        </w:rPr>
        <w:t>名</w:t>
      </w:r>
      <w:r>
        <w:rPr>
          <w:rStyle w:val="26"/>
          <w:rFonts w:hint="eastAsia" w:ascii="黑体" w:hAnsi="黑体" w:eastAsia="黑体"/>
          <w:b w:val="0"/>
          <w:color w:val="000000" w:themeColor="text1"/>
          <w14:textFill>
            <w14:solidFill>
              <w14:schemeClr w14:val="tx1"/>
            </w14:solidFill>
          </w14:textFill>
        </w:rPr>
        <w:t>词解释</w:t>
      </w:r>
      <w:bookmarkEnd w:id="71"/>
      <w:bookmarkEnd w:id="72"/>
      <w:bookmarkEnd w:id="73"/>
    </w:p>
    <w:p>
      <w:pPr>
        <w:snapToGrid w:val="0"/>
        <w:spacing w:line="560" w:lineRule="exact"/>
        <w:jc w:val="left"/>
        <w:rPr>
          <w:rFonts w:ascii="宋体"/>
          <w:b/>
          <w:color w:val="000000" w:themeColor="text1"/>
          <w:sz w:val="44"/>
          <w:szCs w:val="44"/>
          <w14:textFill>
            <w14:solidFill>
              <w14:schemeClr w14:val="tx1"/>
            </w14:solidFill>
          </w14:textFill>
        </w:rPr>
      </w:pPr>
    </w:p>
    <w:p>
      <w:pPr>
        <w:pStyle w:val="24"/>
        <w:snapToGrid w:val="0"/>
        <w:spacing w:line="560" w:lineRule="exact"/>
        <w:ind w:firstLine="640" w:firstLineChars="200"/>
        <w:outlineLvl w:val="1"/>
        <w:rPr>
          <w:rFonts w:ascii="仿宋_GB2312" w:eastAsia="仿宋_GB2312"/>
          <w:color w:val="000000" w:themeColor="text1"/>
          <w:sz w:val="32"/>
          <w:szCs w:val="32"/>
          <w14:textFill>
            <w14:solidFill>
              <w14:schemeClr w14:val="tx1"/>
            </w14:solidFill>
          </w14:textFill>
        </w:rPr>
      </w:pPr>
      <w:bookmarkStart w:id="74" w:name="_Toc15680"/>
      <w:r>
        <w:rPr>
          <w:rFonts w:hint="eastAsia" w:ascii="仿宋_GB2312" w:eastAsia="仿宋_GB2312"/>
          <w:color w:val="000000" w:themeColor="text1"/>
          <w:sz w:val="32"/>
          <w:szCs w:val="32"/>
          <w14:textFill>
            <w14:solidFill>
              <w14:schemeClr w14:val="tx1"/>
            </w14:solidFill>
          </w14:textFill>
        </w:rPr>
        <w:t>1.财</w:t>
      </w:r>
      <w:r>
        <w:rPr>
          <w:rFonts w:hint="eastAsia" w:ascii="仿宋_GB2312" w:eastAsia="仿宋_GB2312"/>
          <w:color w:val="000000" w:themeColor="text1"/>
          <w:spacing w:val="-6"/>
          <w:sz w:val="32"/>
          <w:szCs w:val="32"/>
          <w14:textFill>
            <w14:solidFill>
              <w14:schemeClr w14:val="tx1"/>
            </w14:solidFill>
          </w14:textFill>
        </w:rPr>
        <w:t>政拨款收入：指单位从同级财政部门取得的财政预算资金</w:t>
      </w:r>
      <w:r>
        <w:rPr>
          <w:rFonts w:hint="eastAsia" w:ascii="仿宋_GB2312" w:eastAsia="仿宋_GB2312"/>
          <w:color w:val="000000" w:themeColor="text1"/>
          <w:sz w:val="32"/>
          <w:szCs w:val="32"/>
          <w14:textFill>
            <w14:solidFill>
              <w14:schemeClr w14:val="tx1"/>
            </w14:solidFill>
          </w14:textFill>
        </w:rPr>
        <w:t>。</w:t>
      </w:r>
      <w:bookmarkEnd w:id="74"/>
    </w:p>
    <w:p>
      <w:pPr>
        <w:pStyle w:val="24"/>
        <w:snapToGrid w:val="0"/>
        <w:spacing w:line="560" w:lineRule="exact"/>
        <w:ind w:firstLine="640" w:firstLineChars="200"/>
        <w:outlineLvl w:val="1"/>
        <w:rPr>
          <w:rFonts w:ascii="仿宋_GB2312" w:eastAsia="仿宋_GB2312"/>
          <w:color w:val="000000" w:themeColor="text1"/>
          <w:sz w:val="32"/>
          <w:szCs w:val="32"/>
          <w14:textFill>
            <w14:solidFill>
              <w14:schemeClr w14:val="tx1"/>
            </w14:solidFill>
          </w14:textFill>
        </w:rPr>
      </w:pPr>
      <w:bookmarkStart w:id="75" w:name="_Toc18447"/>
      <w:r>
        <w:rPr>
          <w:rFonts w:hint="eastAsia" w:ascii="仿宋_GB2312" w:eastAsia="仿宋_GB2312"/>
          <w:color w:val="000000" w:themeColor="text1"/>
          <w:sz w:val="32"/>
          <w:szCs w:val="32"/>
          <w14:textFill>
            <w14:solidFill>
              <w14:schemeClr w14:val="tx1"/>
            </w14:solidFill>
          </w14:textFill>
        </w:rPr>
        <w:t>2.事业收入：指事业单位开展专业业务活动及辅助活动取得的收入。</w:t>
      </w:r>
      <w:bookmarkEnd w:id="75"/>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3.经营收入：指事业单位在专业业务活动及其辅助活动之外开展非独立核算经营活动取得的收入。。</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4.其他收入：指单位取得的除上述收入以外的各项收入。主要是学前教育保育教育费收入、银行存款利息收入等。 </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4"/>
        <w:snapToGrid w:val="0"/>
        <w:spacing w:line="560" w:lineRule="exact"/>
        <w:ind w:firstLine="640" w:firstLineChars="200"/>
        <w:outlineLvl w:val="1"/>
        <w:rPr>
          <w:rFonts w:ascii="仿宋_GB2312" w:eastAsia="仿宋_GB2312"/>
          <w:color w:val="000000" w:themeColor="text1"/>
          <w:sz w:val="32"/>
          <w:szCs w:val="32"/>
          <w14:textFill>
            <w14:solidFill>
              <w14:schemeClr w14:val="tx1"/>
            </w14:solidFill>
          </w14:textFill>
        </w:rPr>
      </w:pPr>
      <w:bookmarkStart w:id="76" w:name="_Toc20496"/>
      <w:r>
        <w:rPr>
          <w:rFonts w:hint="eastAsia" w:ascii="仿宋_GB2312" w:eastAsia="仿宋_GB2312"/>
          <w:color w:val="000000" w:themeColor="text1"/>
          <w:sz w:val="32"/>
          <w:szCs w:val="32"/>
          <w14:textFill>
            <w14:solidFill>
              <w14:schemeClr w14:val="tx1"/>
            </w14:solidFill>
          </w14:textFill>
        </w:rPr>
        <w:t>6.年初结转和结余：指以前年度尚未完成、结转到本年按有关规定继续使用的资金。</w:t>
      </w:r>
      <w:bookmarkEnd w:id="76"/>
      <w:r>
        <w:rPr>
          <w:rFonts w:hint="eastAsia" w:ascii="仿宋_GB2312" w:eastAsia="仿宋_GB2312"/>
          <w:color w:val="000000" w:themeColor="text1"/>
          <w:sz w:val="32"/>
          <w:szCs w:val="32"/>
          <w14:textFill>
            <w14:solidFill>
              <w14:schemeClr w14:val="tx1"/>
            </w14:solidFill>
          </w14:textFill>
        </w:rPr>
        <w:t xml:space="preserve"> </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7.结余分配：指事业单位按照事业单位会计制度的规定从非财政补助结余中分配的事业基金和职工福利基金等。</w:t>
      </w:r>
    </w:p>
    <w:p>
      <w:pPr>
        <w:pStyle w:val="24"/>
        <w:snapToGrid w:val="0"/>
        <w:spacing w:line="560" w:lineRule="exact"/>
        <w:ind w:firstLine="640" w:firstLineChars="200"/>
        <w:outlineLvl w:val="1"/>
        <w:rPr>
          <w:rFonts w:ascii="仿宋_GB2312" w:eastAsia="仿宋_GB2312"/>
          <w:color w:val="000000" w:themeColor="text1"/>
          <w:sz w:val="32"/>
          <w:szCs w:val="32"/>
          <w14:textFill>
            <w14:solidFill>
              <w14:schemeClr w14:val="tx1"/>
            </w14:solidFill>
          </w14:textFill>
        </w:rPr>
      </w:pPr>
      <w:bookmarkStart w:id="77" w:name="_Toc1650"/>
      <w:r>
        <w:rPr>
          <w:rFonts w:hint="eastAsia" w:ascii="仿宋_GB2312" w:eastAsia="仿宋_GB2312"/>
          <w:color w:val="000000" w:themeColor="text1"/>
          <w:sz w:val="32"/>
          <w:szCs w:val="32"/>
          <w14:textFill>
            <w14:solidFill>
              <w14:schemeClr w14:val="tx1"/>
            </w14:solidFill>
          </w14:textFill>
        </w:rPr>
        <w:t>8、年末结转和结余：指单位按有关规定结转到下年或以后年度继续使用的资金。</w:t>
      </w:r>
      <w:bookmarkEnd w:id="77"/>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9.教育支出（类）教育管理事务（款）行政运行（项）:反映教育行政单位（包括实行公务员管理的事业单位）的基本支出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 教育支出（类）教育管理事务（款）一般行政管理事务（项）:反映行政单位（包括实行公务员管理的事业单位）未单独设置项级科目的其它项目支出。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 教育支出（类）教育管理事务（款）其它教育管理事务支出（项）:反映除上述项目以外其它用户教育管理事务方面的支出。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 教育支出（类）普通教育（款）学前教育（项）:反映各部门举办的学前教育支出。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 教育支出（类）普通教育（款）小学教育（项）:反映各部门举办的小学教育支出。政府各部门对社会中介组织等举办的小学的资助，如各类捐赠、补贴等，也在本科目中反映。</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 教育支出（类）普通教育（款）初中教育（项）: 反映各部门举办的初中教育支出。政府各部门对社会中介组织等举办的初中教育的资助，如捐赠、补贴等，也在本科目中反映。</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15. 教育支出（类）普通教育（款）高中教育（项）: 反映各部门举办的高级中学教育支出。政府各部门对社会中介组织等举办的高级中学的资助，如捐赠、补贴等，也在本科目中反映。</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16. 教育支出（类）普通教育（款）其它普通教育（项）: 反映除上述项目以外其他用于普通教育方面的支出。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17. 教育支出（类）职业教育（款）职业高中教育（项）: 反映各部门举办的职业中学、农业中学（含普通高中改制的）、半工（农）半读中学的支出或补助费</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18. 教育</w:t>
      </w:r>
      <w:r>
        <w:rPr>
          <w:rFonts w:hint="eastAsia" w:ascii="仿宋_GB2312" w:eastAsia="仿宋_GB2312"/>
          <w:color w:val="000000" w:themeColor="text1"/>
          <w:spacing w:val="-6"/>
          <w:sz w:val="32"/>
          <w:szCs w:val="32"/>
          <w14:textFill>
            <w14:solidFill>
              <w14:schemeClr w14:val="tx1"/>
            </w14:solidFill>
          </w14:textFill>
        </w:rPr>
        <w:t>支出（类）职业教育（款）高等职业教育（项）:反映经国家批准设立的高等职业大学、专科职业教育等方面的</w:t>
      </w:r>
      <w:r>
        <w:rPr>
          <w:rFonts w:hint="eastAsia" w:ascii="仿宋_GB2312" w:eastAsia="仿宋_GB2312"/>
          <w:color w:val="000000" w:themeColor="text1"/>
          <w:sz w:val="32"/>
          <w:szCs w:val="32"/>
          <w14:textFill>
            <w14:solidFill>
              <w14:schemeClr w14:val="tx1"/>
            </w14:solidFill>
          </w14:textFill>
        </w:rPr>
        <w:t>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19. 教育支出（类）特殊教育（款）特殊学校教育（项）: 指各部门举办的盲童学校、聋哑学校、智力落后儿童学校、其它生理缺陷儿童学校的支出。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 教育支出（类）特殊教育（款）工读学校教育（项）:指各部门举办的工读学校的支出。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 教育支出（类）教育附加费安排的支出（款）农村中小学校舍建设（项）:反映教育附加费安排用于农村中小学校舍新建、改建、修缮和维护的支出。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 教育支出（类）教育附加费安排的支出（款）城市中小学校舍建设（项）: 反映教育附加费安排用于城市中小学校舍新建、改建、修缮和维护的支出。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23. 教育支出（类）教育附加费安排的支出（款）其它教育附加费安排的支出（项）: 指除上述项目以外的教育附加费支出。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24. 教育支出（类）其它教育支出（款）其他教育支出（项）: 指上述项目以外其他用于教育方面的支出。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25. 社会保障和就业支出（类）行政事业单位离退休（款）机关事业单位基本养老保险缴费支出（项）: 指机关事业单位实施养老保险制度由单位缴纳的基本养老保险费支出。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26. 社会保障和就业支出（类）行政事业单位离退休（款）机关事业单位职业年金缴费支出（项）: 指机关事业单位实施养老保险制度由单位实际缴纳的职业年金支出。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27. 社会保障和就业支出（类）抚恤（款）死亡抚恤（项）: 指按规定用于烈士和牺牲、病故人员家属的一次性和定期抚恤金以及丧葬补助费。</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30. 农林水支出（类）扶贫（款）其它扶贫支出（项）: 指除上述项目以外其他用于扶贫方面的支出。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31. 住房保障支出（类）住房改革支出（款）住房公积金（项）: 指行政事业单位按人力资源和社会保障部、财政部规定的基本工资和津贴补贴以及规定比例为职工缴纳的住房公积金。</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32. 其他支出（类）其他支出（款）其他支出（项）: 指上述项目以外其他不能划分到具体功能科目中的支出项目。</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33. 基本支出：指为保障机构正常运转、完成日常工作任务而发生的人员支出和公用支出。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34. 项目支出：指在基本支出之外为完成特定行政任务和事业发展目标所发生的支出。 </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35. 经营支出：指事业单位在专业业务活动及其辅助活动之外开展非独立核算经营活动发生的支出。</w:t>
      </w:r>
    </w:p>
    <w:p>
      <w:pPr>
        <w:pStyle w:val="24"/>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36.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37.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560" w:lineRule="exact"/>
        <w:ind w:firstLine="64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（解释本单位决算报表中涉及的全部功能分类科目至项级，不涉及的科目请自行删除。请参照《</w:t>
      </w:r>
      <w:r>
        <w:rPr>
          <w:rFonts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21年政府收支分类科目》增减内容。）</w:t>
      </w:r>
    </w:p>
    <w:p>
      <w:pPr>
        <w:snapToGrid w:val="0"/>
        <w:spacing w:line="560" w:lineRule="exact"/>
        <w:ind w:firstLine="642"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（名词解释部分请根据各单位实际列支情况罗列，并根据本单位职责职能增减名词解释内容。）</w:t>
      </w:r>
    </w:p>
    <w:p>
      <w:pPr>
        <w:numPr>
          <w:ilvl w:val="0"/>
          <w:numId w:val="4"/>
        </w:numPr>
        <w:spacing w:line="600" w:lineRule="exact"/>
        <w:jc w:val="center"/>
        <w:outlineLvl w:val="0"/>
        <w:rPr>
          <w:rStyle w:val="26"/>
          <w:rFonts w:ascii="黑体" w:hAnsi="黑体" w:eastAsia="黑体"/>
          <w:b w:val="0"/>
          <w:color w:val="000000" w:themeColor="text1"/>
          <w14:textFill>
            <w14:solidFill>
              <w14:schemeClr w14:val="tx1"/>
            </w14:solidFill>
          </w14:textFill>
        </w:rPr>
      </w:pPr>
      <w:bookmarkStart w:id="78" w:name="_Toc15377226"/>
      <w:r>
        <w:rPr>
          <w:rFonts w:ascii="宋体"/>
          <w:b/>
          <w:color w:val="00B0F0"/>
          <w:sz w:val="44"/>
          <w:szCs w:val="44"/>
        </w:rPr>
        <w:br w:type="page"/>
      </w:r>
      <w:bookmarkStart w:id="79" w:name="_Toc15396614"/>
      <w:bookmarkStart w:id="80" w:name="_Toc24843"/>
      <w:r>
        <w:rPr>
          <w:rStyle w:val="26"/>
          <w:rFonts w:hint="eastAsia" w:ascii="黑体" w:hAnsi="黑体" w:eastAsia="黑体"/>
          <w:b w:val="0"/>
          <w:color w:val="000000" w:themeColor="text1"/>
          <w14:textFill>
            <w14:solidFill>
              <w14:schemeClr w14:val="tx1"/>
            </w14:solidFill>
          </w14:textFill>
        </w:rPr>
        <w:t>附件</w:t>
      </w:r>
      <w:bookmarkEnd w:id="79"/>
      <w:bookmarkEnd w:id="80"/>
    </w:p>
    <w:p>
      <w:pPr>
        <w:outlineLvl w:val="1"/>
        <w:rPr>
          <w:rFonts w:eastAsia="仿宋_GB2312"/>
          <w:color w:val="000000" w:themeColor="text1"/>
          <w14:textFill>
            <w14:solidFill>
              <w14:schemeClr w14:val="tx1"/>
            </w14:solidFill>
          </w14:textFill>
        </w:rPr>
      </w:pPr>
      <w:bookmarkStart w:id="81" w:name="_Toc23859"/>
      <w:r>
        <w:rPr>
          <w:rFonts w:hint="eastAsia"/>
          <w:color w:val="000000" w:themeColor="text1"/>
          <w14:textFill>
            <w14:solidFill>
              <w14:schemeClr w14:val="tx1"/>
            </w14:solidFill>
          </w14:textFill>
        </w:rPr>
        <w:t>附件1：</w:t>
      </w:r>
      <w:bookmarkEnd w:id="81"/>
    </w:p>
    <w:p>
      <w:pPr>
        <w:widowControl/>
        <w:spacing w:line="580" w:lineRule="exact"/>
        <w:contextualSpacing/>
        <w:jc w:val="center"/>
        <w:outlineLvl w:val="2"/>
        <w:rPr>
          <w:rFonts w:ascii="方正小标宋简体" w:hAnsi="宋体" w:eastAsia="方正小标宋简体"/>
          <w:color w:val="000000" w:themeColor="text1"/>
          <w:sz w:val="44"/>
          <w:szCs w:val="44"/>
          <w:shd w:val="clear" w:color="auto" w:fill="FFFFFF"/>
          <w14:textFill>
            <w14:solidFill>
              <w14:schemeClr w14:val="tx1"/>
            </w14:solidFill>
          </w14:textFill>
        </w:rPr>
      </w:pPr>
      <w:r>
        <w:rPr>
          <w:rFonts w:hint="eastAsia" w:ascii="方正小标宋简体" w:hAnsi="宋体" w:eastAsia="方正小标宋简体"/>
          <w:color w:val="000000" w:themeColor="text1"/>
          <w:sz w:val="44"/>
          <w:szCs w:val="44"/>
          <w:shd w:val="clear" w:color="auto" w:fill="FFFFFF"/>
          <w14:textFill>
            <w14:solidFill>
              <w14:schemeClr w14:val="tx1"/>
            </w14:solidFill>
          </w14:textFill>
        </w:rPr>
        <w:t>广元市利州宝轮第四小学</w:t>
      </w:r>
    </w:p>
    <w:p>
      <w:pPr>
        <w:widowControl/>
        <w:spacing w:line="580" w:lineRule="exact"/>
        <w:contextualSpacing/>
        <w:jc w:val="center"/>
        <w:outlineLvl w:val="2"/>
        <w:rPr>
          <w:rFonts w:ascii="方正小标宋简体" w:hAnsi="宋体" w:eastAsia="方正小标宋简体"/>
          <w:color w:val="000000" w:themeColor="text1"/>
          <w:sz w:val="44"/>
          <w:szCs w:val="44"/>
          <w:shd w:val="clear" w:color="auto" w:fill="FFFFFF"/>
          <w14:textFill>
            <w14:solidFill>
              <w14:schemeClr w14:val="tx1"/>
            </w14:solidFill>
          </w14:textFill>
        </w:rPr>
      </w:pPr>
      <w:r>
        <w:rPr>
          <w:rFonts w:hint="eastAsia" w:ascii="方正小标宋简体" w:hAnsi="宋体" w:eastAsia="方正小标宋简体"/>
          <w:color w:val="000000" w:themeColor="text1"/>
          <w:sz w:val="44"/>
          <w:szCs w:val="44"/>
          <w:shd w:val="clear" w:color="auto" w:fill="FFFFFF"/>
          <w14:textFill>
            <w14:solidFill>
              <w14:schemeClr w14:val="tx1"/>
            </w14:solidFill>
          </w14:textFill>
        </w:rPr>
        <w:t>2021年部门整体支出绩效评价报告</w:t>
      </w:r>
    </w:p>
    <w:p>
      <w:pPr>
        <w:pStyle w:val="2"/>
        <w:snapToGrid w:val="0"/>
        <w:spacing w:beforeLines="0" w:line="540" w:lineRule="exact"/>
        <w:rPr>
          <w:color w:val="000000" w:themeColor="text1"/>
          <w14:textFill>
            <w14:solidFill>
              <w14:schemeClr w14:val="tx1"/>
            </w14:solidFill>
          </w14:textFill>
        </w:rPr>
      </w:pPr>
    </w:p>
    <w:p>
      <w:pPr>
        <w:snapToGrid w:val="0"/>
        <w:spacing w:line="540" w:lineRule="exact"/>
        <w:ind w:firstLine="640" w:firstLineChars="200"/>
        <w:contextualSpacing/>
        <w:outlineLvl w:val="2"/>
        <w:rPr>
          <w:rFonts w:ascii="仿宋_GB2312" w:hAnsi="Calibri" w:eastAsia="仿宋_GB2312" w:cs="仿宋"/>
          <w:color w:val="000000" w:themeColor="text1"/>
          <w:kern w:val="0"/>
          <w:sz w:val="32"/>
          <w:szCs w:val="32"/>
          <w14:textFill>
            <w14:solidFill>
              <w14:schemeClr w14:val="tx1"/>
            </w14:solidFill>
          </w14:textFill>
        </w:rPr>
      </w:pPr>
      <w:r>
        <w:rPr>
          <w:rFonts w:hint="eastAsia" w:ascii="仿宋_GB2312" w:hAnsi="Calibri" w:eastAsia="仿宋_GB2312" w:cs="仿宋"/>
          <w:color w:val="000000" w:themeColor="text1"/>
          <w:kern w:val="0"/>
          <w:sz w:val="32"/>
          <w:szCs w:val="32"/>
          <w14:textFill>
            <w14:solidFill>
              <w14:schemeClr w14:val="tx1"/>
            </w14:solidFill>
          </w14:textFill>
        </w:rPr>
        <w:t>根据广元市利州区财政局《关于开展2022年部门、政策和项目支出绩效评价工作的通知》（广利财发〔2022〕7号）要求，我局高度重视，及时组织各股室（中心）对2021年度我局整体支出绩效评价进行了自评，现将有关情况报告如下：</w:t>
      </w:r>
    </w:p>
    <w:p>
      <w:pPr>
        <w:numPr>
          <w:ilvl w:val="0"/>
          <w:numId w:val="5"/>
        </w:numPr>
        <w:adjustRightInd w:val="0"/>
        <w:snapToGrid w:val="0"/>
        <w:spacing w:line="540" w:lineRule="exact"/>
        <w:ind w:left="0" w:firstLine="640" w:firstLineChars="200"/>
        <w:contextualSpacing/>
        <w:outlineLvl w:val="1"/>
        <w:rPr>
          <w:rFonts w:ascii="方正黑体简体" w:hAnsi="宋体" w:eastAsia="方正黑体简体" w:cs="宋体"/>
          <w:color w:val="000000" w:themeColor="text1"/>
          <w:kern w:val="0"/>
          <w:sz w:val="32"/>
          <w:szCs w:val="32"/>
          <w:shd w:val="clear" w:color="auto" w:fill="FFFFFF"/>
          <w:lang w:val="zh-CN"/>
          <w14:textFill>
            <w14:solidFill>
              <w14:schemeClr w14:val="tx1"/>
            </w14:solidFill>
          </w14:textFill>
        </w:rPr>
      </w:pPr>
      <w:bookmarkStart w:id="82" w:name="_Toc30037"/>
      <w:r>
        <w:rPr>
          <w:rFonts w:hint="eastAsia" w:ascii="方正黑体简体" w:hAnsi="宋体" w:eastAsia="方正黑体简体" w:cs="宋体"/>
          <w:color w:val="000000" w:themeColor="text1"/>
          <w:kern w:val="0"/>
          <w:sz w:val="32"/>
          <w:szCs w:val="32"/>
          <w:shd w:val="clear" w:color="auto" w:fill="FFFFFF"/>
          <w:lang w:val="zh-CN"/>
          <w14:textFill>
            <w14:solidFill>
              <w14:schemeClr w14:val="tx1"/>
            </w14:solidFill>
          </w14:textFill>
        </w:rPr>
        <w:t>部门（单位）概况</w:t>
      </w:r>
      <w:bookmarkEnd w:id="82"/>
    </w:p>
    <w:p>
      <w:pPr>
        <w:snapToGrid w:val="0"/>
        <w:spacing w:line="540" w:lineRule="exact"/>
        <w:ind w:firstLine="640" w:firstLineChars="200"/>
        <w:outlineLvl w:val="2"/>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（一）机构组成</w:t>
      </w:r>
    </w:p>
    <w:p>
      <w:pPr>
        <w:pStyle w:val="2"/>
        <w:adjustRightInd w:val="0"/>
        <w:snapToGrid w:val="0"/>
        <w:spacing w:beforeLines="0" w:line="576" w:lineRule="exact"/>
        <w:ind w:firstLine="640" w:firstLineChars="200"/>
        <w:outlineLvl w:val="2"/>
        <w:rPr>
          <w:sz w:val="32"/>
          <w:szCs w:val="32"/>
        </w:rPr>
      </w:pPr>
      <w:r>
        <w:rPr>
          <w:rFonts w:hint="eastAsia"/>
          <w:sz w:val="32"/>
          <w:szCs w:val="32"/>
        </w:rPr>
        <w:t>宝轮第四小学下设各处室 6 个，分别是行政办公室、教务处、德育处、总务处、安全办、计装室。</w:t>
      </w:r>
    </w:p>
    <w:p>
      <w:pPr>
        <w:snapToGrid w:val="0"/>
        <w:spacing w:line="540" w:lineRule="exact"/>
        <w:ind w:firstLine="640" w:firstLineChars="200"/>
        <w:outlineLvl w:val="2"/>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（二）机构职能</w:t>
      </w:r>
    </w:p>
    <w:p>
      <w:pPr>
        <w:snapToGrid w:val="0"/>
        <w:spacing w:line="560" w:lineRule="exact"/>
        <w:ind w:firstLine="640" w:firstLineChars="200"/>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（一）全面贯彻教育方针和教育法规，依法治校；全面落实学校办学理念，保证学校办学目标的实现。</w:t>
      </w:r>
    </w:p>
    <w:p>
      <w:pPr>
        <w:snapToGrid w:val="0"/>
        <w:spacing w:line="560" w:lineRule="exact"/>
        <w:ind w:firstLine="640" w:firstLineChars="200"/>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（二）全面管理学校教育教学、科研、教师、培训、安全、卫生、后勤等各项工作；建立健全各项规章制度和管理措施。</w:t>
      </w:r>
    </w:p>
    <w:p>
      <w:pPr>
        <w:snapToGrid w:val="0"/>
        <w:spacing w:line="560" w:lineRule="exact"/>
        <w:ind w:firstLine="640" w:firstLineChars="200"/>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（三）全面规划、统筹安排学校工作，制度学校学年、学期工作计划，组织、推动计划的落实，做出计划执行结果的总结。</w:t>
      </w:r>
    </w:p>
    <w:p>
      <w:pPr>
        <w:snapToGrid w:val="0"/>
        <w:spacing w:line="560" w:lineRule="exact"/>
        <w:ind w:firstLine="640" w:firstLineChars="200"/>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四）负责对基础教育发展水平、质量的监测工作；抓好教职工队伍建设，负责学校人事工作；加强对教职工的职业道德和法制教育；制定、落实教师的培训、进修计划；注重培养青年教师，加强对教职工的考核评估工作。 </w:t>
      </w:r>
    </w:p>
    <w:p>
      <w:pPr>
        <w:snapToGrid w:val="0"/>
        <w:spacing w:line="560" w:lineRule="exact"/>
        <w:ind w:firstLine="640" w:firstLineChars="200"/>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（五）抓好校风、学风的建设；坚持民主管理、民主办学的原则。</w:t>
      </w:r>
    </w:p>
    <w:p>
      <w:pPr>
        <w:snapToGrid w:val="0"/>
        <w:spacing w:line="560" w:lineRule="exact"/>
        <w:ind w:firstLine="640" w:firstLineChars="200"/>
        <w:outlineLvl w:val="2"/>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（六）努力争取社会各方面对学校工作的支持和帮助，代表学校协调、处理公共系。</w:t>
      </w:r>
    </w:p>
    <w:p>
      <w:pPr>
        <w:snapToGrid w:val="0"/>
        <w:spacing w:line="560" w:lineRule="exact"/>
        <w:ind w:firstLine="640" w:firstLineChars="200"/>
        <w:outlineLvl w:val="2"/>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（七）完成区市教育局等上级行政部门交给的其它工作任务。</w:t>
      </w:r>
    </w:p>
    <w:p>
      <w:pPr>
        <w:snapToGrid w:val="0"/>
        <w:spacing w:line="540" w:lineRule="exact"/>
        <w:ind w:firstLine="640" w:firstLineChars="200"/>
        <w:outlineLvl w:val="2"/>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人员概况</w:t>
      </w:r>
      <w:bookmarkStart w:id="83" w:name="_Toc13772"/>
    </w:p>
    <w:p>
      <w:pPr>
        <w:snapToGrid w:val="0"/>
        <w:spacing w:line="540" w:lineRule="exact"/>
        <w:ind w:firstLine="664" w:firstLineChars="200"/>
        <w:outlineLvl w:val="2"/>
        <w:rPr>
          <w:rFonts w:ascii="仿宋_GB2312" w:hAnsi="Microsoft YaHei UI" w:eastAsia="仿宋_GB2312"/>
          <w:color w:val="000000" w:themeColor="text1"/>
          <w:spacing w:val="6"/>
          <w:sz w:val="32"/>
          <w:szCs w:val="32"/>
          <w14:textFill>
            <w14:solidFill>
              <w14:schemeClr w14:val="tx1"/>
            </w14:solidFill>
          </w14:textFill>
        </w:rPr>
      </w:pPr>
      <w:r>
        <w:rPr>
          <w:rFonts w:hint="eastAsia" w:ascii="仿宋_GB2312" w:hAnsi="Microsoft YaHei UI" w:eastAsia="仿宋_GB2312"/>
          <w:color w:val="000000" w:themeColor="text1"/>
          <w:spacing w:val="6"/>
          <w:sz w:val="32"/>
          <w:szCs w:val="32"/>
          <w14:textFill>
            <w14:solidFill>
              <w14:schemeClr w14:val="tx1"/>
            </w14:solidFill>
          </w14:textFill>
        </w:rPr>
        <w:t>我校正式在职教职工年初21人，年末21人，临聘人员6人，安保人员1人，退休教师21人。教学班6个，在校学生56人。</w:t>
      </w:r>
    </w:p>
    <w:p>
      <w:pPr>
        <w:adjustRightInd w:val="0"/>
        <w:snapToGrid w:val="0"/>
        <w:spacing w:line="540" w:lineRule="exact"/>
        <w:ind w:firstLine="640" w:firstLineChars="200"/>
        <w:contextualSpacing/>
        <w:outlineLvl w:val="1"/>
        <w:rPr>
          <w:rFonts w:ascii="方正黑体简体" w:hAnsi="宋体" w:eastAsia="方正黑体简体" w:cs="宋体"/>
          <w:color w:val="000000" w:themeColor="text1"/>
          <w:kern w:val="0"/>
          <w:sz w:val="32"/>
          <w:szCs w:val="32"/>
          <w:shd w:val="clear" w:color="auto" w:fill="FFFFFF"/>
          <w14:textFill>
            <w14:solidFill>
              <w14:schemeClr w14:val="tx1"/>
            </w14:solidFill>
          </w14:textFill>
        </w:rPr>
      </w:pPr>
      <w:r>
        <w:rPr>
          <w:rFonts w:hint="eastAsia" w:ascii="方正黑体简体" w:hAnsi="宋体" w:eastAsia="方正黑体简体" w:cs="宋体"/>
          <w:color w:val="000000" w:themeColor="text1"/>
          <w:kern w:val="0"/>
          <w:sz w:val="32"/>
          <w:szCs w:val="32"/>
          <w:shd w:val="clear" w:color="auto" w:fill="FFFFFF"/>
          <w14:textFill>
            <w14:solidFill>
              <w14:schemeClr w14:val="tx1"/>
            </w14:solidFill>
          </w14:textFill>
        </w:rPr>
        <w:t>二、部门财政资金收支情况</w:t>
      </w:r>
      <w:bookmarkEnd w:id="83"/>
    </w:p>
    <w:p>
      <w:pPr>
        <w:snapToGrid w:val="0"/>
        <w:spacing w:line="540" w:lineRule="exact"/>
        <w:ind w:firstLine="640" w:firstLineChars="200"/>
        <w:outlineLvl w:val="2"/>
        <w:rPr>
          <w:rFonts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（一）部门财政资金收入情况</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2021年度</w:t>
      </w:r>
      <w:r>
        <w:rPr>
          <w:rFonts w:hint="eastAsia" w:ascii="仿宋_GB2312" w:hAnsi="Microsoft YaHei UI" w:eastAsia="仿宋_GB2312" w:cs="宋体"/>
          <w:color w:val="000000" w:themeColor="text1"/>
          <w:spacing w:val="6"/>
          <w:kern w:val="0"/>
          <w:sz w:val="32"/>
          <w:szCs w:val="32"/>
          <w14:textFill>
            <w14:solidFill>
              <w14:schemeClr w14:val="tx1"/>
            </w14:solidFill>
          </w14:textFill>
        </w:rPr>
        <w:t>收到的一般公共预算财政拨款收入453.29万元。</w:t>
      </w:r>
    </w:p>
    <w:p>
      <w:pPr>
        <w:snapToGrid w:val="0"/>
        <w:spacing w:line="540" w:lineRule="exact"/>
        <w:ind w:firstLine="640" w:firstLineChars="200"/>
        <w:outlineLvl w:val="2"/>
        <w:rPr>
          <w:rFonts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（二）部门财政资金支出情况</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zh-CN"/>
          <w14:textFill>
            <w14:solidFill>
              <w14:schemeClr w14:val="tx1"/>
            </w14:solidFill>
          </w14:textFill>
        </w:rPr>
        <w:t>20</w:t>
      </w:r>
      <w:r>
        <w:rPr>
          <w:rFonts w:hint="eastAsia" w:ascii="仿宋" w:hAnsi="仿宋" w:eastAsia="仿宋" w:cs="仿宋_GB2312"/>
          <w:color w:val="000000" w:themeColor="text1"/>
          <w:sz w:val="32"/>
          <w:szCs w:val="32"/>
          <w14:textFill>
            <w14:solidFill>
              <w14:schemeClr w14:val="tx1"/>
            </w14:solidFill>
          </w14:textFill>
        </w:rPr>
        <w:t>21</w:t>
      </w:r>
      <w:r>
        <w:rPr>
          <w:rFonts w:hint="eastAsia" w:ascii="仿宋" w:hAnsi="仿宋" w:eastAsia="仿宋" w:cs="仿宋_GB2312"/>
          <w:color w:val="000000" w:themeColor="text1"/>
          <w:sz w:val="32"/>
          <w:szCs w:val="32"/>
          <w:lang w:val="zh-CN"/>
          <w14:textFill>
            <w14:solidFill>
              <w14:schemeClr w14:val="tx1"/>
            </w14:solidFill>
          </w14:textFill>
        </w:rPr>
        <w:t>年度本年一般公共预算财政拨款支出</w:t>
      </w:r>
      <w:r>
        <w:rPr>
          <w:rFonts w:hint="eastAsia" w:ascii="仿宋" w:hAnsi="仿宋" w:eastAsia="仿宋" w:cs="仿宋_GB2312"/>
          <w:color w:val="000000" w:themeColor="text1"/>
          <w:sz w:val="32"/>
          <w:szCs w:val="32"/>
          <w14:textFill>
            <w14:solidFill>
              <w14:schemeClr w14:val="tx1"/>
            </w14:solidFill>
          </w14:textFill>
        </w:rPr>
        <w:t>466.45元。其中人员经费支出399.91万元；公用经费支出41.98万元；项目支出21.60万元。</w:t>
      </w:r>
    </w:p>
    <w:p>
      <w:pPr>
        <w:adjustRightInd w:val="0"/>
        <w:snapToGrid w:val="0"/>
        <w:spacing w:line="540" w:lineRule="exact"/>
        <w:ind w:firstLine="640" w:firstLineChars="200"/>
        <w:contextualSpacing/>
        <w:outlineLvl w:val="1"/>
        <w:rPr>
          <w:rFonts w:ascii="方正仿宋简体" w:hAnsi="宋体" w:eastAsia="方正黑体简体" w:cs="宋体"/>
          <w:color w:val="000000" w:themeColor="text1"/>
          <w:kern w:val="0"/>
          <w:sz w:val="32"/>
          <w:szCs w:val="32"/>
          <w:shd w:val="clear" w:color="auto" w:fill="FFFFFF"/>
          <w14:textFill>
            <w14:solidFill>
              <w14:schemeClr w14:val="tx1"/>
            </w14:solidFill>
          </w14:textFill>
        </w:rPr>
      </w:pPr>
      <w:bookmarkStart w:id="84" w:name="_Toc3522"/>
      <w:r>
        <w:rPr>
          <w:rFonts w:hint="eastAsia" w:ascii="方正黑体简体" w:hAnsi="宋体" w:eastAsia="方正黑体简体" w:cs="宋体"/>
          <w:color w:val="000000" w:themeColor="text1"/>
          <w:kern w:val="0"/>
          <w:sz w:val="32"/>
          <w:szCs w:val="32"/>
          <w:shd w:val="clear" w:color="auto" w:fill="FFFFFF"/>
          <w14:textFill>
            <w14:solidFill>
              <w14:schemeClr w14:val="tx1"/>
            </w14:solidFill>
          </w14:textFill>
        </w:rPr>
        <w:t>三、部门整体预算绩效管理情况</w:t>
      </w:r>
      <w:bookmarkEnd w:id="84"/>
    </w:p>
    <w:p>
      <w:pPr>
        <w:snapToGrid w:val="0"/>
        <w:spacing w:line="540" w:lineRule="exact"/>
        <w:ind w:firstLine="640" w:firstLineChars="200"/>
        <w:outlineLvl w:val="2"/>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（一）部门预算管理</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w:t>
      </w:r>
      <w:r>
        <w:rPr>
          <w:rFonts w:ascii="仿宋" w:hAnsi="仿宋" w:eastAsia="仿宋" w:cs="仿宋_GB2312"/>
          <w:color w:val="000000" w:themeColor="text1"/>
          <w:sz w:val="32"/>
          <w:szCs w:val="32"/>
          <w14:textFill>
            <w14:solidFill>
              <w14:schemeClr w14:val="tx1"/>
            </w14:solidFill>
          </w14:textFill>
        </w:rPr>
        <w:t>部门绩效目标制定</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（1）部门绩效目标充分考虑到各项资金的使用内容、范围、方向和预期效果，符合国民经济和社会发展规划，符合部门职能及事业发展规划。</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（2）部门绩效目标从数量、质量、成本、时效以及经济效益、社会效益、生态效益、可持续影响、满意度等方面进行了细化和定量表述，具有可衡量性。</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（3）绩效目标的设定经过了调查研究和科学论证，符合客观实际，能够在一定期限内如期实现。</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（4）绩效目标相关指标设定与预算安排金额相对应，未超预算安排资金。</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w:t>
      </w:r>
      <w:r>
        <w:rPr>
          <w:rFonts w:ascii="仿宋" w:hAnsi="仿宋" w:eastAsia="仿宋" w:cs="仿宋_GB2312"/>
          <w:color w:val="000000" w:themeColor="text1"/>
          <w:sz w:val="32"/>
          <w:szCs w:val="32"/>
          <w14:textFill>
            <w14:solidFill>
              <w14:schemeClr w14:val="tx1"/>
            </w14:solidFill>
          </w14:textFill>
        </w:rPr>
        <w:t>预算编制</w:t>
      </w:r>
      <w:r>
        <w:rPr>
          <w:rFonts w:hint="eastAsia" w:ascii="仿宋" w:hAnsi="仿宋" w:eastAsia="仿宋" w:cs="仿宋_GB2312"/>
          <w:color w:val="000000" w:themeColor="text1"/>
          <w:sz w:val="32"/>
          <w:szCs w:val="32"/>
          <w14:textFill>
            <w14:solidFill>
              <w14:schemeClr w14:val="tx1"/>
            </w14:solidFill>
          </w14:textFill>
        </w:rPr>
        <w:t>和执行</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（1）部门预算报送时间严格按照财政部门预算编制要求的时间及时报送部门预算。预算编制完整、准确，基础信息和科目使用准确。</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（4）按时送部门决算，决算数据真实准确、帐表一致，部门决算编制人员与供养人员系统一致。</w:t>
      </w:r>
    </w:p>
    <w:p>
      <w:pPr>
        <w:snapToGrid w:val="0"/>
        <w:spacing w:line="540" w:lineRule="exact"/>
        <w:ind w:firstLine="640" w:firstLineChars="200"/>
        <w:outlineLvl w:val="2"/>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（二）专项预算管理。</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1.专项预算编制情况</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2.专项预算执行</w:t>
      </w:r>
    </w:p>
    <w:p>
      <w:pPr>
        <w:snapToGrid w:val="0"/>
        <w:spacing w:line="540" w:lineRule="exact"/>
        <w:ind w:firstLine="640" w:firstLineChars="200"/>
        <w:outlineLvl w:val="2"/>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snapToGrid w:val="0"/>
        <w:spacing w:line="540" w:lineRule="exact"/>
        <w:ind w:firstLine="640" w:firstLineChars="200"/>
        <w:outlineLvl w:val="2"/>
        <w:rPr>
          <w:rFonts w:ascii="仿宋" w:hAnsi="仿宋" w:eastAsia="仿宋" w:cs="仿宋_GB2312"/>
          <w:color w:val="000000" w:themeColor="text1"/>
          <w:sz w:val="32"/>
          <w:szCs w:val="32"/>
          <w:lang w:val="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3.专项预</w:t>
      </w:r>
      <w:r>
        <w:rPr>
          <w:rFonts w:hint="eastAsia" w:ascii="仿宋" w:hAnsi="仿宋" w:eastAsia="仿宋" w:cs="仿宋_GB2312"/>
          <w:color w:val="000000" w:themeColor="text1"/>
          <w:sz w:val="32"/>
          <w:szCs w:val="32"/>
          <w:lang w:val="zh-CN"/>
          <w14:textFill>
            <w14:solidFill>
              <w14:schemeClr w14:val="tx1"/>
            </w14:solidFill>
          </w14:textFill>
        </w:rPr>
        <w:t>算绩效目标完成情况</w:t>
      </w:r>
    </w:p>
    <w:p>
      <w:pPr>
        <w:snapToGrid w:val="0"/>
        <w:spacing w:line="540" w:lineRule="exact"/>
        <w:ind w:firstLine="640" w:firstLineChars="200"/>
        <w:outlineLvl w:val="2"/>
        <w:rPr>
          <w:color w:val="000000" w:themeColor="text1"/>
          <w14:textFill>
            <w14:solidFill>
              <w14:schemeClr w14:val="tx1"/>
            </w14:solidFill>
          </w14:textFill>
        </w:rPr>
      </w:pPr>
      <w:r>
        <w:rPr>
          <w:rFonts w:hint="eastAsia" w:ascii="仿宋" w:hAnsi="仿宋" w:eastAsia="仿宋" w:cs="仿宋_GB2312"/>
          <w:color w:val="000000" w:themeColor="text1"/>
          <w:sz w:val="32"/>
          <w:szCs w:val="32"/>
          <w:lang w:val="zh-CN"/>
          <w14:textFill>
            <w14:solidFill>
              <w14:schemeClr w14:val="tx1"/>
            </w14:solidFill>
          </w14:textFill>
        </w:rPr>
        <w:t>202</w:t>
      </w:r>
      <w:r>
        <w:rPr>
          <w:rFonts w:hint="eastAsia"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lang w:val="zh-CN"/>
          <w14:textFill>
            <w14:solidFill>
              <w14:schemeClr w14:val="tx1"/>
            </w14:solidFill>
          </w14:textFill>
        </w:rPr>
        <w:t>年</w:t>
      </w:r>
      <w:r>
        <w:rPr>
          <w:rFonts w:hint="eastAsia" w:ascii="仿宋" w:hAnsi="仿宋" w:eastAsia="仿宋" w:cs="仿宋_GB2312"/>
          <w:color w:val="000000" w:themeColor="text1"/>
          <w:sz w:val="32"/>
          <w:szCs w:val="32"/>
          <w14:textFill>
            <w14:solidFill>
              <w14:schemeClr w14:val="tx1"/>
            </w14:solidFill>
          </w14:textFill>
        </w:rPr>
        <w:t>学校各类财政专项预算支出共</w:t>
      </w:r>
      <w:r>
        <w:rPr>
          <w:rFonts w:hint="eastAsia" w:ascii="仿宋_GB2312" w:eastAsia="仿宋_GB2312"/>
          <w:color w:val="000000" w:themeColor="text1"/>
          <w:sz w:val="32"/>
          <w:szCs w:val="32"/>
          <w14:textFill>
            <w14:solidFill>
              <w14:schemeClr w14:val="tx1"/>
            </w14:solidFill>
          </w14:textFill>
        </w:rPr>
        <w:t>21.6</w:t>
      </w:r>
      <w:r>
        <w:rPr>
          <w:rFonts w:hint="eastAsia" w:ascii="仿宋" w:hAnsi="仿宋" w:eastAsia="仿宋" w:cs="仿宋_GB2312"/>
          <w:color w:val="000000" w:themeColor="text1"/>
          <w:sz w:val="32"/>
          <w:szCs w:val="32"/>
          <w14:textFill>
            <w14:solidFill>
              <w14:schemeClr w14:val="tx1"/>
            </w14:solidFill>
          </w14:textFill>
        </w:rPr>
        <w:t>万元，除个别年末下达的项目未来得及实施外，其余一般公共预算和政府性基金预算项目预算完成率均达到100%以上。</w:t>
      </w:r>
    </w:p>
    <w:p>
      <w:pPr>
        <w:adjustRightInd w:val="0"/>
        <w:snapToGrid w:val="0"/>
        <w:spacing w:line="540" w:lineRule="exact"/>
        <w:ind w:firstLine="640" w:firstLineChars="200"/>
        <w:contextualSpacing/>
        <w:outlineLvl w:val="1"/>
        <w:rPr>
          <w:rFonts w:ascii="方正黑体简体" w:hAnsi="宋体" w:eastAsia="方正黑体简体" w:cs="宋体"/>
          <w:color w:val="000000"/>
          <w:kern w:val="0"/>
          <w:sz w:val="32"/>
          <w:szCs w:val="32"/>
          <w:shd w:val="clear" w:color="auto" w:fill="FFFFFF"/>
        </w:rPr>
      </w:pPr>
      <w:bookmarkStart w:id="85" w:name="_Toc24063"/>
      <w:r>
        <w:rPr>
          <w:rFonts w:hint="eastAsia" w:ascii="方正黑体简体" w:hAnsi="宋体" w:eastAsia="方正黑体简体" w:cs="宋体"/>
          <w:color w:val="000000"/>
          <w:kern w:val="0"/>
          <w:sz w:val="32"/>
          <w:szCs w:val="32"/>
          <w:shd w:val="clear" w:color="auto" w:fill="FFFFFF"/>
        </w:rPr>
        <w:t>四、评价结论及建议</w:t>
      </w:r>
      <w:bookmarkEnd w:id="85"/>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（一）评价结论</w:t>
      </w:r>
    </w:p>
    <w:p>
      <w:pPr>
        <w:snapToGrid w:val="0"/>
        <w:spacing w:line="540" w:lineRule="exact"/>
        <w:ind w:firstLine="640" w:firstLineChars="200"/>
        <w:outlineLvl w:val="2"/>
        <w:rPr>
          <w:rFonts w:ascii="仿宋" w:hAnsi="仿宋" w:eastAsia="仿宋" w:cs="仿宋_GB2312"/>
          <w:sz w:val="32"/>
          <w:szCs w:val="32"/>
        </w:rPr>
      </w:pPr>
      <w:r>
        <w:rPr>
          <w:rFonts w:hint="eastAsia" w:ascii="仿宋" w:hAnsi="仿宋" w:eastAsia="仿宋" w:cs="仿宋_GB2312"/>
          <w:sz w:val="32"/>
          <w:szCs w:val="32"/>
          <w:lang w:val="zh-CN"/>
        </w:rPr>
        <w:t>经过202</w:t>
      </w:r>
      <w:r>
        <w:rPr>
          <w:rFonts w:hint="eastAsia" w:ascii="仿宋" w:hAnsi="仿宋" w:eastAsia="仿宋" w:cs="仿宋_GB2312"/>
          <w:sz w:val="32"/>
          <w:szCs w:val="32"/>
        </w:rPr>
        <w:t>1</w:t>
      </w:r>
      <w:r>
        <w:rPr>
          <w:rFonts w:hint="eastAsia" w:ascii="仿宋" w:hAnsi="仿宋" w:eastAsia="仿宋" w:cs="仿宋_GB2312"/>
          <w:sz w:val="32"/>
          <w:szCs w:val="32"/>
          <w:lang w:val="zh-CN"/>
        </w:rPr>
        <w:t>年区级部门整体支出绩效自我评价，综合得分为</w:t>
      </w:r>
      <w:r>
        <w:rPr>
          <w:rFonts w:hint="eastAsia" w:ascii="仿宋" w:hAnsi="仿宋" w:eastAsia="仿宋" w:cs="仿宋_GB2312"/>
          <w:sz w:val="32"/>
          <w:szCs w:val="32"/>
        </w:rPr>
        <w:t>98分。</w:t>
      </w:r>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（二）存在问题</w:t>
      </w:r>
    </w:p>
    <w:p>
      <w:pPr>
        <w:snapToGrid w:val="0"/>
        <w:spacing w:line="540" w:lineRule="exact"/>
        <w:ind w:firstLine="640" w:firstLineChars="200"/>
        <w:outlineLvl w:val="2"/>
        <w:rPr>
          <w:rFonts w:ascii="仿宋" w:hAnsi="仿宋" w:eastAsia="仿宋" w:cs="仿宋_GB2312"/>
          <w:sz w:val="32"/>
          <w:szCs w:val="32"/>
          <w:lang w:val="zh-CN"/>
        </w:rPr>
      </w:pPr>
      <w:r>
        <w:rPr>
          <w:rFonts w:hint="eastAsia" w:ascii="仿宋" w:hAnsi="仿宋" w:eastAsia="仿宋" w:cs="仿宋_GB2312"/>
          <w:sz w:val="32"/>
          <w:szCs w:val="32"/>
          <w:lang w:val="zh-CN"/>
        </w:rPr>
        <w:t>经过区级部门整体支出绩效自评，发现存在一些问题：</w:t>
      </w:r>
    </w:p>
    <w:p>
      <w:pPr>
        <w:snapToGrid w:val="0"/>
        <w:spacing w:line="540" w:lineRule="exact"/>
        <w:ind w:firstLine="640" w:firstLineChars="200"/>
        <w:outlineLvl w:val="2"/>
        <w:rPr>
          <w:rFonts w:ascii="仿宋" w:hAnsi="仿宋" w:eastAsia="仿宋" w:cs="仿宋_GB2312"/>
          <w:sz w:val="32"/>
          <w:szCs w:val="32"/>
          <w:lang w:val="zh-CN"/>
        </w:rPr>
      </w:pPr>
      <w:r>
        <w:rPr>
          <w:rFonts w:hint="eastAsia" w:ascii="仿宋" w:hAnsi="仿宋" w:eastAsia="仿宋" w:cs="仿宋_GB2312"/>
          <w:sz w:val="32"/>
          <w:szCs w:val="32"/>
          <w:lang w:val="zh-CN"/>
        </w:rPr>
        <w:t>评价部门绩效目标未纳入部门党组（委）会（办公会）集体决策范围；</w:t>
      </w:r>
    </w:p>
    <w:p>
      <w:pPr>
        <w:adjustRightInd w:val="0"/>
        <w:snapToGrid w:val="0"/>
        <w:spacing w:line="540" w:lineRule="exact"/>
        <w:ind w:firstLine="640" w:firstLineChars="200"/>
        <w:contextualSpacing/>
        <w:outlineLvl w:val="2"/>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zh-CN"/>
        </w:rPr>
        <w:t>部门日常公用经费、项目支出中“办公费、印刷费、水费、电费、物业管理费”等科目年初预算数与决算数偏差程度在</w:t>
      </w:r>
      <w:r>
        <w:rPr>
          <w:rFonts w:hint="eastAsia" w:ascii="仿宋" w:hAnsi="仿宋" w:eastAsia="仿宋" w:cs="仿宋_GB2312"/>
          <w:sz w:val="32"/>
          <w:szCs w:val="32"/>
        </w:rPr>
        <w:t>10%-20%之间；</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部门预算项目12月预算执行进度未达到100%；</w:t>
      </w:r>
    </w:p>
    <w:p>
      <w:pPr>
        <w:adjustRightInd w:val="0"/>
        <w:snapToGrid w:val="0"/>
        <w:spacing w:line="540" w:lineRule="exact"/>
        <w:ind w:firstLine="640" w:firstLineChars="200"/>
        <w:contextualSpacing/>
        <w:outlineLvl w:val="2"/>
        <w:rPr>
          <w:rFonts w:ascii="仿宋" w:hAnsi="仿宋" w:eastAsia="仿宋" w:cs="仿宋_GB2312"/>
          <w:sz w:val="32"/>
          <w:szCs w:val="32"/>
          <w:lang w:val="zh-CN"/>
        </w:rPr>
      </w:pPr>
      <w:r>
        <w:rPr>
          <w:rFonts w:hint="eastAsia" w:ascii="仿宋" w:hAnsi="仿宋" w:eastAsia="仿宋" w:cs="仿宋_GB2312"/>
          <w:sz w:val="32"/>
          <w:szCs w:val="32"/>
        </w:rPr>
        <w:t>3.</w:t>
      </w:r>
      <w:r>
        <w:rPr>
          <w:rFonts w:hint="eastAsia" w:ascii="仿宋" w:hAnsi="仿宋" w:eastAsia="仿宋" w:cs="仿宋_GB2312"/>
          <w:sz w:val="32"/>
          <w:szCs w:val="32"/>
          <w:lang w:val="zh-CN"/>
        </w:rPr>
        <w:t>部门预算项目资金有结余率较大；</w:t>
      </w:r>
    </w:p>
    <w:p>
      <w:pPr>
        <w:adjustRightInd w:val="0"/>
        <w:snapToGrid w:val="0"/>
        <w:spacing w:line="540" w:lineRule="exact"/>
        <w:ind w:firstLine="640" w:firstLineChars="200"/>
        <w:contextualSpacing/>
        <w:outlineLvl w:val="2"/>
        <w:rPr>
          <w:rFonts w:ascii="方正仿宋简体" w:hAnsi="宋体" w:eastAsia="方正仿宋简体" w:cs="宋体"/>
          <w:color w:val="000000"/>
          <w:kern w:val="0"/>
          <w:sz w:val="32"/>
          <w:szCs w:val="32"/>
          <w:shd w:val="clear" w:color="auto" w:fill="FFFFFF"/>
        </w:rPr>
      </w:pPr>
      <w:r>
        <w:rPr>
          <w:rFonts w:hint="eastAsia" w:ascii="仿宋" w:hAnsi="仿宋" w:eastAsia="仿宋" w:cs="仿宋_GB2312"/>
          <w:sz w:val="32"/>
          <w:szCs w:val="32"/>
        </w:rPr>
        <w:t>4.</w:t>
      </w:r>
      <w:r>
        <w:rPr>
          <w:rFonts w:hint="eastAsia" w:ascii="仿宋" w:hAnsi="仿宋" w:eastAsia="仿宋" w:cs="仿宋_GB2312"/>
          <w:sz w:val="32"/>
          <w:szCs w:val="32"/>
          <w:lang w:val="zh-CN"/>
        </w:rPr>
        <w:t>部门未按要求将部门整体绩效自评情况和自行组织的评价情况向社会公开</w:t>
      </w:r>
      <w:r>
        <w:rPr>
          <w:rFonts w:hint="eastAsia" w:ascii="方正仿宋简体" w:hAnsi="宋体" w:eastAsia="方正仿宋简体" w:cs="宋体"/>
          <w:color w:val="000000"/>
          <w:kern w:val="0"/>
          <w:sz w:val="32"/>
          <w:szCs w:val="32"/>
          <w:shd w:val="clear" w:color="auto" w:fill="FFFFFF"/>
          <w:lang w:val="zh-CN"/>
        </w:rPr>
        <w:t>。</w:t>
      </w:r>
    </w:p>
    <w:p>
      <w:pPr>
        <w:snapToGrid w:val="0"/>
        <w:spacing w:line="540"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（三）改进建议</w:t>
      </w:r>
    </w:p>
    <w:p>
      <w:pPr>
        <w:adjustRightInd w:val="0"/>
        <w:snapToGrid w:val="0"/>
        <w:spacing w:line="540" w:lineRule="exact"/>
        <w:ind w:firstLine="640" w:firstLineChars="200"/>
        <w:contextualSpacing/>
        <w:outlineLvl w:val="2"/>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val="zh-CN"/>
        </w:rPr>
        <w:t>评价部门绩效目标纳入部门党组（委）会（办公会）集体决策范围；</w:t>
      </w:r>
    </w:p>
    <w:p>
      <w:pPr>
        <w:adjustRightInd w:val="0"/>
        <w:snapToGrid w:val="0"/>
        <w:spacing w:line="540" w:lineRule="exact"/>
        <w:ind w:firstLine="640" w:firstLineChars="200"/>
        <w:contextualSpacing/>
        <w:outlineLvl w:val="2"/>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2.严格执行预算，减小</w:t>
      </w:r>
      <w:r>
        <w:rPr>
          <w:rFonts w:hint="eastAsia" w:ascii="仿宋" w:hAnsi="仿宋" w:eastAsia="仿宋" w:cs="仿宋"/>
          <w:color w:val="000000"/>
          <w:kern w:val="0"/>
          <w:sz w:val="32"/>
          <w:szCs w:val="32"/>
          <w:shd w:val="clear" w:color="auto" w:fill="FFFFFF"/>
          <w:lang w:val="zh-CN"/>
        </w:rPr>
        <w:t>部门日常公用经费、项目支出中“办公费、印刷费、水费、电费、物业管理费”等科目年初预算数与决算数偏差程度</w:t>
      </w:r>
      <w:r>
        <w:rPr>
          <w:rFonts w:hint="eastAsia" w:ascii="仿宋" w:hAnsi="仿宋" w:eastAsia="仿宋" w:cs="仿宋"/>
          <w:color w:val="000000"/>
          <w:kern w:val="0"/>
          <w:sz w:val="32"/>
          <w:szCs w:val="32"/>
          <w:shd w:val="clear" w:color="auto" w:fill="FFFFFF"/>
        </w:rPr>
        <w:t>；</w:t>
      </w:r>
    </w:p>
    <w:p>
      <w:pPr>
        <w:adjustRightInd w:val="0"/>
        <w:snapToGrid w:val="0"/>
        <w:spacing w:line="540" w:lineRule="exact"/>
        <w:ind w:firstLine="640" w:firstLineChars="200"/>
        <w:contextualSpacing/>
        <w:outlineLvl w:val="2"/>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val="zh-CN"/>
        </w:rPr>
        <w:t>加快部门预算项目12月预算执行进度，尽量未达到100%；</w:t>
      </w:r>
    </w:p>
    <w:p>
      <w:pPr>
        <w:adjustRightInd w:val="0"/>
        <w:snapToGrid w:val="0"/>
        <w:spacing w:line="540" w:lineRule="exact"/>
        <w:ind w:firstLine="640" w:firstLineChars="200"/>
        <w:contextualSpacing/>
        <w:outlineLvl w:val="2"/>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4.</w:t>
      </w:r>
      <w:r>
        <w:rPr>
          <w:rFonts w:hint="eastAsia" w:ascii="仿宋" w:hAnsi="仿宋" w:eastAsia="仿宋" w:cs="仿宋"/>
          <w:color w:val="000000"/>
          <w:kern w:val="0"/>
          <w:sz w:val="32"/>
          <w:szCs w:val="32"/>
          <w:shd w:val="clear" w:color="auto" w:fill="FFFFFF"/>
          <w:lang w:val="zh-CN"/>
        </w:rPr>
        <w:t>合理安排资金使用进度，减小部门预算项目资金结余率；</w:t>
      </w:r>
    </w:p>
    <w:p>
      <w:pPr>
        <w:adjustRightInd w:val="0"/>
        <w:snapToGrid w:val="0"/>
        <w:spacing w:line="540" w:lineRule="exact"/>
        <w:ind w:firstLine="640" w:firstLineChars="200"/>
        <w:contextualSpacing/>
        <w:outlineLvl w:val="2"/>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lang w:val="zh-CN"/>
        </w:rPr>
        <w:t>部门按要求将部门整体绩效自评情况和自行组织的评价情况向社会公开。</w:t>
      </w:r>
    </w:p>
    <w:p>
      <w:pPr>
        <w:pStyle w:val="2"/>
        <w:spacing w:before="72"/>
        <w:ind w:left="315" w:leftChars="150"/>
      </w:pPr>
    </w:p>
    <w:p>
      <w:pPr>
        <w:pStyle w:val="2"/>
        <w:spacing w:before="72"/>
        <w:ind w:left="315" w:leftChars="150"/>
      </w:pPr>
    </w:p>
    <w:p>
      <w:r>
        <w:rPr>
          <w:rFonts w:hint="eastAsia"/>
        </w:rPr>
        <w:br w:type="page"/>
      </w:r>
    </w:p>
    <w:p>
      <w:pPr>
        <w:pStyle w:val="2"/>
        <w:spacing w:before="72"/>
        <w:outlineLvl w:val="1"/>
      </w:pPr>
      <w:bookmarkStart w:id="86" w:name="_Toc14430"/>
      <w:r>
        <w:rPr>
          <w:rFonts w:hint="eastAsia"/>
          <w:b/>
          <w:bCs/>
          <w:sz w:val="44"/>
          <w:szCs w:val="44"/>
        </w:rPr>
        <w:t>二、2021年</w:t>
      </w:r>
      <w:r>
        <w:rPr>
          <w:rFonts w:hint="eastAsia"/>
          <w:b/>
          <w:bCs/>
          <w:sz w:val="44"/>
          <w:szCs w:val="44"/>
          <w:lang w:val="zh-CN"/>
        </w:rPr>
        <w:t>专项预算项目支出绩效自评报告</w:t>
      </w:r>
    </w:p>
    <w:p>
      <w:pPr>
        <w:pStyle w:val="2"/>
        <w:spacing w:before="72"/>
        <w:outlineLvl w:val="1"/>
      </w:pPr>
      <w:r>
        <w:rPr>
          <w:rFonts w:hint="eastAsia"/>
        </w:rPr>
        <w:t>附件2.1：</w:t>
      </w:r>
      <w:bookmarkEnd w:id="86"/>
    </w:p>
    <w:p>
      <w:pPr>
        <w:pStyle w:val="32"/>
        <w:spacing w:line="60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广元市利州区宝轮第四小学</w:t>
      </w:r>
    </w:p>
    <w:p>
      <w:pPr>
        <w:pStyle w:val="32"/>
        <w:autoSpaceDE w:val="0"/>
        <w:spacing w:before="120" w:beforeLines="50" w:line="560" w:lineRule="exact"/>
        <w:jc w:val="center"/>
        <w:rPr>
          <w:rFonts w:ascii="方正小标宋简体" w:eastAsia="方正小标宋简体"/>
          <w:sz w:val="44"/>
          <w:szCs w:val="44"/>
        </w:rPr>
      </w:pPr>
      <w:r>
        <w:rPr>
          <w:rFonts w:hint="eastAsia" w:ascii="方正小标宋简体" w:eastAsia="方正小标宋简体"/>
          <w:sz w:val="44"/>
          <w:szCs w:val="44"/>
        </w:rPr>
        <w:t>2021年学前教育减免保教费补助项目支出</w:t>
      </w:r>
    </w:p>
    <w:p>
      <w:pPr>
        <w:pStyle w:val="32"/>
        <w:spacing w:line="560" w:lineRule="exact"/>
        <w:jc w:val="center"/>
        <w:rPr>
          <w:rFonts w:ascii="方正小标宋简体" w:eastAsia="方正小标宋简体"/>
          <w:sz w:val="44"/>
          <w:szCs w:val="44"/>
        </w:rPr>
      </w:pPr>
      <w:r>
        <w:rPr>
          <w:rFonts w:hint="eastAsia" w:ascii="方正小标宋简体" w:eastAsia="方正小标宋简体"/>
          <w:sz w:val="44"/>
          <w:szCs w:val="44"/>
        </w:rPr>
        <w:t>绩效自评报告</w:t>
      </w:r>
    </w:p>
    <w:p>
      <w:pPr>
        <w:autoSpaceDE w:val="0"/>
        <w:snapToGrid w:val="0"/>
        <w:spacing w:line="560" w:lineRule="exact"/>
        <w:jc w:val="center"/>
        <w:rPr>
          <w:rFonts w:ascii="仿宋_GB2312" w:eastAsia="仿宋_GB2312"/>
          <w:sz w:val="32"/>
          <w:szCs w:val="32"/>
        </w:rPr>
      </w:pPr>
      <w:r>
        <w:rPr>
          <w:rFonts w:hint="eastAsia" w:ascii="仿宋_GB2312" w:eastAsia="仿宋_GB2312"/>
          <w:sz w:val="32"/>
          <w:szCs w:val="32"/>
        </w:rPr>
        <w:t xml:space="preserve"> </w:t>
      </w:r>
    </w:p>
    <w:p>
      <w:pPr>
        <w:autoSpaceDE w:val="0"/>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一、项目概况</w:t>
      </w:r>
    </w:p>
    <w:p>
      <w:pPr>
        <w:autoSpaceDE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宝轮四小学前教育，切实规范办学行为，提高教育质量，逐步形成了覆盖城乡、群众满意的学前教育公共服务体系。按照中央、省、市的相关政策,学前教育适龄在园幼儿享受保教费减免补助。区教育局和县财政局密切配合,对学前教育人数进行核实,并落实到学校，同时做好学前教育保教费减免补助资金的发放工作，确保学前教育适龄在园幼儿及时获得补助。</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楷体" w:hAnsi="楷体" w:eastAsia="楷体"/>
          <w:color w:val="000000"/>
          <w:sz w:val="32"/>
          <w:szCs w:val="32"/>
          <w:shd w:val="clear" w:color="auto" w:fill="FFFFFF"/>
        </w:rPr>
        <w:t>（一）项目资金申报及批复情况。</w:t>
      </w:r>
      <w:r>
        <w:rPr>
          <w:rFonts w:hint="eastAsia" w:ascii="仿宋" w:hAnsi="仿宋" w:eastAsia="仿宋"/>
          <w:color w:val="000000"/>
          <w:sz w:val="32"/>
          <w:szCs w:val="32"/>
          <w:shd w:val="clear" w:color="auto" w:fill="FFFFFF"/>
        </w:rPr>
        <w:t>本年申报财政资金2.45万元，财政批复预算资金2.45万元</w:t>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（二）项目绩效目标。</w:t>
      </w:r>
    </w:p>
    <w:p>
      <w:pPr>
        <w:autoSpaceDE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学前教育减免保教费配套项目增加每户建档立卡贫困家庭经济收入1000元，增加每户非建档立卡贫困家庭经济收入1000元，减轻三儿家庭负担，确保贫、孤、残三类幼儿入园，减轻建档立卡贫困家庭负担，确保幼儿入园。</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楷体" w:hAnsi="楷体" w:eastAsia="楷体"/>
          <w:color w:val="000000"/>
          <w:sz w:val="32"/>
          <w:szCs w:val="32"/>
          <w:shd w:val="clear" w:color="auto" w:fill="FFFFFF"/>
        </w:rPr>
        <w:t>（三）项目资金申报相符性。</w:t>
      </w:r>
      <w:r>
        <w:rPr>
          <w:rFonts w:hint="eastAsia" w:ascii="仿宋" w:hAnsi="仿宋" w:eastAsia="仿宋"/>
          <w:color w:val="000000"/>
          <w:sz w:val="32"/>
          <w:szCs w:val="32"/>
          <w:shd w:val="clear" w:color="auto" w:fill="FFFFFF"/>
        </w:rPr>
        <w:t>项目申报内容与具体实施内容相符、申报目标合理可行，补助100%的兑付到位。</w:t>
      </w:r>
    </w:p>
    <w:p>
      <w:pPr>
        <w:autoSpaceDE w:val="0"/>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二、项目实施及管理情况、</w:t>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（一）资金计划、到位及使用情况</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1．资金计划及到位。该项目到位财政资金2.45万元，上级资金2.45万元。到位率100%，到位及时性，保证了教育品牌。</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2．资金使用。</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至2022年5月31日，实际支出2.45万元，主要用于学前教育减免保教费经费支出。在经费使用过程中，我们严格按照预算批复拨付经费。项目学校严格执行国家、省和市、区教育公用经费开支的范围和标准，经费支出规范、合理，无虚列、虚报冒领和挤占挪用现象，票据规范、合法有效。财务信息公开透明，对预算批复，主动公示并接受师生和群众监督。在区财政和教育主管部门定期组织对学校经费使用情况的检查、审计中未发现重大违规、违纪现象。</w:t>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（二）项目财务管理情况</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项目财务管理制度建设、机构设置健全、会计核算及账务处理符合财务相关规定。在实施项目过程中，严厉节约，避免浪费，要求学校最大限度地发挥其作用，严格执行《项目资金的使用规定》和《财务管理制度》。</w:t>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（三）项目组织实施情况</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为了严肃财经纪律，落实好资助政策，保证资金安全，及时下达资金，督促学校按时落实资助资金。一是加大宣传力度，落实好学前教育减免保教费资助政策;二是建立机制，全力提高贫困家庭经济收入，助力家庭脱贫。三是强化项目公开公示，按照学前教育减免保教费使用相关规定进行经费管理，主动接受社会监督。</w:t>
      </w:r>
    </w:p>
    <w:p>
      <w:pPr>
        <w:autoSpaceDE w:val="0"/>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三、项目绩效情况</w:t>
      </w:r>
      <w:r>
        <w:rPr>
          <w:rFonts w:hint="eastAsia" w:ascii="黑体" w:hAnsi="黑体" w:eastAsia="黑体"/>
          <w:color w:val="000000"/>
          <w:sz w:val="32"/>
          <w:szCs w:val="32"/>
        </w:rPr>
        <w:tab/>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（一）项目完成情况</w:t>
      </w:r>
    </w:p>
    <w:p>
      <w:pPr>
        <w:autoSpaceDE w:val="0"/>
        <w:adjustRightInd w:val="0"/>
        <w:snapToGrid w:val="0"/>
        <w:spacing w:line="560" w:lineRule="exact"/>
        <w:ind w:firstLine="640" w:firstLineChars="200"/>
        <w:rPr>
          <w:rFonts w:ascii="仿宋" w:hAnsi="仿宋" w:eastAsia="仿宋"/>
          <w:color w:val="000000"/>
          <w:spacing w:val="-6"/>
          <w:sz w:val="32"/>
          <w:szCs w:val="32"/>
          <w:shd w:val="clear" w:color="auto" w:fill="FFFFFF"/>
        </w:rPr>
      </w:pPr>
      <w:r>
        <w:rPr>
          <w:rFonts w:hint="eastAsia" w:ascii="仿宋" w:hAnsi="仿宋" w:eastAsia="仿宋"/>
          <w:color w:val="000000"/>
          <w:sz w:val="32"/>
          <w:szCs w:val="32"/>
          <w:shd w:val="clear" w:color="auto" w:fill="FFFFFF"/>
        </w:rPr>
        <w:t>补助学校数：补助在园幼儿人数：49人，</w:t>
      </w:r>
      <w:r>
        <w:rPr>
          <w:rFonts w:hint="eastAsia" w:ascii="仿宋" w:hAnsi="仿宋" w:eastAsia="仿宋"/>
          <w:color w:val="000000"/>
          <w:spacing w:val="-6"/>
          <w:sz w:val="32"/>
          <w:szCs w:val="32"/>
          <w:shd w:val="clear" w:color="auto" w:fill="FFFFFF"/>
        </w:rPr>
        <w:t>100%补助。生均幼儿补助保教费补助：1000元/生/年。</w:t>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（二）项目效益情况</w:t>
      </w:r>
    </w:p>
    <w:p>
      <w:pPr>
        <w:autoSpaceDE w:val="0"/>
        <w:adjustRightInd w:val="0"/>
        <w:snapToGrid w:val="0"/>
        <w:spacing w:line="56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减轻三儿家庭负担，确保贫、孤、残三类幼儿入园，减轻建档立卡贫困家庭负担，确保幼儿入园，政策知晓率≥95%，对社会、经济发展可持续影响：100%，在园幼儿家长满意度：95%。</w:t>
      </w:r>
    </w:p>
    <w:p>
      <w:pPr>
        <w:autoSpaceDE w:val="0"/>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四、问题及建议</w:t>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（一）存在的问题。</w:t>
      </w:r>
    </w:p>
    <w:p>
      <w:pPr>
        <w:autoSpaceDE w:val="0"/>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无</w:t>
      </w:r>
    </w:p>
    <w:p>
      <w:pPr>
        <w:autoSpaceDE w:val="0"/>
        <w:adjustRightInd w:val="0"/>
        <w:snapToGrid w:val="0"/>
        <w:spacing w:line="560" w:lineRule="exact"/>
        <w:ind w:firstLine="640" w:firstLineChars="200"/>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（二）相关建议。</w:t>
      </w:r>
    </w:p>
    <w:p>
      <w:pPr>
        <w:autoSpaceDE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无</w:t>
      </w:r>
    </w:p>
    <w:p>
      <w:pPr>
        <w:autoSpaceDE w:val="0"/>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p>
    <w:p>
      <w:pPr>
        <w:autoSpaceDE w:val="0"/>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p>
    <w:p>
      <w:pPr>
        <w:pStyle w:val="32"/>
        <w:snapToGrid w:val="0"/>
        <w:spacing w:line="240" w:lineRule="auto"/>
        <w:jc w:val="center"/>
        <w:outlineLvl w:val="2"/>
        <w:rPr>
          <w:rFonts w:hint="eastAsia" w:ascii="方正小标宋简体" w:hAnsi="宋体" w:eastAsia="方正小标宋简体"/>
          <w:color w:val="auto"/>
          <w:kern w:val="2"/>
          <w:sz w:val="44"/>
          <w:szCs w:val="44"/>
          <w:shd w:val="clear" w:color="auto" w:fill="FFFFFF"/>
          <w:lang w:eastAsia="zh-CN"/>
        </w:rPr>
      </w:pPr>
      <w:r>
        <w:rPr>
          <w:rFonts w:hint="eastAsia" w:ascii="仿宋" w:hAnsi="仿宋" w:eastAsia="仿宋" w:cs="仿宋_GB2312"/>
          <w:sz w:val="32"/>
          <w:szCs w:val="32"/>
          <w:lang w:val="en-US" w:eastAsia="zh-CN"/>
        </w:rPr>
        <w:t xml:space="preserve"> </w:t>
      </w:r>
    </w:p>
    <w:p>
      <w:pPr>
        <w:pStyle w:val="32"/>
        <w:snapToGrid w:val="0"/>
        <w:spacing w:line="240" w:lineRule="auto"/>
        <w:jc w:val="center"/>
        <w:outlineLvl w:val="2"/>
        <w:rPr>
          <w:rFonts w:ascii="方正小标宋简体" w:hAnsi="宋体" w:eastAsia="方正小标宋简体"/>
          <w:color w:val="auto"/>
          <w:kern w:val="2"/>
          <w:sz w:val="44"/>
          <w:szCs w:val="44"/>
          <w:shd w:val="clear" w:color="auto" w:fill="FFFFFF"/>
        </w:rPr>
      </w:pPr>
    </w:p>
    <w:p>
      <w:pPr>
        <w:pStyle w:val="32"/>
        <w:snapToGrid w:val="0"/>
        <w:spacing w:line="240" w:lineRule="auto"/>
        <w:jc w:val="center"/>
        <w:outlineLvl w:val="2"/>
        <w:rPr>
          <w:rFonts w:ascii="方正小标宋简体" w:hAnsi="宋体" w:eastAsia="方正小标宋简体"/>
          <w:color w:val="auto"/>
          <w:kern w:val="2"/>
          <w:sz w:val="44"/>
          <w:szCs w:val="44"/>
          <w:shd w:val="clear" w:color="auto" w:fill="FFFFFF"/>
        </w:rPr>
      </w:pPr>
    </w:p>
    <w:p>
      <w:pPr>
        <w:pStyle w:val="32"/>
        <w:snapToGrid w:val="0"/>
        <w:spacing w:line="240" w:lineRule="auto"/>
        <w:jc w:val="center"/>
        <w:outlineLvl w:val="2"/>
        <w:rPr>
          <w:rFonts w:ascii="方正小标宋简体" w:hAnsi="宋体" w:eastAsia="方正小标宋简体"/>
          <w:color w:val="auto"/>
          <w:kern w:val="2"/>
          <w:sz w:val="44"/>
          <w:szCs w:val="44"/>
          <w:shd w:val="clear" w:color="auto" w:fill="FFFFFF"/>
        </w:rPr>
      </w:pPr>
    </w:p>
    <w:p>
      <w:pPr>
        <w:pStyle w:val="32"/>
        <w:snapToGrid w:val="0"/>
        <w:spacing w:line="240" w:lineRule="auto"/>
        <w:jc w:val="center"/>
        <w:outlineLvl w:val="2"/>
        <w:rPr>
          <w:rFonts w:ascii="方正小标宋简体" w:hAnsi="宋体" w:eastAsia="方正小标宋简体"/>
          <w:color w:val="auto"/>
          <w:kern w:val="2"/>
          <w:sz w:val="44"/>
          <w:szCs w:val="44"/>
          <w:shd w:val="clear" w:color="auto" w:fill="FFFFFF"/>
        </w:rPr>
      </w:pPr>
    </w:p>
    <w:p>
      <w:pPr>
        <w:pStyle w:val="32"/>
        <w:spacing w:before="240" w:beforeLines="100" w:line="560" w:lineRule="exact"/>
        <w:jc w:val="center"/>
        <w:rPr>
          <w:rFonts w:ascii="黑体" w:hAnsi="黑体" w:eastAsia="黑体" w:cs="黑体"/>
          <w:b/>
          <w:sz w:val="36"/>
          <w:szCs w:val="36"/>
        </w:rPr>
      </w:pPr>
    </w:p>
    <w:p>
      <w:pPr>
        <w:pStyle w:val="32"/>
        <w:spacing w:line="600" w:lineRule="exact"/>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2.2      广元市利州区宝轮第四小学</w:t>
      </w:r>
    </w:p>
    <w:p>
      <w:pPr>
        <w:pStyle w:val="32"/>
        <w:autoSpaceDE w:val="0"/>
        <w:spacing w:before="120" w:beforeLines="50" w:line="560" w:lineRule="exact"/>
        <w:jc w:val="center"/>
        <w:rPr>
          <w:rFonts w:ascii="方正小标宋简体" w:eastAsia="方正小标宋简体"/>
          <w:sz w:val="44"/>
          <w:szCs w:val="44"/>
        </w:rPr>
      </w:pPr>
      <w:r>
        <w:rPr>
          <w:rFonts w:hint="eastAsia" w:ascii="方正小标宋简体" w:eastAsia="方正小标宋简体"/>
          <w:sz w:val="44"/>
          <w:szCs w:val="44"/>
        </w:rPr>
        <w:t>对家庭经济困难非寄宿学生生活补助项目支出绩效自评报告</w:t>
      </w:r>
    </w:p>
    <w:p>
      <w:pPr>
        <w:adjustRightInd w:val="0"/>
        <w:snapToGrid w:val="0"/>
        <w:spacing w:line="560" w:lineRule="exact"/>
        <w:rPr>
          <w:rFonts w:ascii="黑体" w:hAnsi="黑体" w:eastAsia="黑体" w:cs="黑体"/>
          <w:bCs/>
          <w:sz w:val="32"/>
          <w:szCs w:val="32"/>
        </w:rPr>
      </w:pPr>
      <w:r>
        <w:rPr>
          <w:rFonts w:hint="eastAsia" w:ascii="黑体" w:hAnsi="黑体" w:eastAsia="黑体" w:cs="黑体"/>
          <w:bCs/>
          <w:sz w:val="32"/>
          <w:szCs w:val="32"/>
        </w:rPr>
        <w:t>一、重大政策或项目基本情况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根据广元市人民政府关于进一步完善城乡义务教育经费保障机制的实施意见广府办发（2017） 36 号的要求，利州区全面推行“三免一补政策”，更好的满足社会需求，减轻家庭经济负担，保障家庭经济困难学生能够顺利完成义务教育。</w:t>
      </w:r>
    </w:p>
    <w:p>
      <w:pPr>
        <w:adjustRightInd w:val="0"/>
        <w:snapToGrid w:val="0"/>
        <w:spacing w:line="560" w:lineRule="exact"/>
        <w:rPr>
          <w:rFonts w:ascii="黑体" w:hAnsi="黑体" w:eastAsia="黑体" w:cs="黑体"/>
          <w:bCs/>
          <w:sz w:val="32"/>
          <w:szCs w:val="32"/>
        </w:rPr>
      </w:pPr>
      <w:r>
        <w:rPr>
          <w:rFonts w:hint="eastAsia" w:ascii="黑体" w:hAnsi="黑体" w:eastAsia="黑体" w:cs="黑体"/>
          <w:bCs/>
          <w:sz w:val="32"/>
          <w:szCs w:val="32"/>
        </w:rPr>
        <w:t>二、立项必要性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利州区学前教育以“乡镇公办为主，城区公民办并举， 分类规划，分层建设，同步推进”的发展思路，切实规范办 学行为，提高教育质量，逐步形成了覆盖城乡、群众满意的 教育公共服务体系。按照中央、省、市的相关政策,义务教 育家庭经济困难学生享受寄宿生活补助。区教育局和县财政 局密切配合,对补助人数进行育经费开支的范围和标准，经费支出规范、合理，无虚列、 虚报冒领和挤占挪用现象，票据规范、合法有效。财务信息公开透明，对预算批复，主动公示并接受师生和群众监督。 在区财政和教育主管部门定期组织对学校经费使用情况的 检查、审计中未发现重大违规、违纪现象。</w:t>
      </w:r>
    </w:p>
    <w:p>
      <w:pPr>
        <w:adjustRightInd w:val="0"/>
        <w:snapToGrid w:val="0"/>
        <w:spacing w:line="560" w:lineRule="exact"/>
        <w:rPr>
          <w:rFonts w:ascii="黑体" w:hAnsi="黑体" w:eastAsia="黑体" w:cs="黑体"/>
          <w:bCs/>
          <w:sz w:val="32"/>
          <w:szCs w:val="32"/>
        </w:rPr>
      </w:pPr>
      <w:r>
        <w:rPr>
          <w:rFonts w:hint="eastAsia" w:ascii="黑体" w:hAnsi="黑体" w:eastAsia="黑体" w:cs="黑体"/>
          <w:bCs/>
          <w:sz w:val="32"/>
          <w:szCs w:val="32"/>
        </w:rPr>
        <w:t>三、投入经济性</w:t>
      </w:r>
    </w:p>
    <w:p>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（一）绩效目标设置情况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绩效评价指标是指衡量绩效目标实现程度的考核工具。 绩效评价指标的确定应当遵循以下原则： 相关性原则、重要 性原则、可比性原则、系统性原则、经济性原则。绩效评价 指标分为共性指标和个性指标，共性指标由财政部门统一制 定，个性指标由财政部门会同预算部门制定。</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被评价项目绩效评价指标体系设置 3 个一级指标、8 个 二级指标、23 个三级指标。</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一级指标：设置项目完成、项目效益、满意度指标3个 。</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二级指标：项目完成设置数量目标、质量指标、时效指标、成本指标4个，项目效益设置社会效益、经济效益和可持续影响指标3个，满意度指标设置服务对象满意度 指标1个。</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三级指标：数量指标设置小学阶段补助人数等指标3个，质量指标设置建档立卡贫困家庭学生占补助学生比例等指标3个； 时效指标设置 2022年11月秋季补助兑付到位等指标2个； 成本指标设置义务教育阶段小学寄宿学生每学年人均补助标准补助标准等指标4个； 社会效益设置义务教育阶段寄宿学生得到补助的比例等指标2个；可持续影响指标设置小学教育学生受助年限等指标2个； 社会满意度指 标设置义务教育学校教师满意度等指标3个。</w:t>
      </w:r>
    </w:p>
    <w:p>
      <w:pPr>
        <w:adjustRightInd w:val="0"/>
        <w:snapToGrid w:val="0"/>
        <w:spacing w:line="560" w:lineRule="exact"/>
        <w:rPr>
          <w:rFonts w:ascii="黑体" w:hAnsi="黑体" w:eastAsia="黑体" w:cs="黑体"/>
          <w:bCs/>
          <w:sz w:val="32"/>
          <w:szCs w:val="32"/>
        </w:rPr>
      </w:pPr>
      <w:r>
        <w:rPr>
          <w:rFonts w:hint="eastAsia" w:ascii="黑体" w:hAnsi="黑体" w:eastAsia="黑体" w:cs="黑体"/>
          <w:bCs/>
          <w:sz w:val="32"/>
          <w:szCs w:val="32"/>
        </w:rPr>
        <w:t>四、绩效指标合理性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该项目绩效评价指标设置完整、科学、合理，各项绩效 指标可量化可考核，契合政策或项目实质，符合部门的长期 规划目标和年度工作目标要求。</w:t>
      </w:r>
    </w:p>
    <w:p>
      <w:pPr>
        <w:adjustRightInd w:val="0"/>
        <w:snapToGrid w:val="0"/>
        <w:spacing w:line="560" w:lineRule="exact"/>
        <w:rPr>
          <w:rFonts w:ascii="黑体" w:hAnsi="黑体" w:eastAsia="黑体" w:cs="黑体"/>
          <w:bCs/>
          <w:sz w:val="32"/>
          <w:szCs w:val="32"/>
        </w:rPr>
      </w:pPr>
      <w:r>
        <w:rPr>
          <w:rFonts w:hint="eastAsia" w:ascii="黑体" w:hAnsi="黑体" w:eastAsia="黑体" w:cs="黑体"/>
          <w:bCs/>
          <w:sz w:val="32"/>
          <w:szCs w:val="32"/>
        </w:rPr>
        <w:t>五、实施方案可行性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为保障该项目顺利实施，我</w:t>
      </w:r>
      <w:r>
        <w:rPr>
          <w:rFonts w:hint="eastAsia" w:ascii="仿宋" w:hAnsi="仿宋" w:eastAsia="仿宋" w:cs="仿宋"/>
          <w:sz w:val="32"/>
          <w:szCs w:val="32"/>
        </w:rPr>
        <w:t>校</w:t>
      </w:r>
      <w:r>
        <w:rPr>
          <w:rFonts w:ascii="仿宋" w:hAnsi="仿宋" w:eastAsia="仿宋" w:cs="仿宋"/>
          <w:sz w:val="32"/>
          <w:szCs w:val="32"/>
        </w:rPr>
        <w:t>成立了以党组书记、</w:t>
      </w:r>
      <w:r>
        <w:rPr>
          <w:rFonts w:hint="eastAsia" w:ascii="仿宋" w:hAnsi="仿宋" w:eastAsia="仿宋" w:cs="仿宋"/>
          <w:sz w:val="32"/>
          <w:szCs w:val="32"/>
        </w:rPr>
        <w:t>校长</w:t>
      </w:r>
      <w:r>
        <w:rPr>
          <w:rFonts w:ascii="仿宋" w:hAnsi="仿宋" w:eastAsia="仿宋" w:cs="仿宋"/>
          <w:sz w:val="32"/>
          <w:szCs w:val="32"/>
        </w:rPr>
        <w:t>任组长，班子成员任副组长，各</w:t>
      </w:r>
      <w:r>
        <w:rPr>
          <w:rFonts w:hint="eastAsia" w:ascii="仿宋" w:hAnsi="仿宋" w:eastAsia="仿宋" w:cs="仿宋"/>
          <w:sz w:val="32"/>
          <w:szCs w:val="32"/>
        </w:rPr>
        <w:t>科室</w:t>
      </w:r>
      <w:r>
        <w:rPr>
          <w:rFonts w:ascii="仿宋" w:hAnsi="仿宋" w:eastAsia="仿宋" w:cs="仿宋"/>
          <w:sz w:val="32"/>
          <w:szCs w:val="32"/>
        </w:rPr>
        <w:t>负责人为成员的工作领导小组，将项目实施的各项绩效目标纳入部门年度工作计划，并要求严格执行国家、省和市、区教育经费开支的范围和标准，资金总量严格控制在预算标准内，经费支出规范、合理。</w:t>
      </w:r>
    </w:p>
    <w:p>
      <w:pPr>
        <w:snapToGrid w:val="0"/>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五、筹资合规性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该项目为公益性项目，属于公共财政支持范围，所需资 金有财政预算全额保障。</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六、可持续性分析</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相关资金纳入部门预算，经费的来源能够得到有效保 障。区教育局为合理、有效、规范使用专项资金，根据国家统 一的财务制度，制订了《学校财务管理制度》 等规范性文件。 规范了财务管理，确保经费使用合规合法。</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七、其他需要说明的内容</w:t>
      </w:r>
    </w:p>
    <w:p>
      <w:pPr>
        <w:pStyle w:val="2"/>
        <w:spacing w:before="72"/>
        <w:ind w:firstLine="1920" w:firstLineChars="600"/>
        <w:rPr>
          <w:rFonts w:ascii="仿宋" w:hAnsi="仿宋" w:eastAsia="仿宋" w:cs="仿宋"/>
          <w:kern w:val="2"/>
          <w:sz w:val="32"/>
          <w:szCs w:val="32"/>
        </w:rPr>
      </w:pPr>
      <w:r>
        <w:rPr>
          <w:rFonts w:hint="eastAsia" w:ascii="仿宋" w:hAnsi="仿宋" w:eastAsia="仿宋" w:cs="仿宋"/>
          <w:kern w:val="2"/>
          <w:sz w:val="32"/>
          <w:szCs w:val="32"/>
        </w:rPr>
        <w:t>无</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八、综合评估结论</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该项目总体评价得分为 89 分，评估等级为“良”。预期产出和效果充分满足利州区学前教育发展的相关需求。</w:t>
      </w:r>
    </w:p>
    <w:p>
      <w:pPr>
        <w:jc w:val="center"/>
        <w:rPr>
          <w:rFonts w:ascii="方正小标宋简体" w:eastAsia="方正小标宋简体"/>
          <w:sz w:val="40"/>
          <w:szCs w:val="40"/>
        </w:rPr>
      </w:pPr>
    </w:p>
    <w:p>
      <w:pPr>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pStyle w:val="2"/>
        <w:rPr>
          <w:rFonts w:hint="eastAsia" w:ascii="仿宋" w:hAnsi="仿宋" w:eastAsia="仿宋" w:cs="仿宋_GB2312"/>
          <w:sz w:val="32"/>
          <w:szCs w:val="32"/>
          <w:lang w:val="en-US" w:eastAsia="zh-CN"/>
        </w:rPr>
      </w:pPr>
    </w:p>
    <w:p>
      <w:pPr>
        <w:pStyle w:val="2"/>
        <w:rPr>
          <w:rFonts w:hint="eastAsia" w:ascii="仿宋" w:hAnsi="仿宋" w:eastAsia="仿宋" w:cs="仿宋_GB2312"/>
          <w:sz w:val="32"/>
          <w:szCs w:val="32"/>
          <w:lang w:val="en-US" w:eastAsia="zh-CN"/>
        </w:rPr>
      </w:pPr>
    </w:p>
    <w:p>
      <w:pPr>
        <w:pStyle w:val="2"/>
        <w:rPr>
          <w:rFonts w:hint="eastAsia" w:ascii="仿宋" w:hAnsi="仿宋" w:eastAsia="仿宋" w:cs="仿宋_GB2312"/>
          <w:sz w:val="32"/>
          <w:szCs w:val="32"/>
          <w:lang w:val="en-US" w:eastAsia="zh-CN"/>
        </w:rPr>
      </w:pPr>
    </w:p>
    <w:p>
      <w:pPr>
        <w:rPr>
          <w:rFonts w:ascii="方正小标宋简体" w:eastAsia="方正小标宋简体"/>
          <w:sz w:val="40"/>
          <w:szCs w:val="40"/>
        </w:rPr>
      </w:pPr>
    </w:p>
    <w:p>
      <w:pPr>
        <w:rPr>
          <w:rFonts w:ascii="方正小标宋简体" w:eastAsia="方正小标宋简体"/>
          <w:sz w:val="40"/>
          <w:szCs w:val="40"/>
        </w:rPr>
      </w:pPr>
    </w:p>
    <w:p>
      <w:pPr>
        <w:pStyle w:val="32"/>
        <w:spacing w:line="600" w:lineRule="exact"/>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2.3       广元市利州区宝轮第四小学</w:t>
      </w:r>
    </w:p>
    <w:p>
      <w:pPr>
        <w:ind w:left="420"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农村中小学营养改善计划配套绩效</w:t>
      </w:r>
    </w:p>
    <w:p>
      <w:pPr>
        <w:ind w:firstLine="3520" w:firstLineChars="8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自评报告</w:t>
      </w:r>
    </w:p>
    <w:p>
      <w:pPr>
        <w:adjustRightInd w:val="0"/>
        <w:snapToGrid w:val="0"/>
        <w:spacing w:line="560" w:lineRule="exact"/>
        <w:ind w:firstLine="320" w:firstLineChars="100"/>
        <w:rPr>
          <w:rFonts w:ascii="方正黑体简体" w:hAnsi="宋体" w:eastAsia="方正黑体简体"/>
          <w:sz w:val="32"/>
          <w:szCs w:val="32"/>
          <w:lang w:val="zh-CN"/>
        </w:rPr>
      </w:pPr>
      <w:r>
        <w:rPr>
          <w:rFonts w:hint="eastAsia" w:ascii="方正黑体简体" w:hAnsi="宋体" w:eastAsia="方正黑体简体"/>
          <w:sz w:val="32"/>
          <w:szCs w:val="32"/>
          <w:lang w:val="zh-CN"/>
        </w:rPr>
        <w:t>一、项目概况</w:t>
      </w:r>
    </w:p>
    <w:p>
      <w:pPr>
        <w:adjustRightInd w:val="0"/>
        <w:snapToGrid w:val="0"/>
        <w:spacing w:line="560" w:lineRule="exact"/>
        <w:rPr>
          <w:rFonts w:ascii="方正楷体简体" w:hAnsi="宋体" w:eastAsia="方正楷体简体"/>
          <w:b/>
          <w:sz w:val="32"/>
          <w:szCs w:val="32"/>
          <w:lang w:val="zh-CN"/>
        </w:rPr>
      </w:pPr>
      <w:r>
        <w:rPr>
          <w:rFonts w:hint="eastAsia" w:ascii="方正楷体简体" w:hAnsi="宋体" w:eastAsia="方正楷体简体"/>
          <w:b/>
          <w:sz w:val="32"/>
          <w:szCs w:val="32"/>
          <w:lang w:val="zh-CN"/>
        </w:rPr>
        <w:t>（一）项目基本情况</w:t>
      </w:r>
    </w:p>
    <w:p>
      <w:pPr>
        <w:pStyle w:val="25"/>
        <w:numPr>
          <w:ilvl w:val="0"/>
          <w:numId w:val="6"/>
        </w:numPr>
        <w:adjustRightInd w:val="0"/>
        <w:snapToGrid w:val="0"/>
        <w:spacing w:line="560" w:lineRule="exact"/>
        <w:ind w:firstLineChars="0"/>
        <w:rPr>
          <w:rFonts w:ascii="仿宋" w:hAnsi="仿宋" w:eastAsia="仿宋" w:cs="仿宋"/>
          <w:sz w:val="32"/>
          <w:szCs w:val="32"/>
          <w:lang w:val="zh-CN"/>
        </w:rPr>
      </w:pPr>
      <w:r>
        <w:rPr>
          <w:rFonts w:hint="eastAsia" w:ascii="仿宋" w:hAnsi="仿宋" w:eastAsia="仿宋" w:cs="仿宋"/>
          <w:sz w:val="32"/>
          <w:szCs w:val="32"/>
          <w:lang w:val="zh-CN"/>
        </w:rPr>
        <w:t>项目主管部门项目管理职能。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为深入学习贯彻习近平新时代中国特色社会主义思想和中共十九大精神，牢牢把握新时代教育事业的新方位新 使命，以党的建设为引领，紧紧围绕利州区全区工作大局，深入贯彻各级党委、政府和教育主管部门有关重要精神、重大工作布置。我校自2011年以来，将</w:t>
      </w:r>
      <w:r>
        <w:rPr>
          <w:rFonts w:ascii="仿宋_GB2312" w:hAnsi="仿宋_GB2312" w:eastAsia="仿宋_GB2312" w:cs="仿宋_GB2312"/>
          <w:sz w:val="32"/>
          <w:szCs w:val="32"/>
        </w:rPr>
        <w:t>农村义务教育学生营养改善计划</w:t>
      </w:r>
      <w:r>
        <w:rPr>
          <w:rFonts w:hint="eastAsia" w:ascii="仿宋_GB2312" w:hAnsi="仿宋_GB2312" w:eastAsia="仿宋_GB2312" w:cs="仿宋_GB2312"/>
          <w:sz w:val="32"/>
          <w:szCs w:val="32"/>
        </w:rPr>
        <w:t>作为重大民生实事工程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全面落实学生营养改善计划各项工作措施，取得显著成效，</w:t>
      </w:r>
      <w:r>
        <w:rPr>
          <w:rFonts w:ascii="仿宋_GB2312" w:hAnsi="仿宋_GB2312" w:eastAsia="仿宋_GB2312" w:cs="仿宋_GB2312"/>
          <w:sz w:val="32"/>
          <w:szCs w:val="32"/>
        </w:rPr>
        <w:t>基本消除</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农村学生上学饿肚子、吃凉饭现象，学生营养健康状况得到显著改善，身体素质得到明显提升。截至目前，</w:t>
      </w:r>
      <w:r>
        <w:rPr>
          <w:rFonts w:hint="eastAsia" w:ascii="仿宋_GB2312" w:hAnsi="仿宋_GB2312" w:eastAsia="仿宋_GB2312" w:cs="仿宋_GB2312"/>
          <w:sz w:val="32"/>
          <w:szCs w:val="32"/>
        </w:rPr>
        <w:t>我校</w:t>
      </w:r>
      <w:r>
        <w:rPr>
          <w:rFonts w:ascii="仿宋_GB2312" w:hAnsi="仿宋_GB2312" w:eastAsia="仿宋_GB2312" w:cs="仿宋_GB2312"/>
          <w:sz w:val="32"/>
          <w:szCs w:val="32"/>
        </w:rPr>
        <w:t>受益学生总数达到</w:t>
      </w:r>
      <w:r>
        <w:rPr>
          <w:rFonts w:hint="eastAsia" w:ascii="仿宋_GB2312" w:hAnsi="仿宋_GB2312" w:eastAsia="仿宋_GB2312" w:cs="仿宋_GB2312"/>
          <w:sz w:val="32"/>
          <w:szCs w:val="32"/>
        </w:rPr>
        <w:t>1500</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全校1500多</w:t>
      </w:r>
      <w:r>
        <w:rPr>
          <w:rFonts w:ascii="仿宋_GB2312" w:hAnsi="仿宋_GB2312" w:eastAsia="仿宋_GB2312" w:cs="仿宋_GB2312"/>
          <w:sz w:val="32"/>
          <w:szCs w:val="32"/>
        </w:rPr>
        <w:t>学生享受营养膳食补助。</w:t>
      </w:r>
      <w:r>
        <w:rPr>
          <w:rFonts w:hint="eastAsia" w:ascii="仿宋_GB2312" w:hAnsi="仿宋_GB2312" w:eastAsia="仿宋_GB2312" w:cs="仿宋_GB2312"/>
          <w:sz w:val="32"/>
          <w:szCs w:val="32"/>
        </w:rPr>
        <w:t>全部</w:t>
      </w:r>
      <w:r>
        <w:rPr>
          <w:rFonts w:ascii="仿宋_GB2312" w:hAnsi="仿宋_GB2312" w:eastAsia="仿宋_GB2312" w:cs="仿宋_GB2312"/>
          <w:sz w:val="32"/>
          <w:szCs w:val="32"/>
        </w:rPr>
        <w:t>实行食堂供餐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大大提高了供应安全、卫生、营养饮食的能力。基本解决了贫困学生在校吃饭问题，</w:t>
      </w:r>
      <w:r>
        <w:rPr>
          <w:rFonts w:hint="eastAsia" w:ascii="仿宋_GB2312" w:hAnsi="仿宋_GB2312" w:eastAsia="仿宋_GB2312" w:cs="仿宋_GB2312"/>
          <w:sz w:val="32"/>
          <w:szCs w:val="32"/>
        </w:rPr>
        <w:t>切实</w:t>
      </w:r>
      <w:r>
        <w:rPr>
          <w:rFonts w:ascii="仿宋_GB2312" w:hAnsi="仿宋_GB2312" w:eastAsia="仿宋_GB2312" w:cs="仿宋_GB2312"/>
          <w:sz w:val="32"/>
          <w:szCs w:val="32"/>
        </w:rPr>
        <w:t>减轻了贫困家庭的经济负担。</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_GB2312" w:hAnsi="仿宋_GB2312" w:eastAsia="仿宋_GB2312" w:cs="仿宋_GB2312"/>
          <w:sz w:val="32"/>
          <w:szCs w:val="32"/>
        </w:rPr>
        <w:t>2.</w:t>
      </w:r>
      <w:r>
        <w:rPr>
          <w:rFonts w:hint="eastAsia" w:ascii="仿宋" w:hAnsi="仿宋" w:eastAsia="仿宋" w:cs="仿宋"/>
          <w:sz w:val="32"/>
          <w:szCs w:val="32"/>
          <w:lang w:val="zh-CN"/>
        </w:rPr>
        <w:t>项目立项</w:t>
      </w:r>
      <w:r>
        <w:rPr>
          <w:rFonts w:hint="eastAsia" w:ascii="仿宋" w:hAnsi="仿宋" w:eastAsia="仿宋" w:cs="仿宋"/>
          <w:sz w:val="32"/>
          <w:szCs w:val="32"/>
        </w:rPr>
        <w:t>和</w:t>
      </w:r>
      <w:r>
        <w:rPr>
          <w:rFonts w:hint="eastAsia" w:ascii="仿宋" w:hAnsi="仿宋" w:eastAsia="仿宋" w:cs="仿宋"/>
          <w:sz w:val="32"/>
          <w:szCs w:val="32"/>
          <w:lang w:val="zh-CN"/>
        </w:rPr>
        <w:t>资金申报。</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2021年经区政府批准，区财政继续安排我校营养改善计划配套资金4.83万元，专项用营养改善经费补助。该</w:t>
      </w:r>
      <w:r>
        <w:rPr>
          <w:rFonts w:hint="eastAsia" w:ascii="仿宋_GB2312" w:hAnsi="仿宋_GB2312" w:eastAsia="仿宋_GB2312" w:cs="仿宋_GB2312"/>
          <w:sz w:val="32"/>
          <w:szCs w:val="32"/>
          <w:lang w:val="zh-CN"/>
        </w:rPr>
        <w:t>项目的实施</w:t>
      </w:r>
      <w:r>
        <w:rPr>
          <w:rFonts w:hint="eastAsia" w:ascii="仿宋_GB2312" w:hAnsi="仿宋_GB2312" w:eastAsia="仿宋_GB2312" w:cs="仿宋_GB2312"/>
          <w:sz w:val="32"/>
          <w:szCs w:val="32"/>
        </w:rPr>
        <w:t>能有效解决</w:t>
      </w:r>
      <w:r>
        <w:rPr>
          <w:rFonts w:hint="eastAsia" w:ascii="仿宋_GB2312" w:hAnsi="宋体" w:eastAsia="仿宋_GB2312"/>
          <w:sz w:val="32"/>
          <w:szCs w:val="32"/>
        </w:rPr>
        <w:t>我区</w:t>
      </w:r>
      <w:r>
        <w:rPr>
          <w:rFonts w:hint="eastAsia" w:ascii="仿宋_GB2312" w:hAnsi="仿宋_GB2312" w:eastAsia="仿宋_GB2312" w:cs="仿宋_GB2312"/>
          <w:sz w:val="32"/>
          <w:szCs w:val="32"/>
        </w:rPr>
        <w:t>学生上学</w:t>
      </w:r>
      <w:r>
        <w:rPr>
          <w:rFonts w:ascii="仿宋_GB2312" w:hAnsi="仿宋_GB2312" w:eastAsia="仿宋_GB2312" w:cs="仿宋_GB2312"/>
          <w:sz w:val="32"/>
          <w:szCs w:val="32"/>
        </w:rPr>
        <w:t>营养不良问题得到缓解，学生学习能力有所提高，大大提高了供应安全、卫生、营养饮食的能力</w:t>
      </w:r>
      <w:r>
        <w:rPr>
          <w:rFonts w:hint="eastAsia" w:ascii="仿宋_GB2312" w:hAnsi="仿宋_GB2312" w:eastAsia="仿宋_GB2312" w:cs="仿宋_GB2312"/>
          <w:sz w:val="32"/>
          <w:szCs w:val="32"/>
        </w:rPr>
        <w:t>。</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为保障该项目顺利实施，我</w:t>
      </w:r>
      <w:r>
        <w:rPr>
          <w:rFonts w:hint="eastAsia" w:ascii="仿宋" w:hAnsi="仿宋" w:eastAsia="仿宋" w:cs="仿宋"/>
          <w:sz w:val="32"/>
          <w:szCs w:val="32"/>
        </w:rPr>
        <w:t>校</w:t>
      </w:r>
      <w:r>
        <w:rPr>
          <w:rFonts w:hint="eastAsia" w:ascii="仿宋" w:hAnsi="仿宋" w:eastAsia="仿宋" w:cs="仿宋"/>
          <w:sz w:val="32"/>
          <w:szCs w:val="32"/>
          <w:lang w:val="zh-CN"/>
        </w:rPr>
        <w:t>成立了以党组书记、</w:t>
      </w:r>
      <w:r>
        <w:rPr>
          <w:rFonts w:hint="eastAsia" w:ascii="仿宋" w:hAnsi="仿宋" w:eastAsia="仿宋" w:cs="仿宋"/>
          <w:sz w:val="32"/>
          <w:szCs w:val="32"/>
        </w:rPr>
        <w:t>校长</w:t>
      </w:r>
      <w:r>
        <w:rPr>
          <w:rFonts w:hint="eastAsia" w:ascii="仿宋" w:hAnsi="仿宋" w:eastAsia="仿宋" w:cs="仿宋"/>
          <w:sz w:val="32"/>
          <w:szCs w:val="32"/>
          <w:lang w:val="zh-CN"/>
        </w:rPr>
        <w:t>任组长，班子成员任副组长，各</w:t>
      </w:r>
      <w:r>
        <w:rPr>
          <w:rFonts w:hint="eastAsia" w:ascii="仿宋" w:hAnsi="仿宋" w:eastAsia="仿宋" w:cs="仿宋"/>
          <w:sz w:val="32"/>
          <w:szCs w:val="32"/>
        </w:rPr>
        <w:t>科室</w:t>
      </w:r>
      <w:r>
        <w:rPr>
          <w:rFonts w:hint="eastAsia" w:ascii="仿宋" w:hAnsi="仿宋" w:eastAsia="仿宋" w:cs="仿宋"/>
          <w:sz w:val="32"/>
          <w:szCs w:val="32"/>
          <w:lang w:val="zh-CN"/>
        </w:rPr>
        <w:t>负责人为成员的工作领导小组，将项目实施的各项绩效目标纳入</w:t>
      </w:r>
      <w:r>
        <w:rPr>
          <w:rFonts w:hint="eastAsia" w:ascii="仿宋" w:hAnsi="仿宋" w:eastAsia="仿宋" w:cs="仿宋"/>
          <w:sz w:val="32"/>
          <w:szCs w:val="32"/>
        </w:rPr>
        <w:t>学校</w:t>
      </w:r>
      <w:r>
        <w:rPr>
          <w:rFonts w:hint="eastAsia" w:ascii="仿宋" w:hAnsi="仿宋" w:eastAsia="仿宋" w:cs="仿宋"/>
          <w:sz w:val="32"/>
          <w:szCs w:val="32"/>
          <w:lang w:val="zh-CN"/>
        </w:rPr>
        <w:t>年度工作计划，并要求</w:t>
      </w:r>
      <w:r>
        <w:rPr>
          <w:rFonts w:hint="eastAsia" w:ascii="仿宋" w:hAnsi="仿宋" w:eastAsia="仿宋" w:cs="仿宋"/>
          <w:sz w:val="32"/>
          <w:szCs w:val="32"/>
        </w:rPr>
        <w:t>各科室</w:t>
      </w:r>
      <w:r>
        <w:rPr>
          <w:rFonts w:hint="eastAsia" w:ascii="仿宋" w:hAnsi="仿宋" w:eastAsia="仿宋" w:cs="仿宋"/>
          <w:sz w:val="32"/>
          <w:szCs w:val="32"/>
          <w:lang w:val="zh-CN"/>
        </w:rPr>
        <w:t>提前谋划、制定工作方案和各项应急预案。</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该项目为公益性项目，属于公共财政支持范围，所需资金有财政预算全额保障</w:t>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（二）项目绩效目标</w:t>
      </w:r>
    </w:p>
    <w:p>
      <w:pPr>
        <w:adjustRightInd w:val="0"/>
        <w:snapToGrid w:val="0"/>
        <w:spacing w:line="560" w:lineRule="exact"/>
        <w:ind w:firstLine="720"/>
        <w:rPr>
          <w:rFonts w:ascii="方正仿宋简体" w:hAnsi="宋体" w:eastAsia="方正仿宋简体"/>
          <w:sz w:val="32"/>
          <w:szCs w:val="32"/>
          <w:lang w:val="zh-CN"/>
        </w:rPr>
      </w:pPr>
      <w:r>
        <w:rPr>
          <w:rFonts w:hint="eastAsia" w:ascii="方正仿宋简体" w:hAnsi="宋体" w:eastAsia="方正仿宋简体"/>
          <w:sz w:val="32"/>
          <w:szCs w:val="32"/>
          <w:lang w:val="zh-CN"/>
        </w:rPr>
        <w:t>1．项目主要内容。</w:t>
      </w:r>
    </w:p>
    <w:p>
      <w:pPr>
        <w:pStyle w:val="12"/>
        <w:spacing w:beforeAutospacing="0" w:afterAutospacing="0"/>
        <w:ind w:firstLine="640" w:firstLineChars="200"/>
        <w:rPr>
          <w:rFonts w:ascii="仿宋_GB2312" w:hAnsi="仿宋_GB2312" w:eastAsia="仿宋_GB2312" w:cs="仿宋_GB2312"/>
          <w:kern w:val="2"/>
          <w:sz w:val="32"/>
          <w:szCs w:val="32"/>
        </w:rPr>
      </w:pPr>
      <w:r>
        <w:rPr>
          <w:rFonts w:hint="eastAsia" w:ascii="仿宋" w:hAnsi="仿宋" w:eastAsia="仿宋" w:cs="仿宋"/>
          <w:sz w:val="32"/>
          <w:szCs w:val="32"/>
          <w:lang w:val="zh-CN"/>
        </w:rPr>
        <w:t>该项目的实施主要是为实施改善营养计划，</w:t>
      </w:r>
      <w:r>
        <w:rPr>
          <w:rFonts w:ascii="仿宋_GB2312" w:hAnsi="仿宋_GB2312" w:eastAsia="仿宋_GB2312" w:cs="仿宋_GB2312"/>
          <w:kern w:val="2"/>
          <w:sz w:val="32"/>
          <w:szCs w:val="32"/>
        </w:rPr>
        <w:t>大大提高了供应安全、卫生、营养饮食的能力。基本解决了贫困学生在校吃饭问题，</w:t>
      </w:r>
      <w:r>
        <w:rPr>
          <w:rFonts w:hint="eastAsia" w:ascii="仿宋_GB2312" w:hAnsi="仿宋_GB2312" w:eastAsia="仿宋_GB2312" w:cs="仿宋_GB2312"/>
          <w:kern w:val="2"/>
          <w:sz w:val="32"/>
          <w:szCs w:val="32"/>
        </w:rPr>
        <w:t>切实</w:t>
      </w:r>
      <w:r>
        <w:rPr>
          <w:rFonts w:ascii="仿宋_GB2312" w:hAnsi="仿宋_GB2312" w:eastAsia="仿宋_GB2312" w:cs="仿宋_GB2312"/>
          <w:kern w:val="2"/>
          <w:sz w:val="32"/>
          <w:szCs w:val="32"/>
        </w:rPr>
        <w:t>减轻了贫困家庭的经济负担。</w:t>
      </w:r>
    </w:p>
    <w:p>
      <w:pPr>
        <w:numPr>
          <w:ilvl w:val="0"/>
          <w:numId w:val="7"/>
        </w:numPr>
        <w:adjustRightInd w:val="0"/>
        <w:snapToGrid w:val="0"/>
        <w:spacing w:line="560" w:lineRule="exact"/>
        <w:ind w:firstLine="720"/>
        <w:rPr>
          <w:rFonts w:ascii="仿宋" w:hAnsi="仿宋" w:eastAsia="仿宋" w:cs="仿宋"/>
          <w:sz w:val="32"/>
          <w:szCs w:val="32"/>
          <w:lang w:val="zh-CN"/>
        </w:rPr>
      </w:pPr>
      <w:r>
        <w:rPr>
          <w:rFonts w:hint="eastAsia" w:ascii="仿宋_GB2312" w:hAnsi="宋体" w:eastAsia="仿宋_GB2312"/>
          <w:sz w:val="32"/>
          <w:szCs w:val="32"/>
        </w:rPr>
        <w:t>绩效目标设置情况</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被评价项目绩效评价指标体系设置3个一级指标、6个二级指标、8个三级指标。</w:t>
      </w:r>
    </w:p>
    <w:p>
      <w:pPr>
        <w:adjustRightInd w:val="0"/>
        <w:snapToGrid w:val="0"/>
        <w:spacing w:line="520" w:lineRule="exact"/>
        <w:ind w:left="420" w:firstLine="320" w:firstLineChars="100"/>
        <w:rPr>
          <w:rFonts w:ascii="仿宋_GB2312" w:hAnsi="宋体" w:eastAsia="仿宋_GB2312"/>
          <w:sz w:val="32"/>
          <w:szCs w:val="32"/>
        </w:rPr>
      </w:pPr>
      <w:r>
        <w:rPr>
          <w:rFonts w:hint="eastAsia" w:ascii="仿宋_GB2312" w:hAnsi="宋体" w:eastAsia="仿宋_GB2312"/>
          <w:sz w:val="32"/>
          <w:szCs w:val="32"/>
        </w:rPr>
        <w:t>一级指标：设置项目完成、项目效益、满意度指标三个。</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二级指标：项目完成设置数量目标、质量指标、和成本指标3个，项目效益设置社会效益和可持续影响指标2个，满意度指标设置服务对象满意度指标1个。</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三级指标：数量指标设置完成营养餐改善学校指标1个，质量指标我区营养改善学校补助率≥90%指标1个；成本指标执行设置项目1个；社会效益设置有效解决我区</w:t>
      </w:r>
      <w:r>
        <w:rPr>
          <w:rFonts w:ascii="仿宋_GB2312" w:hAnsi="仿宋_GB2312" w:eastAsia="仿宋_GB2312" w:cs="仿宋_GB2312"/>
          <w:sz w:val="32"/>
          <w:szCs w:val="32"/>
        </w:rPr>
        <w:t>营养不良问题</w:t>
      </w:r>
      <w:r>
        <w:rPr>
          <w:rFonts w:hint="eastAsia" w:ascii="仿宋_GB2312" w:hAnsi="宋体" w:eastAsia="仿宋_GB2312"/>
          <w:sz w:val="32"/>
          <w:szCs w:val="32"/>
        </w:rPr>
        <w:t>等指标2个；可持续影响指标</w:t>
      </w:r>
      <w:r>
        <w:rPr>
          <w:rFonts w:ascii="仿宋_GB2312" w:hAnsi="仿宋_GB2312" w:eastAsia="仿宋_GB2312" w:cs="仿宋_GB2312"/>
          <w:sz w:val="32"/>
          <w:szCs w:val="32"/>
        </w:rPr>
        <w:t>营养不良</w:t>
      </w:r>
      <w:r>
        <w:rPr>
          <w:rFonts w:hint="eastAsia" w:ascii="仿宋_GB2312" w:hAnsi="宋体" w:eastAsia="仿宋_GB2312"/>
          <w:sz w:val="32"/>
          <w:szCs w:val="32"/>
        </w:rPr>
        <w:t>问题等指标2个；社会满意度指标设置持续影响≥3年指标1个。</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绩效指标合理性</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该项目绩效评价指标设置完整、科学、合理，各项绩效指标可量化可考核，契合政策或项目实质，符合部门的长期规划目标和年度工作目标要求。</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该项目绩效申报内容与实际相符，申报目标切实可行。</w:t>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（三）项目自评步骤及方法</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根据《广元市利州区预算绩效管理实施暂行办法》（广利委发〔2021〕10号），我</w:t>
      </w:r>
      <w:r>
        <w:rPr>
          <w:rFonts w:hint="eastAsia" w:ascii="仿宋" w:hAnsi="仿宋" w:eastAsia="仿宋" w:cs="仿宋"/>
          <w:sz w:val="32"/>
          <w:szCs w:val="32"/>
        </w:rPr>
        <w:t>校</w:t>
      </w:r>
      <w:r>
        <w:rPr>
          <w:rFonts w:hint="eastAsia" w:ascii="仿宋" w:hAnsi="仿宋" w:eastAsia="仿宋" w:cs="仿宋"/>
          <w:sz w:val="32"/>
          <w:szCs w:val="32"/>
          <w:lang w:val="zh-CN"/>
        </w:rPr>
        <w:t>进行了现场绩效考核兼绩效评价。通过前期沟通、资料准备、现场评价、数据汇总与分析、报告撰写、反馈意见及形成正式报告6个阶段，以现场评价为主、非现场评价为辅，组织实施项目绩效评价工作。针对项目属性和特点，评价主通过案卷研究法、实地勘察法、电话询问法、访谈法等多种方法来收集相关数据资料，通过汇总整理分析，定量和定性分析形成评价结论，经过复核和交换意见后，形成考核结果及绩效评价报告。</w:t>
      </w:r>
    </w:p>
    <w:p>
      <w:pPr>
        <w:adjustRightInd w:val="0"/>
        <w:snapToGrid w:val="0"/>
        <w:spacing w:line="560" w:lineRule="exact"/>
        <w:ind w:firstLine="720"/>
        <w:rPr>
          <w:rFonts w:ascii="方正黑体简体" w:hAnsi="宋体" w:eastAsia="方正黑体简体"/>
          <w:sz w:val="32"/>
          <w:szCs w:val="32"/>
          <w:lang w:val="zh-CN"/>
        </w:rPr>
      </w:pPr>
      <w:r>
        <w:rPr>
          <w:rFonts w:hint="eastAsia" w:ascii="方正黑体简体" w:hAnsi="宋体" w:eastAsia="方正黑体简体"/>
          <w:sz w:val="32"/>
          <w:szCs w:val="32"/>
          <w:lang w:val="zh-CN"/>
        </w:rPr>
        <w:t>二、项目资金申报及使用情况</w:t>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（一）项目资金申报及批复情况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根据《广元市利州区财政局关于编制行政事业单位2020年部门预算的通知》（广利财预〔2020〕7号）文件，我单位梳理了根据</w:t>
      </w:r>
      <w:r>
        <w:rPr>
          <w:rFonts w:hint="eastAsia" w:ascii="仿宋" w:hAnsi="仿宋" w:eastAsia="仿宋" w:cs="仿宋"/>
          <w:sz w:val="32"/>
          <w:szCs w:val="32"/>
        </w:rPr>
        <w:t>上</w:t>
      </w:r>
      <w:r>
        <w:rPr>
          <w:rFonts w:hint="eastAsia" w:ascii="仿宋" w:hAnsi="仿宋" w:eastAsia="仿宋" w:cs="仿宋"/>
          <w:sz w:val="32"/>
          <w:szCs w:val="32"/>
          <w:lang w:val="zh-CN"/>
        </w:rPr>
        <w:t>级要求，对学校专项省级教研课题和学生安保工作</w:t>
      </w:r>
      <w:r>
        <w:rPr>
          <w:rFonts w:hint="eastAsia" w:ascii="仿宋" w:hAnsi="仿宋" w:eastAsia="仿宋" w:cs="仿宋"/>
          <w:sz w:val="32"/>
          <w:szCs w:val="32"/>
        </w:rPr>
        <w:t>经费</w:t>
      </w:r>
      <w:r>
        <w:rPr>
          <w:rFonts w:hint="eastAsia" w:ascii="仿宋" w:hAnsi="仿宋" w:eastAsia="仿宋" w:cs="仿宋"/>
          <w:sz w:val="32"/>
          <w:szCs w:val="32"/>
          <w:lang w:val="zh-CN"/>
        </w:rPr>
        <w:t>项目所需资金进行了核算，申报本级补助资金</w:t>
      </w:r>
      <w:r>
        <w:rPr>
          <w:rFonts w:hint="eastAsia" w:ascii="仿宋" w:hAnsi="仿宋" w:eastAsia="仿宋" w:cs="仿宋"/>
          <w:sz w:val="32"/>
          <w:szCs w:val="32"/>
        </w:rPr>
        <w:t>4.83</w:t>
      </w:r>
      <w:r>
        <w:rPr>
          <w:rFonts w:hint="eastAsia" w:ascii="仿宋" w:hAnsi="仿宋" w:eastAsia="仿宋" w:cs="仿宋"/>
          <w:sz w:val="32"/>
          <w:szCs w:val="32"/>
          <w:lang w:val="zh-CN"/>
        </w:rPr>
        <w:t>万。</w:t>
      </w:r>
      <w:r>
        <w:rPr>
          <w:rFonts w:hint="eastAsia" w:ascii="仿宋" w:hAnsi="仿宋" w:eastAsia="仿宋" w:cs="仿宋"/>
          <w:sz w:val="32"/>
          <w:szCs w:val="32"/>
        </w:rPr>
        <w:t>根据预算批复</w:t>
      </w:r>
      <w:r>
        <w:rPr>
          <w:rFonts w:hint="eastAsia" w:ascii="仿宋" w:hAnsi="仿宋" w:eastAsia="仿宋" w:cs="仿宋"/>
          <w:sz w:val="32"/>
          <w:szCs w:val="32"/>
          <w:lang w:val="zh-CN"/>
        </w:rPr>
        <w:t>，</w:t>
      </w:r>
      <w:r>
        <w:rPr>
          <w:rFonts w:hint="eastAsia" w:ascii="仿宋" w:hAnsi="仿宋" w:eastAsia="仿宋" w:cs="仿宋"/>
          <w:sz w:val="32"/>
          <w:szCs w:val="32"/>
        </w:rPr>
        <w:t>区</w:t>
      </w:r>
      <w:r>
        <w:rPr>
          <w:rFonts w:hint="eastAsia" w:ascii="仿宋" w:hAnsi="仿宋" w:eastAsia="仿宋" w:cs="仿宋"/>
          <w:sz w:val="32"/>
          <w:szCs w:val="32"/>
          <w:lang w:val="zh-CN"/>
        </w:rPr>
        <w:t>财政局下达补助了该项目资金</w:t>
      </w:r>
      <w:r>
        <w:rPr>
          <w:rFonts w:hint="eastAsia" w:ascii="仿宋" w:hAnsi="仿宋" w:eastAsia="仿宋" w:cs="仿宋"/>
          <w:sz w:val="32"/>
          <w:szCs w:val="32"/>
        </w:rPr>
        <w:t>4.83</w:t>
      </w:r>
      <w:r>
        <w:rPr>
          <w:rFonts w:hint="eastAsia" w:ascii="仿宋" w:hAnsi="仿宋" w:eastAsia="仿宋" w:cs="仿宋"/>
          <w:sz w:val="32"/>
          <w:szCs w:val="32"/>
          <w:lang w:val="zh-CN"/>
        </w:rPr>
        <w:t>万。</w:t>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（二）资金计划、到位及使用情况（可用表格形式反映）</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1．资金计划。</w:t>
      </w:r>
      <w:r>
        <w:rPr>
          <w:rFonts w:hint="eastAsia" w:ascii="仿宋" w:hAnsi="仿宋" w:eastAsia="仿宋" w:cs="仿宋"/>
          <w:sz w:val="32"/>
          <w:szCs w:val="32"/>
        </w:rPr>
        <w:t xml:space="preserve">                     </w:t>
      </w:r>
    </w:p>
    <w:p>
      <w:pPr>
        <w:adjustRightInd w:val="0"/>
        <w:snapToGrid w:val="0"/>
        <w:spacing w:line="560" w:lineRule="exact"/>
        <w:ind w:firstLine="720"/>
        <w:jc w:val="right"/>
        <w:rPr>
          <w:rFonts w:ascii="方正仿宋简体" w:hAnsi="宋体" w:eastAsia="方正仿宋简体"/>
          <w:sz w:val="32"/>
          <w:szCs w:val="32"/>
        </w:rPr>
      </w:pPr>
      <w:r>
        <w:rPr>
          <w:rFonts w:hint="eastAsia" w:ascii="仿宋" w:hAnsi="仿宋" w:eastAsia="仿宋" w:cs="仿宋"/>
          <w:sz w:val="22"/>
          <w:szCs w:val="22"/>
        </w:rPr>
        <w:t>单位：万元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1547"/>
        <w:gridCol w:w="1547"/>
        <w:gridCol w:w="154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730" w:type="dxa"/>
            <w:vAlign w:val="center"/>
          </w:tcPr>
          <w:p>
            <w:pPr>
              <w:adjustRightInd w:val="0"/>
              <w:snapToGrid w:val="0"/>
              <w:spacing w:line="240" w:lineRule="atLeast"/>
              <w:jc w:val="center"/>
              <w:rPr>
                <w:rFonts w:ascii="仿宋" w:hAnsi="仿宋" w:eastAsia="仿宋" w:cs="仿宋"/>
                <w:sz w:val="22"/>
                <w:szCs w:val="22"/>
              </w:rPr>
            </w:pPr>
            <w:r>
              <w:rPr>
                <w:rFonts w:hint="eastAsia" w:ascii="仿宋" w:hAnsi="仿宋" w:eastAsia="仿宋" w:cs="仿宋"/>
                <w:sz w:val="22"/>
                <w:szCs w:val="22"/>
              </w:rPr>
              <w:t>类  别</w:t>
            </w:r>
          </w:p>
        </w:tc>
        <w:tc>
          <w:tcPr>
            <w:tcW w:w="1547" w:type="dxa"/>
            <w:vAlign w:val="center"/>
          </w:tcPr>
          <w:p>
            <w:pPr>
              <w:adjustRightInd w:val="0"/>
              <w:snapToGrid w:val="0"/>
              <w:spacing w:line="240" w:lineRule="atLeast"/>
              <w:jc w:val="center"/>
              <w:rPr>
                <w:rFonts w:ascii="仿宋" w:hAnsi="仿宋" w:eastAsia="仿宋" w:cs="仿宋"/>
                <w:sz w:val="22"/>
                <w:szCs w:val="22"/>
                <w:lang w:val="zh-CN"/>
              </w:rPr>
            </w:pPr>
            <w:r>
              <w:rPr>
                <w:rFonts w:hint="eastAsia" w:ascii="仿宋" w:hAnsi="仿宋" w:eastAsia="仿宋" w:cs="仿宋"/>
                <w:sz w:val="22"/>
                <w:szCs w:val="22"/>
              </w:rPr>
              <w:t>计划资金</w:t>
            </w:r>
          </w:p>
        </w:tc>
        <w:tc>
          <w:tcPr>
            <w:tcW w:w="1547" w:type="dxa"/>
            <w:vAlign w:val="center"/>
          </w:tcPr>
          <w:p>
            <w:pPr>
              <w:adjustRightInd w:val="0"/>
              <w:snapToGrid w:val="0"/>
              <w:spacing w:line="240" w:lineRule="atLeast"/>
              <w:jc w:val="center"/>
              <w:rPr>
                <w:rFonts w:ascii="仿宋" w:hAnsi="仿宋" w:eastAsia="仿宋" w:cs="仿宋"/>
                <w:sz w:val="22"/>
                <w:szCs w:val="22"/>
                <w:lang w:val="zh-CN"/>
              </w:rPr>
            </w:pPr>
            <w:r>
              <w:rPr>
                <w:rFonts w:hint="eastAsia" w:ascii="仿宋" w:hAnsi="仿宋" w:eastAsia="仿宋" w:cs="仿宋"/>
                <w:sz w:val="22"/>
                <w:szCs w:val="22"/>
                <w:lang w:val="zh-CN"/>
              </w:rPr>
              <w:t>实际到位</w:t>
            </w:r>
          </w:p>
          <w:p>
            <w:pPr>
              <w:adjustRightInd w:val="0"/>
              <w:snapToGrid w:val="0"/>
              <w:spacing w:line="240" w:lineRule="atLeast"/>
              <w:jc w:val="center"/>
              <w:rPr>
                <w:rFonts w:ascii="仿宋" w:hAnsi="仿宋" w:eastAsia="仿宋" w:cs="仿宋"/>
                <w:sz w:val="22"/>
                <w:szCs w:val="22"/>
                <w:lang w:val="zh-CN"/>
              </w:rPr>
            </w:pPr>
            <w:r>
              <w:rPr>
                <w:rFonts w:hint="eastAsia" w:ascii="仿宋" w:hAnsi="仿宋" w:eastAsia="仿宋" w:cs="仿宋"/>
                <w:sz w:val="22"/>
                <w:szCs w:val="22"/>
                <w:lang w:val="zh-CN"/>
              </w:rPr>
              <w:t>资金</w:t>
            </w:r>
          </w:p>
        </w:tc>
        <w:tc>
          <w:tcPr>
            <w:tcW w:w="1547" w:type="dxa"/>
            <w:vAlign w:val="center"/>
          </w:tcPr>
          <w:p>
            <w:pPr>
              <w:adjustRightInd w:val="0"/>
              <w:snapToGrid w:val="0"/>
              <w:spacing w:line="240" w:lineRule="atLeast"/>
              <w:jc w:val="center"/>
              <w:rPr>
                <w:rFonts w:ascii="仿宋" w:hAnsi="仿宋" w:eastAsia="仿宋" w:cs="仿宋"/>
                <w:sz w:val="22"/>
                <w:szCs w:val="22"/>
                <w:lang w:val="zh-CN"/>
              </w:rPr>
            </w:pPr>
            <w:r>
              <w:rPr>
                <w:rFonts w:hint="eastAsia" w:ascii="仿宋" w:hAnsi="仿宋" w:eastAsia="仿宋" w:cs="仿宋"/>
                <w:sz w:val="22"/>
                <w:szCs w:val="22"/>
              </w:rPr>
              <w:t>到位率</w:t>
            </w:r>
          </w:p>
        </w:tc>
        <w:tc>
          <w:tcPr>
            <w:tcW w:w="1548" w:type="dxa"/>
            <w:vAlign w:val="center"/>
          </w:tcPr>
          <w:p>
            <w:pPr>
              <w:adjustRightInd w:val="0"/>
              <w:snapToGrid w:val="0"/>
              <w:spacing w:line="240" w:lineRule="atLeast"/>
              <w:jc w:val="center"/>
              <w:rPr>
                <w:rFonts w:ascii="仿宋" w:hAnsi="仿宋" w:eastAsia="仿宋" w:cs="仿宋"/>
                <w:sz w:val="22"/>
                <w:szCs w:val="22"/>
                <w:lang w:val="zh-CN"/>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jc w:val="center"/>
              <w:rPr>
                <w:rFonts w:ascii="仿宋" w:hAnsi="仿宋" w:eastAsia="仿宋" w:cs="仿宋"/>
                <w:sz w:val="22"/>
                <w:szCs w:val="22"/>
              </w:rPr>
            </w:pPr>
            <w:r>
              <w:rPr>
                <w:rFonts w:hint="eastAsia" w:ascii="仿宋" w:hAnsi="仿宋" w:eastAsia="仿宋" w:cs="仿宋"/>
                <w:sz w:val="22"/>
                <w:szCs w:val="22"/>
              </w:rPr>
              <w:t>合计</w:t>
            </w:r>
          </w:p>
        </w:tc>
        <w:tc>
          <w:tcPr>
            <w:tcW w:w="1547" w:type="dxa"/>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4.83</w:t>
            </w:r>
          </w:p>
        </w:tc>
        <w:tc>
          <w:tcPr>
            <w:tcW w:w="1547" w:type="dxa"/>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4.83</w:t>
            </w:r>
          </w:p>
        </w:tc>
        <w:tc>
          <w:tcPr>
            <w:tcW w:w="1547" w:type="dxa"/>
          </w:tcPr>
          <w:p>
            <w:pPr>
              <w:adjustRightInd w:val="0"/>
              <w:snapToGrid w:val="0"/>
              <w:spacing w:line="240" w:lineRule="atLeast"/>
              <w:jc w:val="center"/>
              <w:rPr>
                <w:rFonts w:ascii="仿宋" w:hAnsi="仿宋" w:eastAsia="仿宋" w:cs="仿宋"/>
                <w:sz w:val="22"/>
                <w:szCs w:val="22"/>
              </w:rPr>
            </w:pPr>
            <w:r>
              <w:rPr>
                <w:rFonts w:hint="eastAsia" w:ascii="仿宋" w:hAnsi="仿宋" w:eastAsia="仿宋" w:cs="仿宋"/>
                <w:sz w:val="22"/>
                <w:szCs w:val="22"/>
              </w:rPr>
              <w:t>100%</w:t>
            </w:r>
          </w:p>
        </w:tc>
        <w:tc>
          <w:tcPr>
            <w:tcW w:w="1548" w:type="dxa"/>
          </w:tcPr>
          <w:p>
            <w:pPr>
              <w:adjustRightInd w:val="0"/>
              <w:snapToGrid w:val="0"/>
              <w:spacing w:line="240" w:lineRule="atLeast"/>
              <w:rPr>
                <w:rFonts w:ascii="仿宋" w:hAnsi="仿宋" w:eastAsia="仿宋" w:cs="仿宋"/>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rPr>
                <w:rFonts w:ascii="仿宋" w:hAnsi="仿宋" w:eastAsia="仿宋" w:cs="仿宋"/>
                <w:sz w:val="22"/>
                <w:szCs w:val="22"/>
              </w:rPr>
            </w:pPr>
            <w:r>
              <w:rPr>
                <w:rFonts w:hint="eastAsia" w:ascii="仿宋" w:hAnsi="仿宋" w:eastAsia="仿宋" w:cs="仿宋"/>
                <w:sz w:val="22"/>
                <w:szCs w:val="22"/>
              </w:rPr>
              <w:t>中央</w:t>
            </w: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8" w:type="dxa"/>
          </w:tcPr>
          <w:p>
            <w:pPr>
              <w:adjustRightInd w:val="0"/>
              <w:snapToGrid w:val="0"/>
              <w:spacing w:line="240" w:lineRule="atLeast"/>
              <w:rPr>
                <w:rFonts w:ascii="仿宋" w:hAnsi="仿宋" w:eastAsia="仿宋" w:cs="仿宋"/>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rPr>
                <w:rFonts w:ascii="仿宋" w:hAnsi="仿宋" w:eastAsia="仿宋" w:cs="仿宋"/>
                <w:sz w:val="22"/>
                <w:szCs w:val="22"/>
              </w:rPr>
            </w:pPr>
            <w:r>
              <w:rPr>
                <w:rFonts w:hint="eastAsia" w:ascii="仿宋" w:hAnsi="仿宋" w:eastAsia="仿宋" w:cs="仿宋"/>
                <w:sz w:val="22"/>
                <w:szCs w:val="22"/>
              </w:rPr>
              <w:t>地方小计</w:t>
            </w: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8" w:type="dxa"/>
          </w:tcPr>
          <w:p>
            <w:pPr>
              <w:adjustRightInd w:val="0"/>
              <w:snapToGrid w:val="0"/>
              <w:spacing w:line="240" w:lineRule="atLeast"/>
              <w:rPr>
                <w:rFonts w:ascii="仿宋" w:hAnsi="仿宋" w:eastAsia="仿宋" w:cs="仿宋"/>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ind w:firstLine="440" w:firstLineChars="200"/>
              <w:rPr>
                <w:rFonts w:ascii="仿宋" w:hAnsi="仿宋" w:eastAsia="仿宋" w:cs="仿宋"/>
                <w:sz w:val="22"/>
                <w:szCs w:val="22"/>
              </w:rPr>
            </w:pPr>
            <w:r>
              <w:rPr>
                <w:rFonts w:hint="eastAsia" w:ascii="仿宋" w:hAnsi="仿宋" w:eastAsia="仿宋" w:cs="仿宋"/>
                <w:sz w:val="22"/>
                <w:szCs w:val="22"/>
              </w:rPr>
              <w:t>省</w:t>
            </w: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8" w:type="dxa"/>
          </w:tcPr>
          <w:p>
            <w:pPr>
              <w:adjustRightInd w:val="0"/>
              <w:snapToGrid w:val="0"/>
              <w:spacing w:line="240" w:lineRule="atLeast"/>
              <w:rPr>
                <w:rFonts w:ascii="仿宋" w:hAnsi="仿宋" w:eastAsia="仿宋" w:cs="仿宋"/>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ind w:firstLine="440" w:firstLineChars="200"/>
              <w:rPr>
                <w:rFonts w:ascii="仿宋" w:hAnsi="仿宋" w:eastAsia="仿宋" w:cs="仿宋"/>
                <w:sz w:val="22"/>
                <w:szCs w:val="22"/>
              </w:rPr>
            </w:pPr>
            <w:r>
              <w:rPr>
                <w:rFonts w:hint="eastAsia" w:ascii="仿宋" w:hAnsi="仿宋" w:eastAsia="仿宋" w:cs="仿宋"/>
                <w:sz w:val="22"/>
                <w:szCs w:val="22"/>
              </w:rPr>
              <w:t>市</w:t>
            </w: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7" w:type="dxa"/>
          </w:tcPr>
          <w:p>
            <w:pPr>
              <w:adjustRightInd w:val="0"/>
              <w:snapToGrid w:val="0"/>
              <w:spacing w:line="240" w:lineRule="atLeast"/>
              <w:jc w:val="center"/>
              <w:rPr>
                <w:rFonts w:ascii="仿宋" w:hAnsi="仿宋" w:eastAsia="仿宋" w:cs="仿宋"/>
                <w:sz w:val="22"/>
                <w:szCs w:val="22"/>
                <w:lang w:val="zh-CN"/>
              </w:rPr>
            </w:pPr>
          </w:p>
        </w:tc>
        <w:tc>
          <w:tcPr>
            <w:tcW w:w="1548" w:type="dxa"/>
          </w:tcPr>
          <w:p>
            <w:pPr>
              <w:adjustRightInd w:val="0"/>
              <w:snapToGrid w:val="0"/>
              <w:spacing w:line="240" w:lineRule="atLeast"/>
              <w:rPr>
                <w:rFonts w:ascii="仿宋" w:hAnsi="仿宋" w:eastAsia="仿宋" w:cs="仿宋"/>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30" w:type="dxa"/>
          </w:tcPr>
          <w:p>
            <w:pPr>
              <w:adjustRightInd w:val="0"/>
              <w:snapToGrid w:val="0"/>
              <w:spacing w:line="240" w:lineRule="atLeast"/>
              <w:ind w:firstLine="440" w:firstLineChars="200"/>
              <w:rPr>
                <w:rFonts w:ascii="仿宋" w:hAnsi="仿宋" w:eastAsia="仿宋" w:cs="仿宋"/>
                <w:sz w:val="22"/>
                <w:szCs w:val="22"/>
              </w:rPr>
            </w:pPr>
            <w:r>
              <w:rPr>
                <w:rFonts w:hint="eastAsia" w:ascii="仿宋" w:hAnsi="仿宋" w:eastAsia="仿宋" w:cs="仿宋"/>
                <w:sz w:val="22"/>
                <w:szCs w:val="22"/>
              </w:rPr>
              <w:t>县（区）</w:t>
            </w:r>
          </w:p>
        </w:tc>
        <w:tc>
          <w:tcPr>
            <w:tcW w:w="1547" w:type="dxa"/>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4.83</w:t>
            </w:r>
          </w:p>
        </w:tc>
        <w:tc>
          <w:tcPr>
            <w:tcW w:w="1547" w:type="dxa"/>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4.83</w:t>
            </w:r>
          </w:p>
        </w:tc>
        <w:tc>
          <w:tcPr>
            <w:tcW w:w="1547" w:type="dxa"/>
          </w:tcPr>
          <w:p>
            <w:pPr>
              <w:adjustRightInd w:val="0"/>
              <w:snapToGrid w:val="0"/>
              <w:spacing w:line="240" w:lineRule="atLeast"/>
              <w:jc w:val="center"/>
              <w:rPr>
                <w:rFonts w:ascii="仿宋" w:hAnsi="仿宋" w:eastAsia="仿宋" w:cs="仿宋"/>
                <w:sz w:val="22"/>
                <w:szCs w:val="22"/>
              </w:rPr>
            </w:pPr>
            <w:r>
              <w:rPr>
                <w:rFonts w:hint="eastAsia" w:ascii="仿宋" w:hAnsi="仿宋" w:eastAsia="仿宋" w:cs="仿宋"/>
                <w:sz w:val="22"/>
                <w:szCs w:val="22"/>
              </w:rPr>
              <w:t>100%</w:t>
            </w:r>
          </w:p>
        </w:tc>
        <w:tc>
          <w:tcPr>
            <w:tcW w:w="1548" w:type="dxa"/>
          </w:tcPr>
          <w:p>
            <w:pPr>
              <w:adjustRightInd w:val="0"/>
              <w:snapToGrid w:val="0"/>
              <w:spacing w:line="240" w:lineRule="atLeast"/>
              <w:rPr>
                <w:rFonts w:ascii="仿宋" w:hAnsi="仿宋" w:eastAsia="仿宋" w:cs="仿宋"/>
                <w:sz w:val="22"/>
                <w:szCs w:val="22"/>
                <w:lang w:val="zh-CN"/>
              </w:rPr>
            </w:pPr>
          </w:p>
        </w:tc>
      </w:tr>
    </w:tbl>
    <w:p>
      <w:pPr>
        <w:numPr>
          <w:ilvl w:val="0"/>
          <w:numId w:val="8"/>
        </w:num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资金到位。</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截至目前，2021年对学校专项省级教研课题和学生安保工作经费项目已</w:t>
      </w:r>
      <w:r>
        <w:rPr>
          <w:rFonts w:hint="eastAsia" w:ascii="仿宋" w:hAnsi="仿宋" w:eastAsia="仿宋" w:cs="仿宋"/>
          <w:sz w:val="32"/>
          <w:szCs w:val="32"/>
        </w:rPr>
        <w:t>到位4.83</w:t>
      </w:r>
      <w:r>
        <w:rPr>
          <w:rFonts w:hint="eastAsia" w:ascii="仿宋" w:hAnsi="仿宋" w:eastAsia="仿宋" w:cs="仿宋"/>
          <w:sz w:val="32"/>
          <w:szCs w:val="32"/>
          <w:lang w:val="zh-CN"/>
        </w:rPr>
        <w:t>万元，</w:t>
      </w:r>
      <w:r>
        <w:rPr>
          <w:rFonts w:hint="eastAsia" w:ascii="仿宋" w:hAnsi="仿宋" w:eastAsia="仿宋" w:cs="仿宋"/>
          <w:sz w:val="32"/>
          <w:szCs w:val="32"/>
        </w:rPr>
        <w:t>到位</w:t>
      </w:r>
      <w:r>
        <w:rPr>
          <w:rFonts w:hint="eastAsia" w:ascii="仿宋" w:hAnsi="仿宋" w:eastAsia="仿宋" w:cs="仿宋"/>
          <w:sz w:val="32"/>
          <w:szCs w:val="32"/>
          <w:lang w:val="zh-CN"/>
        </w:rPr>
        <w:t>率100%。</w:t>
      </w:r>
    </w:p>
    <w:p>
      <w:pPr>
        <w:numPr>
          <w:ilvl w:val="0"/>
          <w:numId w:val="8"/>
        </w:num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资金使用。</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截至目前，2021年对学校专项省级教研课题和学生安保工作经费项目已支出</w:t>
      </w:r>
      <w:r>
        <w:rPr>
          <w:rFonts w:hint="eastAsia" w:ascii="仿宋" w:hAnsi="仿宋" w:eastAsia="仿宋" w:cs="仿宋"/>
          <w:sz w:val="32"/>
          <w:szCs w:val="32"/>
        </w:rPr>
        <w:t>4.83</w:t>
      </w:r>
      <w:r>
        <w:rPr>
          <w:rFonts w:hint="eastAsia" w:ascii="仿宋" w:hAnsi="仿宋" w:eastAsia="仿宋" w:cs="仿宋"/>
          <w:sz w:val="32"/>
          <w:szCs w:val="32"/>
          <w:lang w:val="zh-CN"/>
        </w:rPr>
        <w:t>万元，执行率100%。</w:t>
      </w:r>
    </w:p>
    <w:p>
      <w:pPr>
        <w:adjustRightInd w:val="0"/>
        <w:snapToGrid w:val="0"/>
        <w:spacing w:line="560" w:lineRule="exact"/>
        <w:ind w:left="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（三）项目财务管理情况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我</w:t>
      </w:r>
      <w:r>
        <w:rPr>
          <w:rFonts w:hint="eastAsia" w:ascii="仿宋" w:hAnsi="仿宋" w:eastAsia="仿宋" w:cs="仿宋"/>
          <w:sz w:val="32"/>
          <w:szCs w:val="32"/>
        </w:rPr>
        <w:t>校</w:t>
      </w:r>
      <w:r>
        <w:rPr>
          <w:rFonts w:hint="eastAsia" w:ascii="仿宋" w:hAnsi="仿宋" w:eastAsia="仿宋" w:cs="仿宋"/>
          <w:sz w:val="32"/>
          <w:szCs w:val="32"/>
          <w:lang w:val="zh-CN"/>
        </w:rPr>
        <w:t>制定了《</w:t>
      </w:r>
      <w:r>
        <w:rPr>
          <w:rFonts w:hint="eastAsia" w:ascii="仿宋" w:hAnsi="仿宋" w:eastAsia="仿宋" w:cs="仿宋"/>
          <w:sz w:val="32"/>
          <w:szCs w:val="32"/>
        </w:rPr>
        <w:t>关于进一步加强教育系统</w:t>
      </w:r>
      <w:r>
        <w:rPr>
          <w:rFonts w:hint="eastAsia" w:ascii="仿宋" w:hAnsi="仿宋" w:eastAsia="仿宋" w:cs="仿宋"/>
          <w:sz w:val="32"/>
          <w:szCs w:val="32"/>
          <w:lang w:val="zh-CN"/>
        </w:rPr>
        <w:t>财务管理工作意见通知》（广利教发〔2021〕89号），</w:t>
      </w:r>
      <w:r>
        <w:rPr>
          <w:rFonts w:hint="eastAsia" w:ascii="仿宋" w:hAnsi="仿宋" w:eastAsia="仿宋" w:cs="仿宋"/>
          <w:sz w:val="32"/>
          <w:szCs w:val="32"/>
        </w:rPr>
        <w:t>明确了</w:t>
      </w:r>
      <w:r>
        <w:rPr>
          <w:rFonts w:hint="eastAsia" w:ascii="仿宋" w:hAnsi="仿宋" w:eastAsia="仿宋" w:cs="仿宋"/>
          <w:sz w:val="32"/>
          <w:szCs w:val="32"/>
          <w:lang w:val="zh-CN"/>
        </w:rPr>
        <w:t>坚持专款专用，不得虚报冒领、挤占、截留、挪用财政专项资金，确保专项资金高效、安全、规范运行,并按照资金使用要求制定了项目实施方案。</w:t>
      </w:r>
    </w:p>
    <w:p>
      <w:pPr>
        <w:adjustRightInd w:val="0"/>
        <w:snapToGrid w:val="0"/>
        <w:spacing w:line="560" w:lineRule="exact"/>
        <w:ind w:firstLine="720"/>
        <w:rPr>
          <w:rFonts w:ascii="方正黑体简体" w:hAnsi="宋体" w:eastAsia="方正黑体简体"/>
          <w:sz w:val="32"/>
          <w:szCs w:val="32"/>
          <w:lang w:val="zh-CN"/>
        </w:rPr>
      </w:pPr>
      <w:r>
        <w:rPr>
          <w:rFonts w:hint="eastAsia" w:ascii="方正黑体简体" w:hAnsi="宋体" w:eastAsia="方正黑体简体"/>
          <w:sz w:val="32"/>
          <w:szCs w:val="32"/>
          <w:lang w:val="zh-CN"/>
        </w:rPr>
        <w:t>三、项目实施及管理情况</w:t>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（一）项目组织架构及实施流程。</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为保障该项目顺利实施，我校成立了以党组书记、校长任组长，班子成员任副组长，各科室负责人为成员的工作领导小组，将项目实施的各项绩效目标纳入学校部门年度工作计划，并要求各科室提前谋划、制定工作方案和各项应急预案。</w:t>
      </w:r>
    </w:p>
    <w:p>
      <w:pPr>
        <w:numPr>
          <w:ilvl w:val="0"/>
          <w:numId w:val="9"/>
        </w:num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项目管理情况。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我校严格按照上级有关制度</w:t>
      </w:r>
      <w:r>
        <w:rPr>
          <w:rFonts w:ascii="仿宋" w:hAnsi="仿宋" w:eastAsia="仿宋" w:cs="仿宋"/>
          <w:sz w:val="32"/>
          <w:szCs w:val="32"/>
        </w:rPr>
        <w:t>进行项目的管理，并严格资金管理，涉及到需要履行政府采购程序的，也严格</w:t>
      </w:r>
      <w:r>
        <w:rPr>
          <w:rFonts w:hint="eastAsia" w:ascii="仿宋" w:hAnsi="仿宋" w:eastAsia="仿宋" w:cs="仿宋"/>
          <w:sz w:val="32"/>
          <w:szCs w:val="32"/>
        </w:rPr>
        <w:t>按</w:t>
      </w:r>
      <w:r>
        <w:rPr>
          <w:rFonts w:ascii="仿宋" w:hAnsi="仿宋" w:eastAsia="仿宋" w:cs="仿宋"/>
          <w:sz w:val="32"/>
          <w:szCs w:val="32"/>
        </w:rPr>
        <w:t>程序开支。</w:t>
      </w:r>
    </w:p>
    <w:p>
      <w:pPr>
        <w:numPr>
          <w:ilvl w:val="0"/>
          <w:numId w:val="9"/>
        </w:num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项目监管情况。</w:t>
      </w:r>
    </w:p>
    <w:p>
      <w:pPr>
        <w:adjustRightInd w:val="0"/>
        <w:snapToGrid w:val="0"/>
        <w:spacing w:line="560" w:lineRule="exact"/>
        <w:ind w:firstLine="720" w:firstLineChars="225"/>
        <w:rPr>
          <w:rFonts w:ascii="仿宋" w:hAnsi="仿宋" w:eastAsia="仿宋" w:cs="仿宋"/>
          <w:sz w:val="32"/>
          <w:szCs w:val="32"/>
          <w:lang w:val="zh-CN"/>
        </w:rPr>
      </w:pPr>
      <w:r>
        <w:rPr>
          <w:rFonts w:hint="eastAsia" w:ascii="仿宋" w:hAnsi="仿宋" w:eastAsia="仿宋" w:cs="仿宋"/>
          <w:sz w:val="32"/>
          <w:szCs w:val="32"/>
          <w:lang w:val="zh-CN"/>
        </w:rPr>
        <w:t>我</w:t>
      </w:r>
      <w:r>
        <w:rPr>
          <w:rFonts w:hint="eastAsia" w:ascii="仿宋" w:hAnsi="仿宋" w:eastAsia="仿宋" w:cs="仿宋"/>
          <w:sz w:val="32"/>
          <w:szCs w:val="32"/>
        </w:rPr>
        <w:t>校对基本教育服务</w:t>
      </w:r>
      <w:r>
        <w:rPr>
          <w:rFonts w:hint="eastAsia" w:ascii="仿宋" w:hAnsi="仿宋" w:eastAsia="仿宋" w:cs="仿宋"/>
          <w:sz w:val="32"/>
          <w:szCs w:val="32"/>
          <w:lang w:val="zh-CN"/>
        </w:rPr>
        <w:t>项目资金</w:t>
      </w:r>
      <w:r>
        <w:rPr>
          <w:rFonts w:hint="eastAsia" w:ascii="仿宋" w:hAnsi="仿宋" w:eastAsia="仿宋" w:cs="仿宋"/>
          <w:sz w:val="32"/>
          <w:szCs w:val="32"/>
        </w:rPr>
        <w:t>开展</w:t>
      </w:r>
      <w:r>
        <w:rPr>
          <w:rFonts w:hint="eastAsia" w:ascii="仿宋" w:hAnsi="仿宋" w:eastAsia="仿宋" w:cs="仿宋"/>
          <w:sz w:val="32"/>
          <w:szCs w:val="32"/>
          <w:lang w:val="zh-CN"/>
        </w:rPr>
        <w:t>监督、检查，对检查发现的问题</w:t>
      </w:r>
      <w:r>
        <w:rPr>
          <w:rFonts w:hint="eastAsia" w:ascii="仿宋" w:hAnsi="仿宋" w:eastAsia="仿宋" w:cs="仿宋"/>
          <w:sz w:val="32"/>
          <w:szCs w:val="32"/>
        </w:rPr>
        <w:t>及时</w:t>
      </w:r>
      <w:r>
        <w:rPr>
          <w:rFonts w:hint="eastAsia" w:ascii="仿宋" w:hAnsi="仿宋" w:eastAsia="仿宋" w:cs="仿宋"/>
          <w:sz w:val="32"/>
          <w:szCs w:val="32"/>
          <w:lang w:val="zh-CN"/>
        </w:rPr>
        <w:t>整改。财务部门对资金的管理严格按照相关管理办法进行审核把关，严格执行了相关管理制度，确保各项目资金专款专用，无截留、挪用、挤占等现象的出现。</w:t>
      </w:r>
    </w:p>
    <w:p>
      <w:pPr>
        <w:numPr>
          <w:ilvl w:val="0"/>
          <w:numId w:val="10"/>
        </w:numPr>
        <w:adjustRightInd w:val="0"/>
        <w:snapToGrid w:val="0"/>
        <w:spacing w:line="560" w:lineRule="exact"/>
        <w:ind w:firstLine="720"/>
        <w:rPr>
          <w:rFonts w:ascii="方正黑体简体" w:hAnsi="宋体" w:eastAsia="方正黑体简体"/>
          <w:sz w:val="32"/>
          <w:szCs w:val="32"/>
          <w:lang w:val="zh-CN"/>
        </w:rPr>
      </w:pPr>
      <w:r>
        <w:rPr>
          <w:rFonts w:hint="eastAsia" w:ascii="方正黑体简体" w:hAnsi="宋体" w:eastAsia="方正黑体简体"/>
          <w:sz w:val="32"/>
          <w:szCs w:val="32"/>
          <w:lang w:val="zh-CN"/>
        </w:rPr>
        <w:t>项目绩效情况</w:t>
      </w:r>
      <w:r>
        <w:rPr>
          <w:rFonts w:hint="eastAsia" w:ascii="方正黑体简体" w:hAnsi="宋体" w:eastAsia="方正黑体简体"/>
          <w:sz w:val="32"/>
          <w:szCs w:val="32"/>
          <w:lang w:val="zh-CN"/>
        </w:rPr>
        <w:tab/>
      </w:r>
    </w:p>
    <w:p>
      <w:pPr>
        <w:pStyle w:val="25"/>
        <w:numPr>
          <w:ilvl w:val="0"/>
          <w:numId w:val="11"/>
        </w:numPr>
        <w:adjustRightInd w:val="0"/>
        <w:snapToGrid w:val="0"/>
        <w:spacing w:line="560" w:lineRule="exact"/>
        <w:ind w:firstLineChars="0"/>
        <w:rPr>
          <w:rFonts w:ascii="方正楷体简体" w:hAnsi="宋体" w:eastAsia="方正楷体简体"/>
          <w:b/>
          <w:sz w:val="32"/>
          <w:szCs w:val="32"/>
          <w:lang w:val="zh-CN"/>
        </w:rPr>
      </w:pPr>
      <w:r>
        <w:rPr>
          <w:rFonts w:hint="eastAsia" w:ascii="方正楷体简体" w:hAnsi="宋体" w:eastAsia="方正楷体简体"/>
          <w:b/>
          <w:sz w:val="32"/>
          <w:szCs w:val="32"/>
          <w:lang w:val="zh-CN"/>
        </w:rPr>
        <w:t>项目完成情况</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（1）一级指标：设置项目完成、项目效益、满意度指标三个。</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（2）二级指标：项目完成设置数量目标、质量指标、和成本指标3个，项目效益设置社会效益和可持续影响指标2个，满意度指标设置服务对象满意度指标1个。</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（3）三级指标：数量指标设置完成营养餐改善学校指标1个，质量指标我区营养改善学校补助率≥90%指标1个；成本指标执行设置项目1个；社会效益设置有效解决我区</w:t>
      </w:r>
      <w:r>
        <w:rPr>
          <w:rFonts w:ascii="仿宋_GB2312" w:hAnsi="仿宋_GB2312" w:eastAsia="仿宋_GB2312" w:cs="仿宋_GB2312"/>
          <w:sz w:val="32"/>
          <w:szCs w:val="32"/>
        </w:rPr>
        <w:t>营养不良问题</w:t>
      </w:r>
      <w:r>
        <w:rPr>
          <w:rFonts w:hint="eastAsia" w:ascii="仿宋_GB2312" w:hAnsi="宋体" w:eastAsia="仿宋_GB2312"/>
          <w:sz w:val="32"/>
          <w:szCs w:val="32"/>
        </w:rPr>
        <w:t>等指标2个；可持续影响指标</w:t>
      </w:r>
      <w:r>
        <w:rPr>
          <w:rFonts w:ascii="仿宋_GB2312" w:hAnsi="仿宋_GB2312" w:eastAsia="仿宋_GB2312" w:cs="仿宋_GB2312"/>
          <w:sz w:val="32"/>
          <w:szCs w:val="32"/>
        </w:rPr>
        <w:t>营养不良</w:t>
      </w:r>
      <w:r>
        <w:rPr>
          <w:rFonts w:hint="eastAsia" w:ascii="仿宋_GB2312" w:hAnsi="宋体" w:eastAsia="仿宋_GB2312"/>
          <w:sz w:val="32"/>
          <w:szCs w:val="32"/>
        </w:rPr>
        <w:t>问题等指标2个；社会满意度指标设置持续影响≥3年指标1个。</w:t>
      </w:r>
    </w:p>
    <w:p>
      <w:pPr>
        <w:adjustRightInd w:val="0"/>
        <w:snapToGrid w:val="0"/>
        <w:spacing w:line="560" w:lineRule="exact"/>
        <w:ind w:firstLine="320" w:firstLineChars="100"/>
        <w:rPr>
          <w:rFonts w:ascii="方正黑体简体" w:hAnsi="宋体" w:eastAsia="方正黑体简体"/>
          <w:sz w:val="32"/>
          <w:szCs w:val="32"/>
          <w:lang w:val="zh-CN"/>
        </w:rPr>
      </w:pPr>
      <w:r>
        <w:rPr>
          <w:rFonts w:hint="eastAsia" w:ascii="方正黑体简体" w:hAnsi="宋体" w:eastAsia="方正黑体简体"/>
          <w:sz w:val="32"/>
          <w:szCs w:val="32"/>
          <w:lang w:val="zh-CN"/>
        </w:rPr>
        <w:t>五、评价结论及建议</w:t>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（一）评价结论</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该项目提高教师整体教育水平、提高人才培养质量，全面提高中小学教育教学质量、提升教师的教育、教学、教研、教改能力和专业素养，促进全区各类教育事业有序、协调发展，确保我校的安全保障工作，</w:t>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（二）存在的问题</w:t>
      </w:r>
      <w:r>
        <w:rPr>
          <w:rFonts w:ascii="仿宋" w:hAnsi="仿宋" w:eastAsia="仿宋" w:cs="仿宋"/>
          <w:sz w:val="32"/>
          <w:szCs w:val="32"/>
        </w:rPr>
        <w:t xml:space="preserve"> </w:t>
      </w:r>
    </w:p>
    <w:p>
      <w:pPr>
        <w:adjustRightInd w:val="0"/>
        <w:snapToGrid w:val="0"/>
        <w:spacing w:line="560" w:lineRule="exact"/>
        <w:ind w:firstLine="720"/>
        <w:rPr>
          <w:rFonts w:ascii="仿宋" w:hAnsi="仿宋" w:eastAsia="仿宋" w:cs="仿宋"/>
          <w:sz w:val="32"/>
          <w:szCs w:val="32"/>
          <w:lang w:val="zh-CN"/>
        </w:rPr>
      </w:pPr>
      <w:r>
        <w:rPr>
          <w:rFonts w:ascii="仿宋" w:hAnsi="仿宋" w:eastAsia="仿宋" w:cs="仿宋"/>
          <w:sz w:val="32"/>
          <w:szCs w:val="32"/>
        </w:rPr>
        <w:t>1</w:t>
      </w:r>
      <w:r>
        <w:rPr>
          <w:rFonts w:hint="eastAsia" w:ascii="仿宋" w:hAnsi="仿宋" w:eastAsia="仿宋" w:cs="仿宋"/>
          <w:sz w:val="32"/>
          <w:szCs w:val="32"/>
        </w:rPr>
        <w:t>.营养餐经费偏低。</w:t>
      </w:r>
      <w:r>
        <w:rPr>
          <w:rFonts w:hint="eastAsia" w:ascii="仿宋" w:hAnsi="仿宋" w:eastAsia="仿宋" w:cs="仿宋"/>
          <w:sz w:val="32"/>
          <w:szCs w:val="32"/>
          <w:lang w:val="zh-CN"/>
        </w:rPr>
        <w:t>。</w:t>
      </w:r>
      <w:r>
        <w:rPr>
          <w:rFonts w:hint="eastAsia" w:ascii="仿宋" w:hAnsi="仿宋" w:eastAsia="仿宋" w:cs="仿宋"/>
          <w:sz w:val="32"/>
          <w:szCs w:val="32"/>
          <w:lang w:val="zh-CN"/>
        </w:rPr>
        <w:tab/>
      </w:r>
    </w:p>
    <w:p>
      <w:pPr>
        <w:adjustRightInd w:val="0"/>
        <w:snapToGrid w:val="0"/>
        <w:spacing w:line="560" w:lineRule="exact"/>
        <w:ind w:firstLine="720"/>
        <w:rPr>
          <w:rFonts w:ascii="方正楷体简体" w:hAnsi="宋体" w:eastAsia="方正楷体简体"/>
          <w:b/>
          <w:sz w:val="32"/>
          <w:szCs w:val="32"/>
          <w:lang w:val="zh-CN"/>
        </w:rPr>
      </w:pPr>
      <w:r>
        <w:rPr>
          <w:rFonts w:hint="eastAsia" w:ascii="方正楷体简体" w:hAnsi="宋体" w:eastAsia="方正楷体简体"/>
          <w:b/>
          <w:sz w:val="32"/>
          <w:szCs w:val="32"/>
          <w:lang w:val="zh-CN"/>
        </w:rPr>
        <w:t>（三）相关建议</w:t>
      </w:r>
    </w:p>
    <w:p>
      <w:pPr>
        <w:pStyle w:val="12"/>
        <w:shd w:val="clear" w:color="auto" w:fill="FFFFFF"/>
        <w:snapToGrid w:val="0"/>
        <w:spacing w:beforeAutospacing="0" w:afterAutospacing="0" w:line="576" w:lineRule="exact"/>
        <w:ind w:firstLine="640" w:firstLineChars="200"/>
        <w:jc w:val="both"/>
        <w:rPr>
          <w:rFonts w:ascii="仿宋" w:hAnsi="仿宋" w:eastAsia="仿宋" w:cs="仿宋"/>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.加大财政投入。</w:t>
      </w:r>
    </w:p>
    <w:p>
      <w:pPr>
        <w:snapToGrid w:val="0"/>
        <w:spacing w:line="540" w:lineRule="exact"/>
        <w:rPr>
          <w:rFonts w:ascii="仿宋" w:hAnsi="仿宋" w:eastAsia="仿宋" w:cs="仿宋_GB2312"/>
          <w:bCs/>
          <w:sz w:val="32"/>
          <w:szCs w:val="32"/>
        </w:rPr>
      </w:pPr>
    </w:p>
    <w:p>
      <w:pPr>
        <w:snapToGrid w:val="0"/>
        <w:spacing w:line="540" w:lineRule="exact"/>
        <w:rPr>
          <w:rFonts w:ascii="仿宋" w:hAnsi="仿宋" w:eastAsia="仿宋" w:cs="仿宋_GB2312"/>
          <w:bCs/>
          <w:sz w:val="32"/>
          <w:szCs w:val="32"/>
        </w:rPr>
      </w:pPr>
    </w:p>
    <w:p>
      <w:pPr>
        <w:spacing w:line="600" w:lineRule="exact"/>
        <w:jc w:val="left"/>
        <w:rPr>
          <w:rFonts w:ascii="黑体" w:hAnsi="黑体" w:eastAsia="黑体"/>
          <w:sz w:val="44"/>
          <w:szCs w:val="44"/>
        </w:rPr>
      </w:pPr>
      <w:bookmarkStart w:id="87" w:name="_Toc15396618"/>
    </w:p>
    <w:p>
      <w:pPr>
        <w:pStyle w:val="2"/>
      </w:pPr>
    </w:p>
    <w:p>
      <w:pPr>
        <w:pStyle w:val="32"/>
        <w:spacing w:line="600" w:lineRule="exact"/>
        <w:jc w:val="center"/>
        <w:rPr>
          <w:rFonts w:ascii="方正小标宋简体" w:hAnsi="方正小标宋简体" w:eastAsia="方正小标宋简体" w:cs="方正小标宋简体"/>
          <w:color w:val="auto"/>
          <w:kern w:val="2"/>
          <w:sz w:val="44"/>
          <w:szCs w:val="44"/>
        </w:rPr>
      </w:pPr>
      <w:bookmarkStart w:id="88" w:name="_Toc25694"/>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napToGrid w:val="0"/>
        <w:spacing w:line="240" w:lineRule="auto"/>
        <w:rPr>
          <w:rFonts w:ascii="方正小标宋简体" w:hAnsi="方正小标宋简体" w:eastAsia="方正小标宋简体" w:cs="方正小标宋简体"/>
          <w:color w:val="auto"/>
          <w:kern w:val="2"/>
          <w:sz w:val="44"/>
          <w:szCs w:val="44"/>
        </w:rPr>
      </w:pPr>
      <w:bookmarkStart w:id="89" w:name="_Hlk106694206"/>
      <w:r>
        <w:rPr>
          <w:rFonts w:hint="eastAsia" w:ascii="方正小标宋简体" w:hAnsi="方正小标宋简体" w:eastAsia="方正小标宋简体" w:cs="方正小标宋简体"/>
          <w:color w:val="auto"/>
          <w:kern w:val="2"/>
          <w:sz w:val="44"/>
          <w:szCs w:val="44"/>
        </w:rPr>
        <w:t>2.4      广元市利州区宝轮第四小学</w:t>
      </w:r>
    </w:p>
    <w:p>
      <w:pPr>
        <w:pStyle w:val="32"/>
        <w:snapToGrid w:val="0"/>
        <w:spacing w:line="240" w:lineRule="auto"/>
        <w:jc w:val="center"/>
        <w:rPr>
          <w:rFonts w:ascii="方正小标宋简体" w:hAnsi="方正小标宋简体" w:eastAsia="方正小标宋简体" w:cs="方正小标宋简体"/>
          <w:bCs/>
          <w:color w:val="000000" w:themeColor="text1"/>
          <w:spacing w:val="-1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营养改善计划食堂工作人员经费补助</w:t>
      </w:r>
    </w:p>
    <w:bookmarkEnd w:id="89"/>
    <w:p>
      <w:pPr>
        <w:pStyle w:val="32"/>
        <w:snapToGrid w:val="0"/>
        <w:spacing w:line="580" w:lineRule="exact"/>
        <w:jc w:val="center"/>
        <w:rPr>
          <w:rFonts w:ascii="方正小标宋简体" w:hAnsi="方正小标宋简体" w:eastAsia="方正小标宋简体" w:cs="方正小标宋简体"/>
          <w:bCs/>
          <w:color w:val="000000" w:themeColor="text1"/>
          <w:spacing w:val="-1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1"/>
          <w:sz w:val="44"/>
          <w:szCs w:val="44"/>
          <w14:textFill>
            <w14:solidFill>
              <w14:schemeClr w14:val="tx1"/>
            </w14:solidFill>
          </w14:textFill>
        </w:rPr>
        <w:t>项目支出绩效自评报告</w:t>
      </w:r>
    </w:p>
    <w:p>
      <w:pPr>
        <w:snapToGrid w:val="0"/>
        <w:spacing w:line="58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ind w:firstLine="720"/>
        <w:rPr>
          <w:rFonts w:ascii="方正黑体简体" w:hAnsi="宋体" w:eastAsia="方正黑体简体"/>
          <w:bCs/>
          <w:color w:val="000000" w:themeColor="text1"/>
          <w:sz w:val="32"/>
          <w:szCs w:val="32"/>
          <w:lang w:val="zh-CN"/>
          <w14:textFill>
            <w14:solidFill>
              <w14:schemeClr w14:val="tx1"/>
            </w14:solidFill>
          </w14:textFill>
        </w:rPr>
      </w:pPr>
      <w:r>
        <w:rPr>
          <w:rFonts w:hint="eastAsia" w:ascii="方正黑体简体" w:hAnsi="宋体" w:eastAsia="方正黑体简体"/>
          <w:bCs/>
          <w:color w:val="000000" w:themeColor="text1"/>
          <w:sz w:val="32"/>
          <w:szCs w:val="32"/>
          <w:lang w:val="zh-CN"/>
          <w14:textFill>
            <w14:solidFill>
              <w14:schemeClr w14:val="tx1"/>
            </w14:solidFill>
          </w14:textFill>
        </w:rPr>
        <w:t>一、项目概况</w:t>
      </w:r>
    </w:p>
    <w:p>
      <w:pPr>
        <w:adjustRightInd w:val="0"/>
        <w:snapToGrid w:val="0"/>
        <w:spacing w:line="560" w:lineRule="exact"/>
        <w:ind w:firstLine="72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（一）项目基本情况</w:t>
      </w:r>
    </w:p>
    <w:p>
      <w:pPr>
        <w:pStyle w:val="25"/>
        <w:numPr>
          <w:ilvl w:val="0"/>
          <w:numId w:val="12"/>
        </w:numPr>
        <w:adjustRightInd w:val="0"/>
        <w:snapToGrid w:val="0"/>
        <w:spacing w:line="560" w:lineRule="exact"/>
        <w:ind w:firstLineChars="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项目主管部门项目管理职能。</w:t>
      </w:r>
    </w:p>
    <w:p>
      <w:pPr>
        <w:adjustRightInd w:val="0"/>
        <w:snapToGrid w:val="0"/>
        <w:spacing w:line="560" w:lineRule="exact"/>
        <w:ind w:firstLine="640" w:firstLineChars="20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 xml:space="preserve">自2011年启动实施农村义务教育学生营养改善计划，几年来，营养改善计划使我区农村学生上学饿肚子、吃凉饭现象基本消除，学生营养健康状况得到显著改善，身体素质得到明显提升。 </w:t>
      </w:r>
      <w:r>
        <w:rPr>
          <w:rFonts w:ascii="仿宋" w:hAnsi="仿宋" w:eastAsia="仿宋" w:cs="仿宋"/>
          <w:bCs/>
          <w:color w:val="000000" w:themeColor="text1"/>
          <w:sz w:val="32"/>
          <w:szCs w:val="32"/>
          <w:lang w:val="zh-CN"/>
          <w14:textFill>
            <w14:solidFill>
              <w14:schemeClr w14:val="tx1"/>
            </w14:solidFill>
          </w14:textFill>
        </w:rPr>
        <w:t xml:space="preserve">   </w:t>
      </w:r>
    </w:p>
    <w:p>
      <w:pPr>
        <w:adjustRightInd w:val="0"/>
        <w:snapToGrid w:val="0"/>
        <w:spacing w:line="560" w:lineRule="exact"/>
        <w:ind w:firstLine="640" w:firstLineChars="20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2.项目立项</w:t>
      </w:r>
      <w:r>
        <w:rPr>
          <w:rFonts w:hint="eastAsia" w:ascii="仿宋" w:hAnsi="仿宋" w:eastAsia="仿宋" w:cs="仿宋"/>
          <w:bCs/>
          <w:color w:val="000000" w:themeColor="text1"/>
          <w:sz w:val="32"/>
          <w:szCs w:val="32"/>
          <w14:textFill>
            <w14:solidFill>
              <w14:schemeClr w14:val="tx1"/>
            </w14:solidFill>
          </w14:textFill>
        </w:rPr>
        <w:t>和</w:t>
      </w:r>
      <w:r>
        <w:rPr>
          <w:rFonts w:hint="eastAsia" w:ascii="仿宋" w:hAnsi="仿宋" w:eastAsia="仿宋" w:cs="仿宋"/>
          <w:bCs/>
          <w:color w:val="000000" w:themeColor="text1"/>
          <w:sz w:val="32"/>
          <w:szCs w:val="32"/>
          <w:lang w:val="zh-CN"/>
          <w14:textFill>
            <w14:solidFill>
              <w14:schemeClr w14:val="tx1"/>
            </w14:solidFill>
          </w14:textFill>
        </w:rPr>
        <w:t>资金申报。</w:t>
      </w:r>
    </w:p>
    <w:p>
      <w:pPr>
        <w:adjustRightInd w:val="0"/>
        <w:snapToGrid w:val="0"/>
        <w:spacing w:line="560" w:lineRule="exac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为深入学习贯彻习近平新时代中国特色社会主义思想和中共十九大精神，牢牢把握新时代教育事业的新方位新 使命，以党的建设为引领，紧紧围绕利州区全区工作大局，深入贯彻各级党委、政府和教育主管部门有关重要精神、重大工作布置。经区政府批准，区财政安排202</w:t>
      </w:r>
      <w:r>
        <w:rPr>
          <w:rFonts w:ascii="仿宋" w:hAnsi="仿宋" w:eastAsia="仿宋" w:cs="仿宋"/>
          <w:bCs/>
          <w:color w:val="000000" w:themeColor="text1"/>
          <w:sz w:val="32"/>
          <w:szCs w:val="32"/>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年度我校配套资金4万元，专项用营养改善计划工作人员补助。</w:t>
      </w:r>
    </w:p>
    <w:p>
      <w:pPr>
        <w:adjustRightInd w:val="0"/>
        <w:snapToGrid w:val="0"/>
        <w:spacing w:line="560" w:lineRule="exact"/>
        <w:ind w:firstLine="7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据统计，五年来中央财政累计安排资金近240万元，用于实施改善就餐条件和补助困难学生。按照目前的标准，国家给每生每天4元膳食补助(全年按照在校时间200天计算)共计800元，基本解决了贫困学生在校吃饭问题，减轻了贫困家庭的经济负担。截至目前，我校实施了营养改善计划，受益学生总数达到1500人。学校提供营养餐，享受营养膳食补助。全部实行食堂供餐，大大提高了供应安全、卫生、营养饮食的能力。</w:t>
      </w:r>
    </w:p>
    <w:p>
      <w:p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资金管理办法制定情况，资金支持具体项目的条件、范围与支持方式概况。</w:t>
      </w:r>
    </w:p>
    <w:p>
      <w:p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为保障该项目顺利实施，我校成立了以党组书记、校长任组长，班子成员任副组长，各</w:t>
      </w:r>
      <w:r>
        <w:rPr>
          <w:rFonts w:hint="eastAsia" w:ascii="仿宋" w:hAnsi="仿宋" w:eastAsia="仿宋" w:cs="仿宋"/>
          <w:bCs/>
          <w:color w:val="000000" w:themeColor="text1"/>
          <w:sz w:val="32"/>
          <w:szCs w:val="32"/>
          <w14:textFill>
            <w14:solidFill>
              <w14:schemeClr w14:val="tx1"/>
            </w14:solidFill>
          </w14:textFill>
        </w:rPr>
        <w:t>科室</w:t>
      </w:r>
      <w:r>
        <w:rPr>
          <w:rFonts w:hint="eastAsia" w:ascii="仿宋" w:hAnsi="仿宋" w:eastAsia="仿宋" w:cs="仿宋"/>
          <w:bCs/>
          <w:color w:val="000000" w:themeColor="text1"/>
          <w:sz w:val="32"/>
          <w:szCs w:val="32"/>
          <w:lang w:val="zh-CN"/>
          <w14:textFill>
            <w14:solidFill>
              <w14:schemeClr w14:val="tx1"/>
            </w14:solidFill>
          </w14:textFill>
        </w:rPr>
        <w:t>负责人为成员的工作领导小组，将项目实施的各项绩效目标纳入部门年度工作计划，并要求各股室（站）提前谋划、制定工作方案和各项应急预案。</w:t>
      </w:r>
    </w:p>
    <w:p>
      <w:p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资金分配的原则及考虑因素。</w:t>
      </w:r>
    </w:p>
    <w:p>
      <w:p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该项目为公益性项目，属于公共财政支持范围，所需资金有财政预算全额保障</w:t>
      </w:r>
    </w:p>
    <w:p>
      <w:pPr>
        <w:adjustRightInd w:val="0"/>
        <w:snapToGrid w:val="0"/>
        <w:spacing w:line="560" w:lineRule="exact"/>
        <w:ind w:firstLine="72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（二）项目绩效目标</w:t>
      </w:r>
    </w:p>
    <w:p>
      <w:pPr>
        <w:pStyle w:val="25"/>
        <w:numPr>
          <w:ilvl w:val="0"/>
          <w:numId w:val="13"/>
        </w:numPr>
        <w:adjustRightInd w:val="0"/>
        <w:snapToGrid w:val="0"/>
        <w:spacing w:line="560" w:lineRule="exact"/>
        <w:ind w:firstLineChars="0"/>
        <w:rPr>
          <w:rFonts w:ascii="方正仿宋简体" w:hAnsi="宋体" w:eastAsia="方正仿宋简体"/>
          <w:bCs/>
          <w:color w:val="000000" w:themeColor="text1"/>
          <w:sz w:val="32"/>
          <w:szCs w:val="32"/>
          <w:lang w:val="zh-CN"/>
          <w14:textFill>
            <w14:solidFill>
              <w14:schemeClr w14:val="tx1"/>
            </w14:solidFill>
          </w14:textFill>
        </w:rPr>
      </w:pPr>
      <w:r>
        <w:rPr>
          <w:rFonts w:hint="eastAsia" w:ascii="方正仿宋简体" w:hAnsi="宋体" w:eastAsia="方正仿宋简体"/>
          <w:bCs/>
          <w:color w:val="000000" w:themeColor="text1"/>
          <w:sz w:val="32"/>
          <w:szCs w:val="32"/>
          <w:lang w:val="zh-CN"/>
          <w14:textFill>
            <w14:solidFill>
              <w14:schemeClr w14:val="tx1"/>
            </w14:solidFill>
          </w14:textFill>
        </w:rPr>
        <w:t>项目主要内容。</w:t>
      </w:r>
    </w:p>
    <w:p>
      <w:pPr>
        <w:adjustRightInd w:val="0"/>
        <w:snapToGrid w:val="0"/>
        <w:spacing w:line="560" w:lineRule="exact"/>
        <w:ind w:firstLine="640" w:firstLineChars="20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该项目的实施能有效解决我</w:t>
      </w:r>
      <w:r>
        <w:rPr>
          <w:rFonts w:hint="eastAsia" w:ascii="仿宋" w:hAnsi="仿宋" w:eastAsia="仿宋" w:cs="仿宋"/>
          <w:bCs/>
          <w:color w:val="000000" w:themeColor="text1"/>
          <w:sz w:val="32"/>
          <w:szCs w:val="32"/>
          <w14:textFill>
            <w14:solidFill>
              <w14:schemeClr w14:val="tx1"/>
            </w14:solidFill>
          </w14:textFill>
        </w:rPr>
        <w:t>校</w:t>
      </w:r>
      <w:r>
        <w:rPr>
          <w:rFonts w:hint="eastAsia" w:ascii="仿宋" w:hAnsi="仿宋" w:eastAsia="仿宋" w:cs="仿宋"/>
          <w:bCs/>
          <w:color w:val="000000" w:themeColor="text1"/>
          <w:sz w:val="32"/>
          <w:szCs w:val="32"/>
          <w:lang w:val="zh-CN"/>
          <w14:textFill>
            <w14:solidFill>
              <w14:schemeClr w14:val="tx1"/>
            </w14:solidFill>
          </w14:textFill>
        </w:rPr>
        <w:t>学生上学营养不良问题得到缓解，学生学习能力有所提高，大大提高了供应安全、卫生、营养饮食的能力项目应实现的具体绩效目标，包括目标的量化、细化情况以及项目实施进度计划等。</w:t>
      </w:r>
    </w:p>
    <w:p>
      <w:pPr>
        <w:adjustRightInd w:val="0"/>
        <w:snapToGrid w:val="0"/>
        <w:spacing w:line="560" w:lineRule="exact"/>
        <w:ind w:firstLine="720"/>
        <w:rPr>
          <w:rFonts w:ascii="仿宋" w:hAnsi="仿宋" w:eastAsia="仿宋" w:cs="仿宋"/>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截至目前，</w:t>
      </w:r>
      <w:r>
        <w:rPr>
          <w:rFonts w:hint="eastAsia" w:ascii="仿宋_GB2312" w:hAnsi="仿宋_GB2312" w:eastAsia="仿宋_GB2312" w:cs="仿宋_GB2312"/>
          <w:bCs/>
          <w:color w:val="000000" w:themeColor="text1"/>
          <w:sz w:val="32"/>
          <w:szCs w:val="32"/>
          <w14:textFill>
            <w14:solidFill>
              <w14:schemeClr w14:val="tx1"/>
            </w14:solidFill>
          </w14:textFill>
        </w:rPr>
        <w:t>我校</w:t>
      </w:r>
      <w:r>
        <w:rPr>
          <w:rFonts w:ascii="仿宋_GB2312" w:hAnsi="仿宋_GB2312" w:eastAsia="仿宋_GB2312" w:cs="仿宋_GB2312"/>
          <w:bCs/>
          <w:color w:val="000000" w:themeColor="text1"/>
          <w:sz w:val="32"/>
          <w:szCs w:val="32"/>
          <w14:textFill>
            <w14:solidFill>
              <w14:schemeClr w14:val="tx1"/>
            </w14:solidFill>
          </w14:textFill>
        </w:rPr>
        <w:t>实施了营养改善计划，受益学生总数达到</w:t>
      </w:r>
      <w:r>
        <w:rPr>
          <w:rFonts w:hint="eastAsia" w:ascii="仿宋_GB2312" w:hAnsi="仿宋_GB2312" w:eastAsia="仿宋_GB2312" w:cs="仿宋_GB2312"/>
          <w:bCs/>
          <w:color w:val="000000" w:themeColor="text1"/>
          <w:sz w:val="32"/>
          <w:szCs w:val="32"/>
          <w14:textFill>
            <w14:solidFill>
              <w14:schemeClr w14:val="tx1"/>
            </w14:solidFill>
          </w14:textFill>
        </w:rPr>
        <w:t>1500</w:t>
      </w:r>
      <w:r>
        <w:rPr>
          <w:rFonts w:ascii="仿宋_GB2312" w:hAnsi="仿宋_GB2312" w:eastAsia="仿宋_GB2312" w:cs="仿宋_GB2312"/>
          <w:bCs/>
          <w:color w:val="000000" w:themeColor="text1"/>
          <w:sz w:val="32"/>
          <w:szCs w:val="32"/>
          <w14:textFill>
            <w14:solidFill>
              <w14:schemeClr w14:val="tx1"/>
            </w14:solidFill>
          </w14:textFill>
        </w:rPr>
        <w:t>人。学校提供营养餐，学生享受营养膳食补助。</w:t>
      </w:r>
      <w:r>
        <w:rPr>
          <w:rFonts w:hint="eastAsia" w:ascii="仿宋_GB2312" w:hAnsi="仿宋_GB2312" w:eastAsia="仿宋_GB2312" w:cs="仿宋_GB2312"/>
          <w:bCs/>
          <w:color w:val="000000" w:themeColor="text1"/>
          <w:sz w:val="32"/>
          <w:szCs w:val="32"/>
          <w14:textFill>
            <w14:solidFill>
              <w14:schemeClr w14:val="tx1"/>
            </w14:solidFill>
          </w14:textFill>
        </w:rPr>
        <w:t>全部</w:t>
      </w:r>
      <w:r>
        <w:rPr>
          <w:rFonts w:ascii="仿宋_GB2312" w:hAnsi="仿宋_GB2312" w:eastAsia="仿宋_GB2312" w:cs="仿宋_GB2312"/>
          <w:bCs/>
          <w:color w:val="000000" w:themeColor="text1"/>
          <w:sz w:val="32"/>
          <w:szCs w:val="32"/>
          <w14:textFill>
            <w14:solidFill>
              <w14:schemeClr w14:val="tx1"/>
            </w14:solidFill>
          </w14:textFill>
        </w:rPr>
        <w:t>实行食堂供餐，大大提高了供应安全、卫生、营养饮食的能力</w:t>
      </w:r>
      <w:r>
        <w:rPr>
          <w:rFonts w:hint="eastAsia" w:ascii="仿宋" w:hAnsi="仿宋" w:eastAsia="仿宋" w:cs="仿宋"/>
          <w:bCs/>
          <w:color w:val="000000" w:themeColor="text1"/>
          <w:sz w:val="32"/>
          <w:szCs w:val="32"/>
          <w:lang w:val="zh-CN"/>
          <w14:textFill>
            <w14:solidFill>
              <w14:schemeClr w14:val="tx1"/>
            </w14:solidFill>
          </w14:textFill>
        </w:rPr>
        <w:t>该项目绩效评价指标设置完整、科学、合理，各项绩效指标可量化可考核，契合政策或项目实质，符合部门的长期规划目标和年度工作目标要求。</w:t>
      </w:r>
    </w:p>
    <w:p>
      <w:pPr>
        <w:numPr>
          <w:ilvl w:val="0"/>
          <w:numId w:val="7"/>
        </w:num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分析评价申报内容是否与实际相符，申报目标是否合理可行。</w:t>
      </w:r>
    </w:p>
    <w:p>
      <w:pPr>
        <w:adjustRightInd w:val="0"/>
        <w:snapToGrid w:val="0"/>
        <w:spacing w:line="560" w:lineRule="exact"/>
        <w:ind w:firstLine="7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该项目绩效申报内容与实际相符，申报目标切实可行。</w:t>
      </w:r>
    </w:p>
    <w:p>
      <w:pPr>
        <w:adjustRightInd w:val="0"/>
        <w:snapToGrid w:val="0"/>
        <w:spacing w:line="560" w:lineRule="exact"/>
        <w:ind w:firstLine="72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（三）项目自评步骤及方法</w:t>
      </w:r>
    </w:p>
    <w:p>
      <w:p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sz w:val="32"/>
          <w:szCs w:val="32"/>
          <w:lang w:val="zh-CN"/>
        </w:rPr>
        <w:t>根据《广元市利州区预算绩效管理实施暂行办法》（广利委发〔2021〕10号），我</w:t>
      </w:r>
      <w:r>
        <w:rPr>
          <w:rFonts w:hint="eastAsia" w:ascii="仿宋" w:hAnsi="仿宋" w:eastAsia="仿宋" w:cs="仿宋"/>
          <w:sz w:val="32"/>
          <w:szCs w:val="32"/>
        </w:rPr>
        <w:t>校</w:t>
      </w:r>
      <w:r>
        <w:rPr>
          <w:rFonts w:hint="eastAsia" w:ascii="仿宋" w:hAnsi="仿宋" w:eastAsia="仿宋" w:cs="仿宋"/>
          <w:sz w:val="32"/>
          <w:szCs w:val="32"/>
          <w:lang w:val="zh-CN"/>
        </w:rPr>
        <w:t>进行了现场绩效考核兼绩效评价。通过前期沟通、资料准备、现场评价、数据汇总与分析、报告撰写、反馈意见及形成正式报告6个阶段，以现场评价为主、非现场评价为辅，组织实施项目绩效评价工作。针对项目属性和特点，评价主通过案卷研究法、实地勘察法、电话询问法、访谈法等多种方法来收集相关数据资料，通过汇总整理分析，定量和定性分析形成评价结论，经过复核和交换意见后，形成考核结果及绩效评价报告。</w:t>
      </w:r>
    </w:p>
    <w:p>
      <w:pPr>
        <w:adjustRightInd w:val="0"/>
        <w:snapToGrid w:val="0"/>
        <w:spacing w:line="560" w:lineRule="exact"/>
        <w:ind w:firstLine="720"/>
        <w:rPr>
          <w:rFonts w:ascii="方正黑体简体" w:hAnsi="宋体" w:eastAsia="方正黑体简体"/>
          <w:bCs/>
          <w:color w:val="000000" w:themeColor="text1"/>
          <w:sz w:val="32"/>
          <w:szCs w:val="32"/>
          <w:lang w:val="zh-CN"/>
          <w14:textFill>
            <w14:solidFill>
              <w14:schemeClr w14:val="tx1"/>
            </w14:solidFill>
          </w14:textFill>
        </w:rPr>
      </w:pPr>
      <w:r>
        <w:rPr>
          <w:rFonts w:hint="eastAsia" w:ascii="方正黑体简体" w:hAnsi="宋体" w:eastAsia="方正黑体简体"/>
          <w:bCs/>
          <w:color w:val="000000" w:themeColor="text1"/>
          <w:sz w:val="32"/>
          <w:szCs w:val="32"/>
          <w:lang w:val="zh-CN"/>
          <w14:textFill>
            <w14:solidFill>
              <w14:schemeClr w14:val="tx1"/>
            </w14:solidFill>
          </w14:textFill>
        </w:rPr>
        <w:t>二、项目资金申报及使用情况</w:t>
      </w:r>
    </w:p>
    <w:p>
      <w:pPr>
        <w:adjustRightInd w:val="0"/>
        <w:snapToGrid w:val="0"/>
        <w:spacing w:line="560" w:lineRule="exact"/>
        <w:ind w:firstLine="72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（一）项目资金申报及批复情况</w:t>
      </w:r>
    </w:p>
    <w:p>
      <w:p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根据《广元市利州区财政局关于编制行政事业单位2020年部门预算的通知》（广利财预〔2020〕7号）文件，我单位梳理了根据</w:t>
      </w:r>
      <w:r>
        <w:rPr>
          <w:rFonts w:hint="eastAsia" w:ascii="仿宋" w:hAnsi="仿宋" w:eastAsia="仿宋" w:cs="仿宋"/>
          <w:bCs/>
          <w:color w:val="000000" w:themeColor="text1"/>
          <w:sz w:val="32"/>
          <w:szCs w:val="32"/>
          <w14:textFill>
            <w14:solidFill>
              <w14:schemeClr w14:val="tx1"/>
            </w14:solidFill>
          </w14:textFill>
        </w:rPr>
        <w:t>上</w:t>
      </w:r>
      <w:r>
        <w:rPr>
          <w:rFonts w:hint="eastAsia" w:ascii="仿宋" w:hAnsi="仿宋" w:eastAsia="仿宋" w:cs="仿宋"/>
          <w:bCs/>
          <w:color w:val="000000" w:themeColor="text1"/>
          <w:sz w:val="32"/>
          <w:szCs w:val="32"/>
          <w:lang w:val="zh-CN"/>
          <w14:textFill>
            <w14:solidFill>
              <w14:schemeClr w14:val="tx1"/>
            </w14:solidFill>
          </w14:textFill>
        </w:rPr>
        <w:t>级要求，对营养改善计划食堂工作人员经费补助项目所需资金进行了核算，申报本级补助资金</w:t>
      </w:r>
      <w:r>
        <w:rPr>
          <w:rFonts w:hint="eastAsia" w:ascii="仿宋" w:hAnsi="仿宋" w:eastAsia="仿宋" w:cs="仿宋"/>
          <w:bCs/>
          <w:color w:val="000000" w:themeColor="text1"/>
          <w:sz w:val="32"/>
          <w:szCs w:val="32"/>
          <w14:textFill>
            <w14:solidFill>
              <w14:schemeClr w14:val="tx1"/>
            </w14:solidFill>
          </w14:textFill>
        </w:rPr>
        <w:t>4</w:t>
      </w:r>
      <w:r>
        <w:rPr>
          <w:rFonts w:hint="eastAsia" w:ascii="仿宋" w:hAnsi="仿宋" w:eastAsia="仿宋" w:cs="仿宋"/>
          <w:bCs/>
          <w:color w:val="000000" w:themeColor="text1"/>
          <w:sz w:val="32"/>
          <w:szCs w:val="32"/>
          <w:lang w:val="zh-CN"/>
          <w14:textFill>
            <w14:solidFill>
              <w14:schemeClr w14:val="tx1"/>
            </w14:solidFill>
          </w14:textFill>
        </w:rPr>
        <w:t>万。</w:t>
      </w:r>
      <w:r>
        <w:rPr>
          <w:rFonts w:hint="eastAsia" w:ascii="仿宋" w:hAnsi="仿宋" w:eastAsia="仿宋" w:cs="仿宋"/>
          <w:bCs/>
          <w:color w:val="000000" w:themeColor="text1"/>
          <w:sz w:val="32"/>
          <w:szCs w:val="32"/>
          <w14:textFill>
            <w14:solidFill>
              <w14:schemeClr w14:val="tx1"/>
            </w14:solidFill>
          </w14:textFill>
        </w:rPr>
        <w:t>根据预算批复</w:t>
      </w:r>
      <w:r>
        <w:rPr>
          <w:rFonts w:hint="eastAsia" w:ascii="仿宋" w:hAnsi="仿宋" w:eastAsia="仿宋" w:cs="仿宋"/>
          <w:bCs/>
          <w:color w:val="000000" w:themeColor="text1"/>
          <w:sz w:val="32"/>
          <w:szCs w:val="32"/>
          <w:lang w:val="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区</w:t>
      </w:r>
      <w:r>
        <w:rPr>
          <w:rFonts w:hint="eastAsia" w:ascii="仿宋" w:hAnsi="仿宋" w:eastAsia="仿宋" w:cs="仿宋"/>
          <w:bCs/>
          <w:color w:val="000000" w:themeColor="text1"/>
          <w:sz w:val="32"/>
          <w:szCs w:val="32"/>
          <w:lang w:val="zh-CN"/>
          <w14:textFill>
            <w14:solidFill>
              <w14:schemeClr w14:val="tx1"/>
            </w14:solidFill>
          </w14:textFill>
        </w:rPr>
        <w:t>财政局下达补助了该项目资金</w:t>
      </w:r>
      <w:r>
        <w:rPr>
          <w:rFonts w:hint="eastAsia" w:ascii="仿宋" w:hAnsi="仿宋" w:eastAsia="仿宋" w:cs="仿宋"/>
          <w:bCs/>
          <w:color w:val="000000" w:themeColor="text1"/>
          <w:sz w:val="32"/>
          <w:szCs w:val="32"/>
          <w14:textFill>
            <w14:solidFill>
              <w14:schemeClr w14:val="tx1"/>
            </w14:solidFill>
          </w14:textFill>
        </w:rPr>
        <w:t>4</w:t>
      </w:r>
      <w:r>
        <w:rPr>
          <w:rFonts w:hint="eastAsia" w:ascii="仿宋" w:hAnsi="仿宋" w:eastAsia="仿宋" w:cs="仿宋"/>
          <w:bCs/>
          <w:color w:val="000000" w:themeColor="text1"/>
          <w:sz w:val="32"/>
          <w:szCs w:val="32"/>
          <w:lang w:val="zh-CN"/>
          <w14:textFill>
            <w14:solidFill>
              <w14:schemeClr w14:val="tx1"/>
            </w14:solidFill>
          </w14:textFill>
        </w:rPr>
        <w:t>万。</w:t>
      </w:r>
    </w:p>
    <w:p>
      <w:pPr>
        <w:adjustRightInd w:val="0"/>
        <w:snapToGrid w:val="0"/>
        <w:spacing w:line="560" w:lineRule="exact"/>
        <w:ind w:firstLine="72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（二）资金计划、到位及使用情况（可用表格形式反映）</w:t>
      </w:r>
    </w:p>
    <w:p>
      <w:pPr>
        <w:adjustRightInd w:val="0"/>
        <w:snapToGrid w:val="0"/>
        <w:spacing w:line="560" w:lineRule="exact"/>
        <w:ind w:firstLine="7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1．资金计划。</w:t>
      </w:r>
      <w:r>
        <w:rPr>
          <w:rFonts w:hint="eastAsia" w:ascii="仿宋" w:hAnsi="仿宋" w:eastAsia="仿宋" w:cs="仿宋"/>
          <w:bCs/>
          <w:color w:val="000000" w:themeColor="text1"/>
          <w:sz w:val="32"/>
          <w:szCs w:val="32"/>
          <w14:textFill>
            <w14:solidFill>
              <w14:schemeClr w14:val="tx1"/>
            </w14:solidFill>
          </w14:textFill>
        </w:rPr>
        <w:t xml:space="preserve">                     </w:t>
      </w:r>
    </w:p>
    <w:p>
      <w:pPr>
        <w:adjustRightInd w:val="0"/>
        <w:snapToGrid w:val="0"/>
        <w:spacing w:line="560" w:lineRule="exact"/>
        <w:ind w:firstLine="720"/>
        <w:jc w:val="right"/>
        <w:rPr>
          <w:rFonts w:ascii="方正仿宋简体" w:hAnsi="宋体" w:eastAsia="方正仿宋简体"/>
          <w:bCs/>
          <w:color w:val="000000" w:themeColor="text1"/>
          <w:sz w:val="32"/>
          <w:szCs w:val="3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单位：万元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1547"/>
        <w:gridCol w:w="1547"/>
        <w:gridCol w:w="154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730" w:type="dxa"/>
            <w:vAlign w:val="center"/>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类  别</w:t>
            </w:r>
          </w:p>
        </w:tc>
        <w:tc>
          <w:tcPr>
            <w:tcW w:w="1547" w:type="dxa"/>
            <w:vAlign w:val="center"/>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计划资金</w:t>
            </w:r>
          </w:p>
        </w:tc>
        <w:tc>
          <w:tcPr>
            <w:tcW w:w="1547" w:type="dxa"/>
            <w:vAlign w:val="center"/>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r>
              <w:rPr>
                <w:rFonts w:hint="eastAsia" w:ascii="仿宋" w:hAnsi="仿宋" w:eastAsia="仿宋" w:cs="仿宋"/>
                <w:bCs/>
                <w:color w:val="000000" w:themeColor="text1"/>
                <w:sz w:val="22"/>
                <w:szCs w:val="22"/>
                <w:lang w:val="zh-CN"/>
                <w14:textFill>
                  <w14:solidFill>
                    <w14:schemeClr w14:val="tx1"/>
                  </w14:solidFill>
                </w14:textFill>
              </w:rPr>
              <w:t>实际到位</w:t>
            </w:r>
          </w:p>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r>
              <w:rPr>
                <w:rFonts w:hint="eastAsia" w:ascii="仿宋" w:hAnsi="仿宋" w:eastAsia="仿宋" w:cs="仿宋"/>
                <w:bCs/>
                <w:color w:val="000000" w:themeColor="text1"/>
                <w:sz w:val="22"/>
                <w:szCs w:val="22"/>
                <w:lang w:val="zh-CN"/>
                <w14:textFill>
                  <w14:solidFill>
                    <w14:schemeClr w14:val="tx1"/>
                  </w14:solidFill>
                </w14:textFill>
              </w:rPr>
              <w:t>资金</w:t>
            </w:r>
          </w:p>
        </w:tc>
        <w:tc>
          <w:tcPr>
            <w:tcW w:w="1547" w:type="dxa"/>
            <w:vAlign w:val="center"/>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到位率</w:t>
            </w:r>
          </w:p>
        </w:tc>
        <w:tc>
          <w:tcPr>
            <w:tcW w:w="1548" w:type="dxa"/>
            <w:vAlign w:val="center"/>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合计</w:t>
            </w:r>
          </w:p>
        </w:tc>
        <w:tc>
          <w:tcPr>
            <w:tcW w:w="1547" w:type="dxa"/>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w:t>
            </w:r>
          </w:p>
        </w:tc>
        <w:tc>
          <w:tcPr>
            <w:tcW w:w="1547" w:type="dxa"/>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w:t>
            </w:r>
          </w:p>
        </w:tc>
        <w:tc>
          <w:tcPr>
            <w:tcW w:w="1547" w:type="dxa"/>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100%</w:t>
            </w:r>
          </w:p>
        </w:tc>
        <w:tc>
          <w:tcPr>
            <w:tcW w:w="1548" w:type="dxa"/>
          </w:tcPr>
          <w:p>
            <w:pPr>
              <w:adjustRightInd w:val="0"/>
              <w:snapToGrid w:val="0"/>
              <w:spacing w:line="240" w:lineRule="atLeast"/>
              <w:rPr>
                <w:rFonts w:ascii="仿宋" w:hAnsi="仿宋" w:eastAsia="仿宋" w:cs="仿宋"/>
                <w:bCs/>
                <w:color w:val="000000" w:themeColor="text1"/>
                <w:sz w:val="22"/>
                <w:szCs w:val="2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中央</w:t>
            </w: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8" w:type="dxa"/>
          </w:tcPr>
          <w:p>
            <w:pPr>
              <w:adjustRightInd w:val="0"/>
              <w:snapToGrid w:val="0"/>
              <w:spacing w:line="240" w:lineRule="atLeast"/>
              <w:rPr>
                <w:rFonts w:ascii="仿宋" w:hAnsi="仿宋" w:eastAsia="仿宋" w:cs="仿宋"/>
                <w:bCs/>
                <w:color w:val="000000" w:themeColor="text1"/>
                <w:sz w:val="22"/>
                <w:szCs w:val="2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地方小计</w:t>
            </w: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8" w:type="dxa"/>
          </w:tcPr>
          <w:p>
            <w:pPr>
              <w:adjustRightInd w:val="0"/>
              <w:snapToGrid w:val="0"/>
              <w:spacing w:line="240" w:lineRule="atLeast"/>
              <w:rPr>
                <w:rFonts w:ascii="仿宋" w:hAnsi="仿宋" w:eastAsia="仿宋" w:cs="仿宋"/>
                <w:bCs/>
                <w:color w:val="000000" w:themeColor="text1"/>
                <w:sz w:val="22"/>
                <w:szCs w:val="2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30" w:type="dxa"/>
          </w:tcPr>
          <w:p>
            <w:pPr>
              <w:adjustRightInd w:val="0"/>
              <w:snapToGrid w:val="0"/>
              <w:spacing w:line="240" w:lineRule="atLeast"/>
              <w:ind w:firstLine="440" w:firstLineChars="20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省</w:t>
            </w: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8" w:type="dxa"/>
          </w:tcPr>
          <w:p>
            <w:pPr>
              <w:adjustRightInd w:val="0"/>
              <w:snapToGrid w:val="0"/>
              <w:spacing w:line="240" w:lineRule="atLeast"/>
              <w:rPr>
                <w:rFonts w:ascii="仿宋" w:hAnsi="仿宋" w:eastAsia="仿宋" w:cs="仿宋"/>
                <w:bCs/>
                <w:color w:val="000000" w:themeColor="text1"/>
                <w:sz w:val="22"/>
                <w:szCs w:val="2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730" w:type="dxa"/>
          </w:tcPr>
          <w:p>
            <w:pPr>
              <w:adjustRightInd w:val="0"/>
              <w:snapToGrid w:val="0"/>
              <w:spacing w:line="240" w:lineRule="atLeast"/>
              <w:ind w:firstLine="440" w:firstLineChars="20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市</w:t>
            </w: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7" w:type="dxa"/>
          </w:tcPr>
          <w:p>
            <w:pPr>
              <w:adjustRightInd w:val="0"/>
              <w:snapToGrid w:val="0"/>
              <w:spacing w:line="240" w:lineRule="atLeast"/>
              <w:jc w:val="center"/>
              <w:rPr>
                <w:rFonts w:ascii="仿宋" w:hAnsi="仿宋" w:eastAsia="仿宋" w:cs="仿宋"/>
                <w:bCs/>
                <w:color w:val="000000" w:themeColor="text1"/>
                <w:sz w:val="22"/>
                <w:szCs w:val="22"/>
                <w:lang w:val="zh-CN"/>
                <w14:textFill>
                  <w14:solidFill>
                    <w14:schemeClr w14:val="tx1"/>
                  </w14:solidFill>
                </w14:textFill>
              </w:rPr>
            </w:pPr>
          </w:p>
        </w:tc>
        <w:tc>
          <w:tcPr>
            <w:tcW w:w="1548" w:type="dxa"/>
          </w:tcPr>
          <w:p>
            <w:pPr>
              <w:adjustRightInd w:val="0"/>
              <w:snapToGrid w:val="0"/>
              <w:spacing w:line="240" w:lineRule="atLeast"/>
              <w:rPr>
                <w:rFonts w:ascii="仿宋" w:hAnsi="仿宋" w:eastAsia="仿宋" w:cs="仿宋"/>
                <w:bCs/>
                <w:color w:val="000000" w:themeColor="text1"/>
                <w:sz w:val="22"/>
                <w:szCs w:val="22"/>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30" w:type="dxa"/>
          </w:tcPr>
          <w:p>
            <w:pPr>
              <w:adjustRightInd w:val="0"/>
              <w:snapToGrid w:val="0"/>
              <w:spacing w:line="240" w:lineRule="atLeast"/>
              <w:ind w:firstLine="440" w:firstLineChars="20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县（区）</w:t>
            </w:r>
          </w:p>
        </w:tc>
        <w:tc>
          <w:tcPr>
            <w:tcW w:w="1547" w:type="dxa"/>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w:t>
            </w:r>
          </w:p>
        </w:tc>
        <w:tc>
          <w:tcPr>
            <w:tcW w:w="1547" w:type="dxa"/>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w:t>
            </w:r>
          </w:p>
        </w:tc>
        <w:tc>
          <w:tcPr>
            <w:tcW w:w="1547" w:type="dxa"/>
          </w:tcPr>
          <w:p>
            <w:pPr>
              <w:adjustRightInd w:val="0"/>
              <w:snapToGrid w:val="0"/>
              <w:spacing w:line="240" w:lineRule="atLeast"/>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100%</w:t>
            </w:r>
          </w:p>
        </w:tc>
        <w:tc>
          <w:tcPr>
            <w:tcW w:w="1548" w:type="dxa"/>
          </w:tcPr>
          <w:p>
            <w:pPr>
              <w:adjustRightInd w:val="0"/>
              <w:snapToGrid w:val="0"/>
              <w:spacing w:line="240" w:lineRule="atLeast"/>
              <w:rPr>
                <w:rFonts w:ascii="仿宋" w:hAnsi="仿宋" w:eastAsia="仿宋" w:cs="仿宋"/>
                <w:bCs/>
                <w:color w:val="000000" w:themeColor="text1"/>
                <w:sz w:val="22"/>
                <w:szCs w:val="22"/>
                <w:lang w:val="zh-CN"/>
                <w14:textFill>
                  <w14:solidFill>
                    <w14:schemeClr w14:val="tx1"/>
                  </w14:solidFill>
                </w14:textFill>
              </w:rPr>
            </w:pPr>
          </w:p>
        </w:tc>
      </w:tr>
    </w:tbl>
    <w:p>
      <w:pPr>
        <w:numPr>
          <w:ilvl w:val="0"/>
          <w:numId w:val="8"/>
        </w:num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资金到位。</w:t>
      </w:r>
    </w:p>
    <w:p>
      <w:pPr>
        <w:adjustRightInd w:val="0"/>
        <w:snapToGrid w:val="0"/>
        <w:spacing w:line="560" w:lineRule="exact"/>
        <w:ind w:firstLine="7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截至目前，2021年对学校营养改善计划食堂工作人员经费补助项目已</w:t>
      </w:r>
      <w:r>
        <w:rPr>
          <w:rFonts w:hint="eastAsia" w:ascii="仿宋" w:hAnsi="仿宋" w:eastAsia="仿宋" w:cs="仿宋"/>
          <w:bCs/>
          <w:color w:val="000000" w:themeColor="text1"/>
          <w:sz w:val="32"/>
          <w:szCs w:val="32"/>
          <w14:textFill>
            <w14:solidFill>
              <w14:schemeClr w14:val="tx1"/>
            </w14:solidFill>
          </w14:textFill>
        </w:rPr>
        <w:t>到位4</w:t>
      </w:r>
      <w:r>
        <w:rPr>
          <w:rFonts w:hint="eastAsia" w:ascii="仿宋" w:hAnsi="仿宋" w:eastAsia="仿宋" w:cs="仿宋"/>
          <w:bCs/>
          <w:color w:val="000000" w:themeColor="text1"/>
          <w:sz w:val="32"/>
          <w:szCs w:val="32"/>
          <w:lang w:val="zh-CN"/>
          <w14:textFill>
            <w14:solidFill>
              <w14:schemeClr w14:val="tx1"/>
            </w14:solidFill>
          </w14:textFill>
        </w:rPr>
        <w:t>万元，</w:t>
      </w:r>
      <w:r>
        <w:rPr>
          <w:rFonts w:hint="eastAsia" w:ascii="仿宋" w:hAnsi="仿宋" w:eastAsia="仿宋" w:cs="仿宋"/>
          <w:bCs/>
          <w:color w:val="000000" w:themeColor="text1"/>
          <w:sz w:val="32"/>
          <w:szCs w:val="32"/>
          <w14:textFill>
            <w14:solidFill>
              <w14:schemeClr w14:val="tx1"/>
            </w14:solidFill>
          </w14:textFill>
        </w:rPr>
        <w:t>到位</w:t>
      </w:r>
      <w:r>
        <w:rPr>
          <w:rFonts w:hint="eastAsia" w:ascii="仿宋" w:hAnsi="仿宋" w:eastAsia="仿宋" w:cs="仿宋"/>
          <w:bCs/>
          <w:color w:val="000000" w:themeColor="text1"/>
          <w:sz w:val="32"/>
          <w:szCs w:val="32"/>
          <w:lang w:val="zh-CN"/>
          <w14:textFill>
            <w14:solidFill>
              <w14:schemeClr w14:val="tx1"/>
            </w14:solidFill>
          </w14:textFill>
        </w:rPr>
        <w:t>率100%。</w:t>
      </w:r>
    </w:p>
    <w:p>
      <w:pPr>
        <w:numPr>
          <w:ilvl w:val="0"/>
          <w:numId w:val="8"/>
        </w:num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资金使用。</w:t>
      </w:r>
    </w:p>
    <w:p>
      <w:pPr>
        <w:adjustRightInd w:val="0"/>
        <w:snapToGrid w:val="0"/>
        <w:spacing w:line="560" w:lineRule="exact"/>
        <w:ind w:firstLine="7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截至目前，2021年对学校营养改善计划食堂工作人员经费补助项目已支出</w:t>
      </w:r>
      <w:r>
        <w:rPr>
          <w:rFonts w:hint="eastAsia" w:ascii="仿宋" w:hAnsi="仿宋" w:eastAsia="仿宋" w:cs="仿宋"/>
          <w:bCs/>
          <w:color w:val="000000" w:themeColor="text1"/>
          <w:sz w:val="32"/>
          <w:szCs w:val="32"/>
          <w14:textFill>
            <w14:solidFill>
              <w14:schemeClr w14:val="tx1"/>
            </w14:solidFill>
          </w14:textFill>
        </w:rPr>
        <w:t>4</w:t>
      </w:r>
      <w:r>
        <w:rPr>
          <w:rFonts w:hint="eastAsia" w:ascii="仿宋" w:hAnsi="仿宋" w:eastAsia="仿宋" w:cs="仿宋"/>
          <w:bCs/>
          <w:color w:val="000000" w:themeColor="text1"/>
          <w:sz w:val="32"/>
          <w:szCs w:val="32"/>
          <w:lang w:val="zh-CN"/>
          <w14:textFill>
            <w14:solidFill>
              <w14:schemeClr w14:val="tx1"/>
            </w14:solidFill>
          </w14:textFill>
        </w:rPr>
        <w:t>万元，执行率100%。</w:t>
      </w:r>
    </w:p>
    <w:p>
      <w:pPr>
        <w:adjustRightInd w:val="0"/>
        <w:snapToGrid w:val="0"/>
        <w:spacing w:line="560" w:lineRule="exact"/>
        <w:ind w:left="72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（三）项目财务管理情况</w:t>
      </w:r>
    </w:p>
    <w:p>
      <w:pPr>
        <w:adjustRightInd w:val="0"/>
        <w:snapToGrid w:val="0"/>
        <w:spacing w:line="560" w:lineRule="exact"/>
        <w:ind w:firstLine="720"/>
        <w:rPr>
          <w:rFonts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我局制定了《</w:t>
      </w:r>
      <w:r>
        <w:rPr>
          <w:rFonts w:hint="eastAsia" w:ascii="仿宋" w:hAnsi="仿宋" w:eastAsia="仿宋" w:cs="仿宋"/>
          <w:bCs/>
          <w:color w:val="000000" w:themeColor="text1"/>
          <w:sz w:val="32"/>
          <w:szCs w:val="32"/>
          <w14:textFill>
            <w14:solidFill>
              <w14:schemeClr w14:val="tx1"/>
            </w14:solidFill>
          </w14:textFill>
        </w:rPr>
        <w:t>关于进一步加强教育系统</w:t>
      </w:r>
      <w:r>
        <w:rPr>
          <w:rFonts w:hint="eastAsia" w:ascii="仿宋" w:hAnsi="仿宋" w:eastAsia="仿宋" w:cs="仿宋"/>
          <w:bCs/>
          <w:color w:val="000000" w:themeColor="text1"/>
          <w:sz w:val="32"/>
          <w:szCs w:val="32"/>
          <w:lang w:val="zh-CN"/>
          <w14:textFill>
            <w14:solidFill>
              <w14:schemeClr w14:val="tx1"/>
            </w14:solidFill>
          </w14:textFill>
        </w:rPr>
        <w:t>财务管理工作意见通知》（广利教发〔2021〕89号），</w:t>
      </w:r>
      <w:r>
        <w:rPr>
          <w:rFonts w:hint="eastAsia" w:ascii="仿宋" w:hAnsi="仿宋" w:eastAsia="仿宋" w:cs="仿宋"/>
          <w:bCs/>
          <w:color w:val="000000" w:themeColor="text1"/>
          <w:sz w:val="32"/>
          <w:szCs w:val="32"/>
          <w14:textFill>
            <w14:solidFill>
              <w14:schemeClr w14:val="tx1"/>
            </w14:solidFill>
          </w14:textFill>
        </w:rPr>
        <w:t>明确了</w:t>
      </w:r>
      <w:r>
        <w:rPr>
          <w:rFonts w:hint="eastAsia" w:ascii="仿宋" w:hAnsi="仿宋" w:eastAsia="仿宋" w:cs="仿宋"/>
          <w:bCs/>
          <w:color w:val="000000" w:themeColor="text1"/>
          <w:sz w:val="32"/>
          <w:szCs w:val="32"/>
          <w:lang w:val="zh-CN"/>
          <w14:textFill>
            <w14:solidFill>
              <w14:schemeClr w14:val="tx1"/>
            </w14:solidFill>
          </w14:textFill>
        </w:rPr>
        <w:t>坚持专款专用，不得虚报冒领、挤占、截留、挪用财政专项资金，确保专项资金高效、安全、规范运行,并按照资金使用要求制定了项目实施方案。</w:t>
      </w:r>
    </w:p>
    <w:p>
      <w:pPr>
        <w:adjustRightInd w:val="0"/>
        <w:snapToGrid w:val="0"/>
        <w:spacing w:line="560" w:lineRule="exact"/>
        <w:ind w:firstLine="720"/>
        <w:rPr>
          <w:rFonts w:ascii="方正黑体简体" w:hAnsi="宋体" w:eastAsia="方正黑体简体"/>
          <w:bCs/>
          <w:color w:val="000000" w:themeColor="text1"/>
          <w:sz w:val="32"/>
          <w:szCs w:val="32"/>
          <w:lang w:val="zh-CN"/>
          <w14:textFill>
            <w14:solidFill>
              <w14:schemeClr w14:val="tx1"/>
            </w14:solidFill>
          </w14:textFill>
        </w:rPr>
      </w:pPr>
      <w:r>
        <w:rPr>
          <w:rFonts w:hint="eastAsia" w:ascii="方正黑体简体" w:hAnsi="宋体" w:eastAsia="方正黑体简体"/>
          <w:bCs/>
          <w:color w:val="000000" w:themeColor="text1"/>
          <w:sz w:val="32"/>
          <w:szCs w:val="32"/>
          <w:lang w:val="zh-CN"/>
          <w14:textFill>
            <w14:solidFill>
              <w14:schemeClr w14:val="tx1"/>
            </w14:solidFill>
          </w14:textFill>
        </w:rPr>
        <w:t>三、项目实施及管理情况</w:t>
      </w:r>
    </w:p>
    <w:p>
      <w:pPr>
        <w:adjustRightInd w:val="0"/>
        <w:snapToGrid w:val="0"/>
        <w:spacing w:line="560" w:lineRule="exact"/>
        <w:ind w:firstLine="72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（一）项目组织架构及实施流程</w:t>
      </w:r>
    </w:p>
    <w:p>
      <w:pPr>
        <w:adjustRightInd w:val="0"/>
        <w:snapToGrid w:val="0"/>
        <w:spacing w:line="560" w:lineRule="exact"/>
        <w:ind w:firstLine="7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为保障该项目顺利实施，我校成立了以党组书记、校长任组长，班子成员任副组长，各科室负责人为成员的工作领导小组，将项目实施的各项绩效目标纳入部门年度工作计划，并要求各科室提前谋划、制定工作方案和各项应急预案。</w:t>
      </w:r>
    </w:p>
    <w:p>
      <w:pPr>
        <w:adjustRightInd w:val="0"/>
        <w:snapToGrid w:val="0"/>
        <w:spacing w:line="580" w:lineRule="exact"/>
        <w:ind w:firstLine="640" w:firstLineChars="20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w:t>
      </w:r>
      <w:r>
        <w:rPr>
          <w:rFonts w:hint="eastAsia" w:ascii="方正楷体简体" w:hAnsi="宋体" w:eastAsia="方正楷体简体"/>
          <w:bCs/>
          <w:color w:val="000000" w:themeColor="text1"/>
          <w:sz w:val="32"/>
          <w:szCs w:val="32"/>
          <w14:textFill>
            <w14:solidFill>
              <w14:schemeClr w14:val="tx1"/>
            </w14:solidFill>
          </w14:textFill>
        </w:rPr>
        <w:t>二</w:t>
      </w:r>
      <w:r>
        <w:rPr>
          <w:rFonts w:hint="eastAsia" w:ascii="方正楷体简体" w:hAnsi="宋体" w:eastAsia="方正楷体简体"/>
          <w:bCs/>
          <w:color w:val="000000" w:themeColor="text1"/>
          <w:sz w:val="32"/>
          <w:szCs w:val="32"/>
          <w:lang w:val="zh-CN"/>
          <w14:textFill>
            <w14:solidFill>
              <w14:schemeClr w14:val="tx1"/>
            </w14:solidFill>
          </w14:textFill>
        </w:rPr>
        <w:t>）项目管理情况</w:t>
      </w:r>
    </w:p>
    <w:p>
      <w:pPr>
        <w:adjustRightInd w:val="0"/>
        <w:snapToGrid w:val="0"/>
        <w:spacing w:line="580" w:lineRule="exact"/>
        <w:ind w:firstLine="7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我校严格按照上级有关制度</w:t>
      </w:r>
      <w:r>
        <w:rPr>
          <w:rFonts w:ascii="仿宋" w:hAnsi="仿宋" w:eastAsia="仿宋" w:cs="仿宋"/>
          <w:bCs/>
          <w:color w:val="000000" w:themeColor="text1"/>
          <w:sz w:val="32"/>
          <w:szCs w:val="32"/>
          <w14:textFill>
            <w14:solidFill>
              <w14:schemeClr w14:val="tx1"/>
            </w14:solidFill>
          </w14:textFill>
        </w:rPr>
        <w:t>进行项目的管理，并严格资金管理，涉及到需要履行政府采购程序的，也严格</w:t>
      </w:r>
      <w:r>
        <w:rPr>
          <w:rFonts w:hint="eastAsia" w:ascii="仿宋" w:hAnsi="仿宋" w:eastAsia="仿宋" w:cs="仿宋"/>
          <w:bCs/>
          <w:color w:val="000000" w:themeColor="text1"/>
          <w:sz w:val="32"/>
          <w:szCs w:val="32"/>
          <w14:textFill>
            <w14:solidFill>
              <w14:schemeClr w14:val="tx1"/>
            </w14:solidFill>
          </w14:textFill>
        </w:rPr>
        <w:t>按</w:t>
      </w:r>
      <w:r>
        <w:rPr>
          <w:rFonts w:ascii="仿宋" w:hAnsi="仿宋" w:eastAsia="仿宋" w:cs="仿宋"/>
          <w:bCs/>
          <w:color w:val="000000" w:themeColor="text1"/>
          <w:sz w:val="32"/>
          <w:szCs w:val="32"/>
          <w14:textFill>
            <w14:solidFill>
              <w14:schemeClr w14:val="tx1"/>
            </w14:solidFill>
          </w14:textFill>
        </w:rPr>
        <w:t>程序开支。</w:t>
      </w:r>
    </w:p>
    <w:p>
      <w:pPr>
        <w:adjustRightInd w:val="0"/>
        <w:snapToGrid w:val="0"/>
        <w:spacing w:line="580" w:lineRule="exact"/>
        <w:ind w:firstLine="640" w:firstLineChars="20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w:t>
      </w:r>
      <w:r>
        <w:rPr>
          <w:rFonts w:hint="eastAsia" w:ascii="方正楷体简体" w:hAnsi="宋体" w:eastAsia="方正楷体简体"/>
          <w:bCs/>
          <w:color w:val="000000" w:themeColor="text1"/>
          <w:sz w:val="32"/>
          <w:szCs w:val="32"/>
          <w14:textFill>
            <w14:solidFill>
              <w14:schemeClr w14:val="tx1"/>
            </w14:solidFill>
          </w14:textFill>
        </w:rPr>
        <w:t>三</w:t>
      </w:r>
      <w:r>
        <w:rPr>
          <w:rFonts w:hint="eastAsia" w:ascii="方正楷体简体" w:hAnsi="宋体" w:eastAsia="方正楷体简体"/>
          <w:bCs/>
          <w:color w:val="000000" w:themeColor="text1"/>
          <w:sz w:val="32"/>
          <w:szCs w:val="32"/>
          <w:lang w:val="zh-CN"/>
          <w14:textFill>
            <w14:solidFill>
              <w14:schemeClr w14:val="tx1"/>
            </w14:solidFill>
          </w14:textFill>
        </w:rPr>
        <w:t>）项目监管情况</w:t>
      </w:r>
    </w:p>
    <w:p>
      <w:pPr>
        <w:adjustRightInd w:val="0"/>
        <w:snapToGrid w:val="0"/>
        <w:spacing w:line="580" w:lineRule="exact"/>
        <w:ind w:firstLine="640" w:firstLineChars="200"/>
        <w:rPr>
          <w:rFonts w:ascii="方正黑体简体" w:hAnsi="宋体" w:eastAsia="方正黑体简体"/>
          <w:bCs/>
          <w:color w:val="000000" w:themeColor="text1"/>
          <w:sz w:val="32"/>
          <w:szCs w:val="32"/>
          <w:lang w:val="zh-CN"/>
          <w14:textFill>
            <w14:solidFill>
              <w14:schemeClr w14:val="tx1"/>
            </w14:solidFill>
          </w14:textFill>
        </w:rPr>
      </w:pPr>
      <w:r>
        <w:rPr>
          <w:rFonts w:hint="eastAsia" w:ascii="仿宋" w:hAnsi="仿宋" w:eastAsia="仿宋" w:cs="仿宋"/>
          <w:sz w:val="32"/>
          <w:szCs w:val="32"/>
          <w:lang w:val="zh-CN"/>
        </w:rPr>
        <w:t>我</w:t>
      </w:r>
      <w:r>
        <w:rPr>
          <w:rFonts w:hint="eastAsia" w:ascii="仿宋" w:hAnsi="仿宋" w:eastAsia="仿宋" w:cs="仿宋"/>
          <w:sz w:val="32"/>
          <w:szCs w:val="32"/>
        </w:rPr>
        <w:t>校对基本教育服务</w:t>
      </w:r>
      <w:r>
        <w:rPr>
          <w:rFonts w:hint="eastAsia" w:ascii="仿宋" w:hAnsi="仿宋" w:eastAsia="仿宋" w:cs="仿宋"/>
          <w:sz w:val="32"/>
          <w:szCs w:val="32"/>
          <w:lang w:val="zh-CN"/>
        </w:rPr>
        <w:t>项目资金</w:t>
      </w:r>
      <w:r>
        <w:rPr>
          <w:rFonts w:hint="eastAsia" w:ascii="仿宋" w:hAnsi="仿宋" w:eastAsia="仿宋" w:cs="仿宋"/>
          <w:sz w:val="32"/>
          <w:szCs w:val="32"/>
        </w:rPr>
        <w:t>开展</w:t>
      </w:r>
      <w:r>
        <w:rPr>
          <w:rFonts w:hint="eastAsia" w:ascii="仿宋" w:hAnsi="仿宋" w:eastAsia="仿宋" w:cs="仿宋"/>
          <w:sz w:val="32"/>
          <w:szCs w:val="32"/>
          <w:lang w:val="zh-CN"/>
        </w:rPr>
        <w:t>监督、检查，对检查发现的问题</w:t>
      </w:r>
      <w:r>
        <w:rPr>
          <w:rFonts w:hint="eastAsia" w:ascii="仿宋" w:hAnsi="仿宋" w:eastAsia="仿宋" w:cs="仿宋"/>
          <w:sz w:val="32"/>
          <w:szCs w:val="32"/>
        </w:rPr>
        <w:t>及时</w:t>
      </w:r>
      <w:r>
        <w:rPr>
          <w:rFonts w:hint="eastAsia" w:ascii="仿宋" w:hAnsi="仿宋" w:eastAsia="仿宋" w:cs="仿宋"/>
          <w:sz w:val="32"/>
          <w:szCs w:val="32"/>
          <w:lang w:val="zh-CN"/>
        </w:rPr>
        <w:t>整改。财务部门对资金的管理严格按照相关管理办法进行审核把关，严格执行了相关管理制度，确保各项目资金专款专用，无截留、挪用、挤占等现象的出现。</w:t>
      </w:r>
    </w:p>
    <w:p>
      <w:pPr>
        <w:adjustRightInd w:val="0"/>
        <w:snapToGrid w:val="0"/>
        <w:spacing w:line="580" w:lineRule="exact"/>
        <w:ind w:firstLine="640" w:firstLineChars="200"/>
        <w:rPr>
          <w:rFonts w:ascii="方正黑体简体" w:hAnsi="宋体" w:eastAsia="方正黑体简体"/>
          <w:bCs/>
          <w:color w:val="000000" w:themeColor="text1"/>
          <w:sz w:val="32"/>
          <w:szCs w:val="32"/>
          <w:lang w:val="zh-CN"/>
          <w14:textFill>
            <w14:solidFill>
              <w14:schemeClr w14:val="tx1"/>
            </w14:solidFill>
          </w14:textFill>
        </w:rPr>
      </w:pPr>
      <w:r>
        <w:rPr>
          <w:rFonts w:hint="eastAsia" w:ascii="方正黑体简体" w:hAnsi="宋体" w:eastAsia="方正黑体简体"/>
          <w:bCs/>
          <w:color w:val="000000" w:themeColor="text1"/>
          <w:sz w:val="32"/>
          <w:szCs w:val="32"/>
          <w14:textFill>
            <w14:solidFill>
              <w14:schemeClr w14:val="tx1"/>
            </w14:solidFill>
          </w14:textFill>
        </w:rPr>
        <w:t>四、</w:t>
      </w:r>
      <w:r>
        <w:rPr>
          <w:rFonts w:hint="eastAsia" w:ascii="方正黑体简体" w:hAnsi="宋体" w:eastAsia="方正黑体简体"/>
          <w:bCs/>
          <w:color w:val="000000" w:themeColor="text1"/>
          <w:sz w:val="32"/>
          <w:szCs w:val="32"/>
          <w:lang w:val="zh-CN"/>
          <w14:textFill>
            <w14:solidFill>
              <w14:schemeClr w14:val="tx1"/>
            </w14:solidFill>
          </w14:textFill>
        </w:rPr>
        <w:t>项目绩效情况</w:t>
      </w:r>
      <w:r>
        <w:rPr>
          <w:rFonts w:hint="eastAsia" w:ascii="方正黑体简体" w:hAnsi="宋体" w:eastAsia="方正黑体简体"/>
          <w:bCs/>
          <w:color w:val="000000" w:themeColor="text1"/>
          <w:sz w:val="32"/>
          <w:szCs w:val="32"/>
          <w:lang w:val="zh-CN"/>
          <w14:textFill>
            <w14:solidFill>
              <w14:schemeClr w14:val="tx1"/>
            </w14:solidFill>
          </w14:textFill>
        </w:rPr>
        <w:tab/>
      </w:r>
    </w:p>
    <w:p>
      <w:pPr>
        <w:pStyle w:val="25"/>
        <w:numPr>
          <w:ilvl w:val="0"/>
          <w:numId w:val="14"/>
        </w:numPr>
        <w:adjustRightInd w:val="0"/>
        <w:snapToGrid w:val="0"/>
        <w:spacing w:line="580" w:lineRule="exact"/>
        <w:ind w:firstLineChars="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项目完成情况</w:t>
      </w:r>
    </w:p>
    <w:p>
      <w:pPr>
        <w:adjustRightInd w:val="0"/>
        <w:snapToGrid w:val="0"/>
        <w:spacing w:line="58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被评价项目绩效评价指标体系设置3个一级指标、6个二级指标、8个三级指标。</w:t>
      </w:r>
    </w:p>
    <w:p>
      <w:pPr>
        <w:adjustRightInd w:val="0"/>
        <w:snapToGrid w:val="0"/>
        <w:spacing w:line="58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1.一级指标：设置项目完成、项目效益、满意度指标三个。</w:t>
      </w:r>
    </w:p>
    <w:p>
      <w:pPr>
        <w:adjustRightInd w:val="0"/>
        <w:snapToGrid w:val="0"/>
        <w:spacing w:line="58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2.二级指标：项目完成设置数量目标、质量指标、和成本指标3个，项目效益设置社会效益和可持续影响指标2个，满意度指标设置服务对象满意度指标1个。</w:t>
      </w:r>
    </w:p>
    <w:p>
      <w:pPr>
        <w:adjustRightInd w:val="0"/>
        <w:snapToGrid w:val="0"/>
        <w:spacing w:line="58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3.三级指标：数量指标设置完成营养餐改善学校指标1个，质量指标我区营养改善学校补助率指标1个；成本指标执行设置项目预算金额指标1个；社会效益设置有效解决我区</w:t>
      </w:r>
      <w:r>
        <w:rPr>
          <w:rFonts w:ascii="仿宋_GB2312" w:hAnsi="仿宋_GB2312" w:eastAsia="仿宋_GB2312" w:cs="仿宋_GB2312"/>
          <w:bCs/>
          <w:color w:val="000000" w:themeColor="text1"/>
          <w:sz w:val="32"/>
          <w:szCs w:val="32"/>
          <w14:textFill>
            <w14:solidFill>
              <w14:schemeClr w14:val="tx1"/>
            </w14:solidFill>
          </w14:textFill>
        </w:rPr>
        <w:t>营养不良问题</w:t>
      </w:r>
      <w:r>
        <w:rPr>
          <w:rFonts w:hint="eastAsia" w:ascii="仿宋_GB2312" w:hAnsi="宋体" w:eastAsia="仿宋_GB2312"/>
          <w:bCs/>
          <w:color w:val="000000" w:themeColor="text1"/>
          <w:sz w:val="32"/>
          <w:szCs w:val="32"/>
          <w14:textFill>
            <w14:solidFill>
              <w14:schemeClr w14:val="tx1"/>
            </w14:solidFill>
          </w14:textFill>
        </w:rPr>
        <w:t>等指标2个；可持续影响指标</w:t>
      </w:r>
      <w:r>
        <w:rPr>
          <w:rFonts w:ascii="仿宋_GB2312" w:hAnsi="仿宋_GB2312" w:eastAsia="仿宋_GB2312" w:cs="仿宋_GB2312"/>
          <w:bCs/>
          <w:color w:val="000000" w:themeColor="text1"/>
          <w:sz w:val="32"/>
          <w:szCs w:val="32"/>
          <w14:textFill>
            <w14:solidFill>
              <w14:schemeClr w14:val="tx1"/>
            </w14:solidFill>
          </w14:textFill>
        </w:rPr>
        <w:t>营养不良</w:t>
      </w:r>
      <w:r>
        <w:rPr>
          <w:rFonts w:hint="eastAsia" w:ascii="仿宋_GB2312" w:hAnsi="宋体" w:eastAsia="仿宋_GB2312"/>
          <w:bCs/>
          <w:color w:val="000000" w:themeColor="text1"/>
          <w:sz w:val="32"/>
          <w:szCs w:val="32"/>
          <w14:textFill>
            <w14:solidFill>
              <w14:schemeClr w14:val="tx1"/>
            </w14:solidFill>
          </w14:textFill>
        </w:rPr>
        <w:t>问题等指标2个；社会满意度指标设置持续影响≥3年指标1个。</w:t>
      </w:r>
    </w:p>
    <w:p>
      <w:pPr>
        <w:adjustRightInd w:val="0"/>
        <w:snapToGrid w:val="0"/>
        <w:spacing w:line="560" w:lineRule="exact"/>
        <w:ind w:firstLine="720"/>
        <w:rPr>
          <w:rFonts w:ascii="方正黑体简体" w:hAnsi="宋体" w:eastAsia="方正黑体简体"/>
          <w:bCs/>
          <w:color w:val="000000" w:themeColor="text1"/>
          <w:sz w:val="32"/>
          <w:szCs w:val="32"/>
          <w:lang w:val="zh-CN"/>
          <w14:textFill>
            <w14:solidFill>
              <w14:schemeClr w14:val="tx1"/>
            </w14:solidFill>
          </w14:textFill>
        </w:rPr>
      </w:pPr>
      <w:r>
        <w:rPr>
          <w:rFonts w:hint="eastAsia" w:ascii="方正黑体简体" w:hAnsi="宋体" w:eastAsia="方正黑体简体"/>
          <w:bCs/>
          <w:color w:val="000000" w:themeColor="text1"/>
          <w:sz w:val="32"/>
          <w:szCs w:val="32"/>
          <w:lang w:val="zh-CN"/>
          <w14:textFill>
            <w14:solidFill>
              <w14:schemeClr w14:val="tx1"/>
            </w14:solidFill>
          </w14:textFill>
        </w:rPr>
        <w:t>五、评价结论及建议</w:t>
      </w:r>
    </w:p>
    <w:p>
      <w:pPr>
        <w:adjustRightInd w:val="0"/>
        <w:snapToGrid w:val="0"/>
        <w:spacing w:line="560" w:lineRule="exact"/>
        <w:ind w:firstLine="640" w:firstLineChars="20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（一）评价结论</w:t>
      </w:r>
    </w:p>
    <w:p>
      <w:pPr>
        <w:adjustRightInd w:val="0"/>
        <w:snapToGrid w:val="0"/>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该项目的实施能有效解决我校学生上学营养不良问题得到缓解，学生学习能力有所提高，大大提高了供应安全、卫生、营养饮食的能力。</w:t>
      </w:r>
    </w:p>
    <w:p>
      <w:pPr>
        <w:adjustRightInd w:val="0"/>
        <w:snapToGrid w:val="0"/>
        <w:spacing w:line="560" w:lineRule="exact"/>
        <w:ind w:firstLine="640" w:firstLineChars="20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（二）存在的问题</w:t>
      </w:r>
    </w:p>
    <w:p>
      <w:pPr>
        <w:adjustRightInd w:val="0"/>
        <w:snapToGrid w:val="0"/>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w:t>
      </w:r>
      <w:r>
        <w:rPr>
          <w:rFonts w:hint="eastAsia"/>
          <w:bCs/>
          <w:color w:val="000000" w:themeColor="text1"/>
          <w:sz w:val="32"/>
          <w:szCs w:val="32"/>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学校营养改善计划食堂工作人员经费补助享受人员数不足，补助数也偏低。</w:t>
      </w:r>
      <w:r>
        <w:rPr>
          <w:rFonts w:hint="eastAsia" w:ascii="仿宋" w:hAnsi="仿宋" w:eastAsia="仿宋" w:cs="仿宋"/>
          <w:bCs/>
          <w:color w:val="000000" w:themeColor="text1"/>
          <w:sz w:val="32"/>
          <w:szCs w:val="32"/>
          <w:lang w:val="zh-CN"/>
          <w14:textFill>
            <w14:solidFill>
              <w14:schemeClr w14:val="tx1"/>
            </w14:solidFill>
          </w14:textFill>
        </w:rPr>
        <w:tab/>
      </w:r>
    </w:p>
    <w:p>
      <w:pPr>
        <w:adjustRightInd w:val="0"/>
        <w:snapToGrid w:val="0"/>
        <w:spacing w:line="560" w:lineRule="exact"/>
        <w:ind w:firstLine="640" w:firstLineChars="200"/>
        <w:rPr>
          <w:rFonts w:ascii="方正楷体简体" w:hAnsi="宋体" w:eastAsia="方正楷体简体"/>
          <w:bCs/>
          <w:color w:val="000000" w:themeColor="text1"/>
          <w:sz w:val="32"/>
          <w:szCs w:val="32"/>
          <w:lang w:val="zh-CN"/>
          <w14:textFill>
            <w14:solidFill>
              <w14:schemeClr w14:val="tx1"/>
            </w14:solidFill>
          </w14:textFill>
        </w:rPr>
      </w:pPr>
      <w:r>
        <w:rPr>
          <w:rFonts w:hint="eastAsia" w:ascii="方正楷体简体" w:hAnsi="宋体" w:eastAsia="方正楷体简体"/>
          <w:bCs/>
          <w:color w:val="000000" w:themeColor="text1"/>
          <w:sz w:val="32"/>
          <w:szCs w:val="32"/>
          <w:lang w:val="zh-CN"/>
          <w14:textFill>
            <w14:solidFill>
              <w14:schemeClr w14:val="tx1"/>
            </w14:solidFill>
          </w14:textFill>
        </w:rPr>
        <w:t>（三）相关建议</w:t>
      </w:r>
    </w:p>
    <w:p>
      <w:pPr>
        <w:pStyle w:val="12"/>
        <w:shd w:val="clear" w:color="auto" w:fill="FFFFFF"/>
        <w:snapToGrid w:val="0"/>
        <w:spacing w:beforeAutospacing="0" w:afterAutospacing="0" w:line="576" w:lineRule="exact"/>
        <w:ind w:firstLine="640" w:firstLineChars="200"/>
        <w:jc w:val="both"/>
        <w:rPr>
          <w:rFonts w:ascii="仿宋" w:hAnsi="仿宋" w:eastAsia="仿宋" w:cs="仿宋"/>
          <w:bCs/>
          <w:color w:val="000000" w:themeColor="text1"/>
          <w:kern w:val="2"/>
          <w:sz w:val="32"/>
          <w:szCs w:val="32"/>
          <w14:textFill>
            <w14:solidFill>
              <w14:schemeClr w14:val="tx1"/>
            </w14:solidFill>
          </w14:textFill>
        </w:rPr>
      </w:pPr>
      <w:r>
        <w:rPr>
          <w:rFonts w:hint="eastAsia" w:ascii="仿宋" w:hAnsi="仿宋" w:eastAsia="仿宋" w:cs="仿宋"/>
          <w:bCs/>
          <w:color w:val="000000" w:themeColor="text1"/>
          <w:kern w:val="2"/>
          <w:sz w:val="32"/>
          <w:szCs w:val="32"/>
          <w14:textFill>
            <w14:solidFill>
              <w14:schemeClr w14:val="tx1"/>
            </w14:solidFill>
          </w14:textFill>
        </w:rPr>
        <w:t>1.增加编制数。</w:t>
      </w:r>
    </w:p>
    <w:p>
      <w:pPr>
        <w:pStyle w:val="12"/>
        <w:shd w:val="clear" w:color="auto" w:fill="FFFFFF"/>
        <w:snapToGrid w:val="0"/>
        <w:spacing w:beforeAutospacing="0" w:afterAutospacing="0" w:line="576" w:lineRule="exact"/>
        <w:ind w:firstLine="640" w:firstLineChars="200"/>
        <w:jc w:val="both"/>
        <w:rPr>
          <w:rFonts w:ascii="仿宋" w:hAnsi="仿宋" w:eastAsia="仿宋" w:cs="仿宋"/>
          <w:bCs/>
          <w:color w:val="000000" w:themeColor="text1"/>
          <w:kern w:val="2"/>
          <w:sz w:val="32"/>
          <w:szCs w:val="32"/>
          <w14:textFill>
            <w14:solidFill>
              <w14:schemeClr w14:val="tx1"/>
            </w14:solidFill>
          </w14:textFill>
        </w:rPr>
      </w:pPr>
      <w:r>
        <w:rPr>
          <w:rFonts w:hint="eastAsia" w:ascii="仿宋" w:hAnsi="仿宋" w:eastAsia="仿宋" w:cs="仿宋"/>
          <w:bCs/>
          <w:color w:val="000000" w:themeColor="text1"/>
          <w:kern w:val="2"/>
          <w:sz w:val="32"/>
          <w:szCs w:val="32"/>
          <w14:textFill>
            <w14:solidFill>
              <w14:schemeClr w14:val="tx1"/>
            </w14:solidFill>
          </w14:textFill>
        </w:rPr>
        <w:t>2.加大财政投入。</w:t>
      </w:r>
    </w:p>
    <w:p>
      <w:pPr>
        <w:snapToGrid w:val="0"/>
        <w:spacing w:line="540" w:lineRule="exact"/>
        <w:ind w:firstLine="4800" w:firstLineChars="1500"/>
        <w:rPr>
          <w:rFonts w:ascii="仿宋" w:hAnsi="仿宋" w:eastAsia="仿宋" w:cs="仿宋_GB2312"/>
          <w:bCs/>
          <w:color w:val="000000" w:themeColor="text1"/>
          <w:sz w:val="32"/>
          <w:szCs w:val="32"/>
          <w14:textFill>
            <w14:solidFill>
              <w14:schemeClr w14:val="tx1"/>
            </w14:solidFill>
          </w14:textFill>
        </w:rPr>
      </w:pPr>
    </w:p>
    <w:p>
      <w:pPr>
        <w:snapToGrid w:val="0"/>
        <w:spacing w:line="540" w:lineRule="exact"/>
        <w:rPr>
          <w:rFonts w:ascii="仿宋" w:hAnsi="仿宋" w:eastAsia="仿宋" w:cs="仿宋_GB2312"/>
          <w:bCs/>
          <w:color w:val="000000" w:themeColor="text1"/>
          <w:sz w:val="32"/>
          <w:szCs w:val="32"/>
          <w14:textFill>
            <w14:solidFill>
              <w14:schemeClr w14:val="tx1"/>
            </w14:solidFill>
          </w14:textFill>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jc w:val="center"/>
        <w:rPr>
          <w:rFonts w:ascii="方正小标宋简体" w:hAnsi="方正小标宋简体" w:eastAsia="方正小标宋简体" w:cs="方正小标宋简体"/>
          <w:color w:val="auto"/>
          <w:kern w:val="2"/>
          <w:sz w:val="44"/>
          <w:szCs w:val="44"/>
        </w:rPr>
      </w:pPr>
    </w:p>
    <w:p>
      <w:pPr>
        <w:pStyle w:val="32"/>
        <w:spacing w:line="600" w:lineRule="exact"/>
        <w:rPr>
          <w:rFonts w:hint="eastAsia" w:ascii="方正小标宋简体" w:hAnsi="方正小标宋简体" w:eastAsia="方正小标宋简体" w:cs="方正小标宋简体"/>
          <w:color w:val="auto"/>
          <w:kern w:val="2"/>
          <w:sz w:val="44"/>
          <w:szCs w:val="44"/>
        </w:rPr>
      </w:pPr>
    </w:p>
    <w:p>
      <w:pPr>
        <w:pStyle w:val="32"/>
        <w:spacing w:line="600" w:lineRule="exact"/>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 xml:space="preserve">2.5     </w:t>
      </w:r>
    </w:p>
    <w:p>
      <w:pPr>
        <w:pStyle w:val="32"/>
        <w:spacing w:line="600" w:lineRule="exact"/>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 xml:space="preserve">  </w:t>
      </w:r>
      <w:r>
        <w:rPr>
          <w:rFonts w:hint="eastAsia" w:ascii="方正小标宋简体" w:hAnsi="方正小标宋简体" w:eastAsia="方正小标宋简体" w:cs="方正小标宋简体"/>
          <w:color w:val="auto"/>
          <w:kern w:val="2"/>
          <w:sz w:val="44"/>
          <w:szCs w:val="44"/>
          <w:lang w:val="en-US" w:eastAsia="zh-CN"/>
        </w:rPr>
        <w:t xml:space="preserve">     </w:t>
      </w:r>
      <w:r>
        <w:rPr>
          <w:rFonts w:hint="eastAsia" w:ascii="方正小标宋简体" w:hAnsi="方正小标宋简体" w:eastAsia="方正小标宋简体" w:cs="方正小标宋简体"/>
          <w:color w:val="auto"/>
          <w:kern w:val="2"/>
          <w:sz w:val="44"/>
          <w:szCs w:val="44"/>
        </w:rPr>
        <w:t>广元市利州区宝轮第四小学</w:t>
      </w:r>
    </w:p>
    <w:p>
      <w:pPr>
        <w:pStyle w:val="32"/>
        <w:spacing w:line="60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rPr>
        <w:t xml:space="preserve"> </w:t>
      </w:r>
      <w:r>
        <w:rPr>
          <w:rFonts w:hint="eastAsia" w:ascii="方正小标宋简体" w:hAnsi="方正小标宋简体" w:eastAsia="方正小标宋简体" w:cs="方正小标宋简体"/>
          <w:color w:val="auto"/>
          <w:kern w:val="2"/>
          <w:sz w:val="44"/>
          <w:szCs w:val="44"/>
        </w:rPr>
        <w:t>城乡义务教育补助作业本费配套事前绩效</w:t>
      </w:r>
    </w:p>
    <w:p>
      <w:pPr>
        <w:pStyle w:val="32"/>
        <w:spacing w:line="60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评估报告</w:t>
      </w:r>
    </w:p>
    <w:p>
      <w:pPr>
        <w:pStyle w:val="32"/>
        <w:spacing w:line="600" w:lineRule="exact"/>
        <w:jc w:val="center"/>
        <w:rPr>
          <w:rFonts w:ascii="方正小标宋简体" w:hAnsi="方正小标宋简体" w:eastAsia="方正小标宋简体" w:cs="方正小标宋简体"/>
          <w:color w:val="auto"/>
          <w:kern w:val="2"/>
          <w:sz w:val="44"/>
          <w:szCs w:val="44"/>
        </w:rPr>
      </w:pPr>
    </w:p>
    <w:p>
      <w:pPr>
        <w:snapToGrid w:val="0"/>
        <w:spacing w:line="560" w:lineRule="exact"/>
        <w:ind w:firstLine="640" w:firstLineChars="200"/>
        <w:rPr>
          <w:rFonts w:ascii="仿宋" w:hAnsi="仿宋" w:eastAsia="仿宋" w:cs="仿宋"/>
          <w:sz w:val="32"/>
          <w:szCs w:val="32"/>
        </w:rPr>
      </w:pPr>
      <w:r>
        <w:rPr>
          <w:rFonts w:hint="eastAsia" w:ascii="黑体" w:hAnsi="黑体" w:eastAsia="黑体"/>
          <w:sz w:val="32"/>
          <w:szCs w:val="32"/>
        </w:rPr>
        <w:t>一、重大政策或项目基本情况</w:t>
      </w:r>
      <w:r>
        <w:rPr>
          <w:rFonts w:ascii="仿宋" w:hAnsi="仿宋" w:eastAsia="仿宋" w:cs="仿宋"/>
          <w:sz w:val="32"/>
          <w:szCs w:val="32"/>
        </w:rPr>
        <w:t>（背景、主要内容等）</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义务教育是教育工作的重中之重，在全面建成小康社会 进程中具有基础性、先导性和全局性的重要作用。 自 2006 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化建设和户籍制度改革不断推进，学生流动性加大，现行义务教育经费保障机制已不能很好适应新形势要求。城乡义务教育经费保障机制有关政策不统一、经费可携带性不强、资 源配置不够均衡、综合</w:t>
      </w:r>
      <w:r>
        <w:rPr>
          <w:rFonts w:ascii="仿宋" w:hAnsi="仿宋" w:eastAsia="仿宋" w:cs="仿宋"/>
          <w:spacing w:val="-11"/>
          <w:sz w:val="32"/>
          <w:szCs w:val="32"/>
        </w:rPr>
        <w:t>改革有待深化等问题，都需要进一步 采取措施，切实加以解决</w:t>
      </w:r>
      <w:r>
        <w:rPr>
          <w:rFonts w:ascii="仿宋" w:hAnsi="仿宋" w:eastAsia="仿宋" w:cs="仿宋"/>
          <w:sz w:val="32"/>
          <w:szCs w:val="32"/>
        </w:rPr>
        <w:t>。</w:t>
      </w:r>
    </w:p>
    <w:p>
      <w:pPr>
        <w:snapToGrid w:val="0"/>
        <w:spacing w:line="560" w:lineRule="exact"/>
        <w:jc w:val="left"/>
        <w:rPr>
          <w:rFonts w:ascii="仿宋" w:hAnsi="仿宋" w:eastAsia="仿宋" w:cs="仿宋"/>
          <w:sz w:val="32"/>
          <w:szCs w:val="32"/>
        </w:rPr>
      </w:pPr>
      <w:r>
        <w:rPr>
          <w:rFonts w:ascii="仿宋" w:hAnsi="仿宋" w:eastAsia="仿宋" w:cs="仿宋"/>
          <w:sz w:val="32"/>
          <w:szCs w:val="32"/>
        </w:rPr>
        <w:t>在整合农村义务教育经费保障机制和城市义务教育奖 补政策的基础上，建立城乡统一、重在农村的义务教育经费 保障机制，是教育领域健全城乡发展一体化体制机制的重大 举措。这有利于推动省级政府统筹教育改革，优化教育布局， 实现城乡义务教育在更高层次的均衡发展，促进教育公平、 提高教育质量； 有利于深化财税体制改革，推动实现财政转 移支付同农业转移人 口市民化挂钩，促进劳动力合理流动， 推动经济结构调整和产业转型升级； 有利于促进基本公共</w:t>
      </w:r>
      <w:r>
        <w:rPr>
          <w:rFonts w:hint="eastAsia" w:ascii="仿宋" w:hAnsi="仿宋" w:eastAsia="仿宋" w:cs="仿宋"/>
          <w:sz w:val="32"/>
          <w:szCs w:val="32"/>
        </w:rPr>
        <w:t>服</w:t>
      </w:r>
      <w:r>
        <w:rPr>
          <w:rFonts w:ascii="仿宋" w:hAnsi="仿宋" w:eastAsia="仿宋" w:cs="仿宋"/>
          <w:sz w:val="32"/>
          <w:szCs w:val="32"/>
        </w:rPr>
        <w:t>务均等化，构建社会主义和谐社会，建设人力资源强国。</w:t>
      </w:r>
    </w:p>
    <w:p>
      <w:pPr>
        <w:snapToGrid w:val="0"/>
        <w:spacing w:line="560" w:lineRule="exact"/>
        <w:ind w:firstLine="640" w:firstLineChars="200"/>
        <w:jc w:val="left"/>
        <w:rPr>
          <w:sz w:val="32"/>
          <w:szCs w:val="32"/>
        </w:rPr>
        <w:sectPr>
          <w:pgSz w:w="11906" w:h="16838"/>
          <w:pgMar w:top="1701" w:right="1474" w:bottom="1701" w:left="1587" w:header="0" w:footer="1304" w:gutter="0"/>
          <w:cols w:space="720" w:num="1"/>
          <w:docGrid w:linePitch="286" w:charSpace="0"/>
        </w:sectPr>
      </w:pP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利州区高度重视义务教育，将义务教育阶段学校免除学生作业本费作为一项重要的民生实施工程，该项目主要是对义务教育阶段学生按“三免一补”政策标准进行资助的惠民政策，减轻家庭经济负担，保障义务教育阶段学生能够顺利 完成学业。项目内容及范围包括：义务教育阶段小学生人均补助标准：30元/年/生</w:t>
      </w:r>
      <w:r>
        <w:rPr>
          <w:rFonts w:hint="eastAsia" w:ascii="仿宋" w:hAnsi="仿宋" w:eastAsia="仿宋" w:cs="仿宋"/>
          <w:sz w:val="32"/>
          <w:szCs w:val="32"/>
        </w:rPr>
        <w:t>。</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二、立项必要性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该项目已实施多年，有效贯彻了中央、省、市有关教师对于建设的决策部署，有效促进区内教学水平和人才培养质量稳步提升，促进各类教育事业有序、健康、协调发展。具有明显的经济效益和社会效益。</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三、投入经济性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 况的检查、审计中未发现重大违规、违纪现象。</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四、绩效目标合理性</w:t>
      </w:r>
    </w:p>
    <w:p>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（一）绩效目标设置情况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绩效评价指标是指衡量绩效目标实现程度的考核工具。绩效评价指标的确定应当遵循以下原则： 相关性原则、重要性原则、可比性原则、系统性原则、经济性原则。绩效评价指标分为共性指标和个性指标，共性指标由财政部门统一制定，个性指标由财政部门会同预算部门制定。</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被评价项目绩效评价指标体系设置3个一级指标、9 个二级指标、19 个三级指标。</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一级指标：设置项目完成、项目效益、满意度指标3 个 。</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二级指标：项目完成设置数量目标、质量指标、时效指标、效果指标和成本指标5个，项目效益设置社会效益、可持续发展指标和可持续影响指标3个，满意度指标设置服务对象满意度指标1个。</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三级指标： 数量指标设置专题受助人数等指标9个，质量指标设置受助覆盖面等指标3个；时效指标设置资金到位等指标2个，成本指标执行设置支出按规定标准等指标2个，效果指标设置受助对象合规率指标1个； 社会效益设置促进教育公平等指标2个； 可持续影响和发展指标设置政策知晓率、持续受助年限等指标 3 个；社会满意度指标设置学生满意度、学校满意度等指标3个。</w:t>
      </w:r>
    </w:p>
    <w:p>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（二）绩效指标合理性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该项目绩效评价指标设置完整、科学、合理，各项绩效 指标可量化可考核，契合政策或项目实质，符合部门的长期 规划目标和年度工作目标要求。</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五、实施方案可行性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我区现有公办义务教育学校均执行农村义务教育经费保障政策。编制部门预算时，严格按照“二上二下”</w:t>
      </w:r>
      <w:r>
        <w:rPr>
          <w:rFonts w:hint="eastAsia" w:ascii="仿宋" w:hAnsi="仿宋" w:eastAsia="仿宋" w:cs="仿宋"/>
          <w:sz w:val="32"/>
          <w:szCs w:val="32"/>
        </w:rPr>
        <w:t>的</w:t>
      </w:r>
      <w:r>
        <w:rPr>
          <w:rFonts w:ascii="仿宋" w:hAnsi="仿宋" w:eastAsia="仿宋" w:cs="仿宋"/>
          <w:sz w:val="32"/>
          <w:szCs w:val="32"/>
        </w:rPr>
        <w:t>编制流程进行，预算方案经区人大会议审议通过后及时下达到各 单位。为加强对公用经费使用得管理，区教育局出台了《广 元市利州区公用经费管理办法》 等一系列教育管理制度，转 发了《差旅费管理办法》、《培训费管理办法》 等一系列规范 公用经费管理方面的文件，并将相关文件下发到各学校，要 求各学校认真贯彻执行文件精神，全面规范财务管理，确保 公用经费按规定用途使用。</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在公用经费收支预算执行过程中，严格按照预算批复数 分月按进度拨付到校，学校严格执行国家与省市区有关公用 经费开支得范围与标准，经费支出规范、合理，无虚列、虚 报冒领与挤占挪用得现象，票据规范、合法有效。教师培训 经费每年按不低于公用经费支出总额得 5%计入年初支出预 算，专项用于教师培训。严格按照预算批复数分期拨付到校， 学校严格执行国家与省市区有关公用经费开支得范围与标 准，经费支出规范、合理，无虚列、虚报冒领与挤占挪用得 现象，票据规范、合法有效。建立了公务招待用餐管理制度， 严格控制招待费支出。财务信息公开透明，对公用经费预算 批复情况、预算执行、“三公”经费等基本支出以及设备采 购与校舍维修等项目支出情况，在每年的教职工大会上予以 公布并在学校公示栏进行公示，主动接受师生与群众监督。 区教育局、财政局定期组织对学校公用经费使用情况进行审 计，对学校财务管理进行检查指导。</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该项目为公益性项目，属于公共财政支持范围，所需资 金有财政预算全额保障。</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六、可持续性分析</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根据国务院《于进一步完善城乡义务教育经费保障机制的通知》 等文件从制度层面保证教师培训项目的可持续性。</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此外，相关资金纳入部门预算，经费的来源能够得到有效保 障。区教育局为合理、有效、规范使用专项资金，根据国家统 一的财务制度，制订了《学校财务管理制度》 等规范性文件。</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规范了财务管理，确保经费使用合规合法。</w:t>
      </w:r>
    </w:p>
    <w:p>
      <w:pPr>
        <w:numPr>
          <w:ilvl w:val="0"/>
          <w:numId w:val="15"/>
        </w:num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其他需要说明的内容 无</w:t>
      </w:r>
    </w:p>
    <w:p>
      <w:pPr>
        <w:snapToGrid w:val="0"/>
        <w:spacing w:line="560" w:lineRule="exact"/>
        <w:ind w:firstLine="640" w:firstLineChars="200"/>
        <w:rPr>
          <w:rFonts w:ascii="仿宋" w:hAnsi="仿宋" w:eastAsia="仿宋" w:cs="仿宋"/>
          <w:sz w:val="32"/>
          <w:szCs w:val="32"/>
        </w:rPr>
      </w:pPr>
      <w:r>
        <w:rPr>
          <w:rFonts w:hint="eastAsia" w:ascii="黑体" w:hAnsi="黑体" w:eastAsia="黑体"/>
          <w:sz w:val="32"/>
          <w:szCs w:val="32"/>
        </w:rPr>
        <w:t>八、综合评估结论</w:t>
      </w:r>
      <w:r>
        <w:rPr>
          <w:rFonts w:ascii="仿宋" w:hAnsi="仿宋" w:eastAsia="仿宋" w:cs="仿宋"/>
          <w:sz w:val="32"/>
          <w:szCs w:val="32"/>
        </w:rPr>
        <w:t>（包括评估总得分、评估等级、得分情况简要分析、预期产出和效果是否能满足需求、是否需要核减预算安排、是否支持该政策出台、持续、保留或项目新增的意见等）</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该项目总体评价得分为 83 分，评估等级为“良”。预期产出和效果充分满足利州区教育改革各相关需求。</w:t>
      </w:r>
    </w:p>
    <w:p>
      <w:pPr>
        <w:snapToGrid w:val="0"/>
        <w:spacing w:line="560" w:lineRule="exact"/>
        <w:ind w:firstLine="640" w:firstLineChars="200"/>
        <w:rPr>
          <w:rFonts w:ascii="仿宋" w:hAnsi="仿宋" w:eastAsia="仿宋" w:cs="仿宋"/>
          <w:sz w:val="32"/>
          <w:szCs w:val="32"/>
        </w:rPr>
      </w:pPr>
    </w:p>
    <w:p>
      <w:pPr>
        <w:pStyle w:val="2"/>
        <w:spacing w:before="72"/>
        <w:rPr>
          <w:rFonts w:ascii="仿宋" w:hAnsi="仿宋" w:eastAsia="仿宋" w:cs="仿宋"/>
          <w:sz w:val="32"/>
          <w:szCs w:val="32"/>
        </w:rPr>
      </w:pPr>
    </w:p>
    <w:p>
      <w:pPr>
        <w:snapToGrid w:val="0"/>
        <w:spacing w:line="540" w:lineRule="exact"/>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 xml:space="preserve"> </w:t>
      </w:r>
    </w:p>
    <w:p>
      <w:pPr>
        <w:snapToGrid w:val="0"/>
        <w:spacing w:line="540" w:lineRule="exact"/>
        <w:rPr>
          <w:rFonts w:hint="eastAsia" w:ascii="仿宋" w:hAnsi="仿宋" w:eastAsia="仿宋" w:cs="仿宋_GB2312"/>
          <w:bCs/>
          <w:sz w:val="32"/>
          <w:szCs w:val="32"/>
          <w:lang w:val="en-US" w:eastAsia="zh-CN"/>
        </w:rPr>
      </w:pPr>
    </w:p>
    <w:p>
      <w:pPr>
        <w:snapToGrid w:val="0"/>
        <w:spacing w:line="540" w:lineRule="exact"/>
        <w:rPr>
          <w:rFonts w:hint="eastAsia" w:ascii="仿宋" w:hAnsi="仿宋" w:eastAsia="仿宋" w:cs="仿宋_GB2312"/>
          <w:bCs/>
          <w:sz w:val="32"/>
          <w:szCs w:val="32"/>
          <w:lang w:val="en-US" w:eastAsia="zh-CN"/>
        </w:rPr>
      </w:pPr>
    </w:p>
    <w:p>
      <w:pPr>
        <w:snapToGrid w:val="0"/>
        <w:spacing w:line="540" w:lineRule="exact"/>
        <w:rPr>
          <w:rFonts w:hint="eastAsia" w:ascii="仿宋" w:hAnsi="仿宋" w:eastAsia="仿宋" w:cs="仿宋_GB2312"/>
          <w:bCs/>
          <w:sz w:val="32"/>
          <w:szCs w:val="32"/>
          <w:lang w:val="en-US" w:eastAsia="zh-CN"/>
        </w:rPr>
      </w:pPr>
    </w:p>
    <w:p>
      <w:pPr>
        <w:snapToGrid w:val="0"/>
        <w:spacing w:line="540" w:lineRule="exact"/>
        <w:rPr>
          <w:rFonts w:hint="eastAsia" w:ascii="仿宋" w:hAnsi="仿宋" w:eastAsia="仿宋" w:cs="仿宋_GB2312"/>
          <w:bCs/>
          <w:sz w:val="32"/>
          <w:szCs w:val="32"/>
          <w:lang w:val="en-US" w:eastAsia="zh-CN"/>
        </w:rPr>
      </w:pPr>
    </w:p>
    <w:p>
      <w:pPr>
        <w:snapToGrid w:val="0"/>
        <w:spacing w:line="540" w:lineRule="exact"/>
        <w:rPr>
          <w:rFonts w:ascii="仿宋" w:hAnsi="仿宋" w:eastAsia="仿宋" w:cs="仿宋_GB2312"/>
          <w:bCs/>
          <w:sz w:val="32"/>
          <w:szCs w:val="32"/>
        </w:rPr>
      </w:pPr>
      <w:bookmarkStart w:id="117" w:name="_GoBack"/>
      <w:bookmarkEnd w:id="117"/>
      <w:r>
        <w:rPr>
          <w:rFonts w:hint="eastAsia" w:ascii="方正小标宋简体" w:hAnsi="方正小标宋简体" w:eastAsia="方正小标宋简体" w:cs="方正小标宋简体"/>
          <w:color w:val="000000"/>
          <w:kern w:val="0"/>
          <w:sz w:val="44"/>
          <w:szCs w:val="44"/>
        </w:rPr>
        <w:t>2.6      广元市利州区宝轮第四小学</w:t>
      </w:r>
    </w:p>
    <w:p>
      <w:pPr>
        <w:pStyle w:val="32"/>
        <w:snapToGrid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w:t>
      </w:r>
      <w:r>
        <w:rPr>
          <w:rFonts w:hint="eastAsia" w:ascii="方正小标宋简体" w:hAnsi="方正小标宋简体" w:eastAsia="方正小标宋简体" w:cs="方正小标宋简体"/>
          <w:sz w:val="44"/>
          <w:szCs w:val="44"/>
        </w:rPr>
        <w:t>校舍维修改造</w:t>
      </w:r>
      <w:r>
        <w:rPr>
          <w:rFonts w:hint="eastAsia" w:ascii="方正小标宋简体" w:hAnsi="方正小标宋简体" w:eastAsia="方正小标宋简体" w:cs="方正小标宋简体"/>
          <w:bCs/>
          <w:sz w:val="44"/>
          <w:szCs w:val="44"/>
        </w:rPr>
        <w:t>项目支出绩效</w:t>
      </w:r>
    </w:p>
    <w:p>
      <w:pPr>
        <w:pStyle w:val="32"/>
        <w:snapToGrid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自 评 报 告</w:t>
      </w:r>
    </w:p>
    <w:p>
      <w:pPr>
        <w:numPr>
          <w:ilvl w:val="0"/>
          <w:numId w:val="16"/>
        </w:numPr>
        <w:adjustRightInd w:val="0"/>
        <w:snapToGrid w:val="0"/>
        <w:spacing w:line="576" w:lineRule="exact"/>
        <w:ind w:left="0" w:firstLine="640" w:firstLineChars="200"/>
        <w:rPr>
          <w:rFonts w:ascii="黑体" w:hAnsi="黑体" w:eastAsia="黑体" w:cs="黑体"/>
          <w:bCs/>
          <w:sz w:val="32"/>
          <w:szCs w:val="32"/>
          <w:lang w:val="zh-CN"/>
        </w:rPr>
      </w:pPr>
      <w:r>
        <w:rPr>
          <w:rFonts w:hint="eastAsia" w:ascii="黑体" w:hAnsi="黑体" w:eastAsia="黑体" w:cs="黑体"/>
          <w:bCs/>
          <w:sz w:val="32"/>
          <w:szCs w:val="32"/>
          <w:lang w:val="zh-CN"/>
        </w:rPr>
        <w:t>项目概况</w:t>
      </w:r>
    </w:p>
    <w:p>
      <w:pPr>
        <w:adjustRightInd w:val="0"/>
        <w:snapToGrid w:val="0"/>
        <w:spacing w:line="576" w:lineRule="exact"/>
        <w:ind w:firstLine="600" w:firstLineChars="200"/>
        <w:rPr>
          <w:rFonts w:ascii="仿宋_GB2312" w:hAnsi="仿宋_GB2312" w:eastAsia="仿宋_GB2312" w:cs="仿宋_GB2312"/>
          <w:sz w:val="32"/>
          <w:szCs w:val="32"/>
        </w:rPr>
      </w:pPr>
      <w:r>
        <w:rPr>
          <w:rFonts w:hint="eastAsia"/>
          <w:sz w:val="30"/>
          <w:szCs w:val="30"/>
        </w:rPr>
        <w:t>宝轮四小幼儿园教学楼及厕所于1990年9月建成。幼儿园教学楼是由原宝轮院煤矿子弟校实验楼改造而成，2008年地震损坏严重，由广旺集团公司进行加固维修，后改造为学校附属幼儿园。因修建时间较长，现幼儿园教学楼楼顶漏水严重。特别到夏季雨季，教学楼三楼教师周转房及楼梯通道墙面渗水严重。幼儿园厕所由于改造时间长久，四周墙面渗水脱落。两层楼改造的厕所，楼上厕所用水，楼下厕所渗水严重。虽然学校多年来一直采取小面积修补工作，但不能解决根本问题。学校进行校园安全排查，此两处也属学校安全隐患，严重影响正常的教学秩序，向</w:t>
      </w:r>
      <w:r>
        <w:rPr>
          <w:rFonts w:hint="eastAsia" w:ascii="仿宋_GB2312" w:hAnsi="仿宋_GB2312" w:eastAsia="仿宋_GB2312" w:cs="仿宋_GB2312"/>
          <w:bCs/>
          <w:sz w:val="32"/>
          <w:szCs w:val="32"/>
        </w:rPr>
        <w:t>区财政申请</w:t>
      </w:r>
      <w:r>
        <w:rPr>
          <w:rFonts w:hint="eastAsia" w:ascii="仿宋_GB2312" w:hAnsi="仿宋_GB2312" w:eastAsia="仿宋_GB2312" w:cs="仿宋_GB2312"/>
          <w:sz w:val="32"/>
          <w:szCs w:val="32"/>
        </w:rPr>
        <w:t>10</w:t>
      </w:r>
      <w:r>
        <w:rPr>
          <w:rFonts w:hint="eastAsia" w:ascii="仿宋_GB2312" w:hAnsi="仿宋_GB2312" w:eastAsia="仿宋_GB2312" w:cs="仿宋_GB2312"/>
          <w:bCs/>
          <w:sz w:val="32"/>
          <w:szCs w:val="32"/>
        </w:rPr>
        <w:t>万元，用于学校校舍维修改造，利州区政府年度批复预算</w:t>
      </w:r>
      <w:r>
        <w:rPr>
          <w:rFonts w:hint="eastAsia" w:ascii="仿宋_GB2312" w:hAnsi="仿宋_GB2312" w:eastAsia="仿宋_GB2312" w:cs="仿宋_GB2312"/>
          <w:sz w:val="32"/>
          <w:szCs w:val="32"/>
        </w:rPr>
        <w:t>10</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zh-CN"/>
        </w:rPr>
        <w:t>申报内容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zh-CN"/>
        </w:rPr>
        <w:t>具体实施内容相符，</w:t>
      </w:r>
      <w:r>
        <w:rPr>
          <w:rFonts w:hint="eastAsia" w:ascii="仿宋_GB2312" w:hAnsi="仿宋_GB2312" w:eastAsia="仿宋_GB2312" w:cs="仿宋_GB2312"/>
          <w:sz w:val="32"/>
          <w:szCs w:val="32"/>
        </w:rPr>
        <w:t>不存在改变项目资金用途的现象，</w:t>
      </w:r>
      <w:r>
        <w:rPr>
          <w:rFonts w:hint="eastAsia" w:ascii="仿宋_GB2312" w:hAnsi="仿宋_GB2312" w:eastAsia="仿宋_GB2312" w:cs="仿宋_GB2312"/>
          <w:sz w:val="32"/>
          <w:szCs w:val="32"/>
          <w:lang w:val="zh-CN"/>
        </w:rPr>
        <w:t>申报目标合理可行。</w:t>
      </w:r>
    </w:p>
    <w:p>
      <w:pPr>
        <w:adjustRightInd w:val="0"/>
        <w:snapToGrid w:val="0"/>
        <w:spacing w:line="550" w:lineRule="exact"/>
        <w:ind w:firstLine="640" w:firstLineChars="200"/>
        <w:rPr>
          <w:rFonts w:ascii="黑体" w:hAnsi="黑体" w:eastAsia="黑体" w:cs="黑体"/>
          <w:bCs/>
          <w:sz w:val="32"/>
          <w:szCs w:val="32"/>
          <w:lang w:val="zh-CN"/>
        </w:rPr>
      </w:pPr>
      <w:r>
        <w:rPr>
          <w:rFonts w:hint="eastAsia" w:ascii="黑体" w:hAnsi="黑体" w:eastAsia="黑体" w:cs="黑体"/>
          <w:bCs/>
          <w:sz w:val="32"/>
          <w:szCs w:val="32"/>
          <w:lang w:val="zh-CN"/>
        </w:rPr>
        <w:t>二、项目实施及管理情况</w:t>
      </w:r>
    </w:p>
    <w:p>
      <w:pPr>
        <w:adjustRightInd w:val="0"/>
        <w:snapToGrid w:val="0"/>
        <w:spacing w:line="55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（一）资金计划、到位及使用情况</w:t>
      </w:r>
    </w:p>
    <w:p>
      <w:pPr>
        <w:adjustRightInd w:val="0"/>
        <w:snapToGrid w:val="0"/>
        <w:spacing w:line="55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1．资金计划及到位。</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2021年年初将该项目资金纳入区级财政资金预算，并及时下达该项目资金，资金到位及时，</w:t>
      </w:r>
      <w:r>
        <w:rPr>
          <w:rFonts w:hint="eastAsia" w:ascii="仿宋_GB2312" w:hAnsi="仿宋_GB2312" w:eastAsia="仿宋_GB2312" w:cs="仿宋_GB2312"/>
          <w:bCs/>
          <w:sz w:val="32"/>
          <w:szCs w:val="32"/>
          <w:lang w:val="zh-CN"/>
        </w:rPr>
        <w:t>资金到位率</w:t>
      </w:r>
      <w:r>
        <w:rPr>
          <w:rFonts w:hint="eastAsia" w:ascii="仿宋_GB2312" w:hAnsi="仿宋_GB2312" w:eastAsia="仿宋_GB2312" w:cs="仿宋_GB2312"/>
          <w:bCs/>
          <w:sz w:val="32"/>
          <w:szCs w:val="32"/>
        </w:rPr>
        <w:t>100%。</w:t>
      </w:r>
    </w:p>
    <w:p>
      <w:pPr>
        <w:adjustRightInd w:val="0"/>
        <w:snapToGrid w:val="0"/>
        <w:spacing w:line="55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资金使用。</w:t>
      </w:r>
    </w:p>
    <w:p>
      <w:pPr>
        <w:adjustRightInd w:val="0"/>
        <w:snapToGrid w:val="0"/>
        <w:spacing w:line="55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在教育费附加使用过程中，我校坚持专款专用，设立教育费附加专帐，不挤占、不挪用。坚持教育费附加项目预算申报制度，对需要从教育费附加中列支的项目，年初做出预算申报。坚持工程质量跟踪管理制度，确保工程项目质量。</w:t>
      </w:r>
    </w:p>
    <w:p>
      <w:pPr>
        <w:adjustRightInd w:val="0"/>
        <w:snapToGrid w:val="0"/>
        <w:spacing w:line="55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（二）项目财务管理情况</w:t>
      </w:r>
    </w:p>
    <w:p>
      <w:pPr>
        <w:adjustRightInd w:val="0"/>
        <w:snapToGrid w:val="0"/>
        <w:spacing w:line="55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项目财务管理制度建设健全、机构设置合理合规、会计核算及账务处理合理。该项目严格执行财务管理制度、财务处理及时、会计核算规范。</w:t>
      </w:r>
    </w:p>
    <w:p>
      <w:pPr>
        <w:adjustRightInd w:val="0"/>
        <w:snapToGrid w:val="0"/>
        <w:spacing w:line="55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（三）项目组织实施情况</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利州区教育局成立了区计财股为主体的财务工作领导小组，指导和检查资金的使用情况，经检查，该专项资金使用合法合规，严格执行相关资金管理制度。</w:t>
      </w:r>
    </w:p>
    <w:p>
      <w:pPr>
        <w:adjustRightInd w:val="0"/>
        <w:snapToGrid w:val="0"/>
        <w:spacing w:line="550" w:lineRule="exact"/>
        <w:ind w:firstLine="640" w:firstLineChars="200"/>
        <w:rPr>
          <w:rFonts w:ascii="黑体" w:hAnsi="黑体" w:eastAsia="黑体" w:cs="黑体"/>
          <w:bCs/>
          <w:sz w:val="32"/>
          <w:szCs w:val="32"/>
          <w:lang w:val="zh-CN"/>
        </w:rPr>
      </w:pPr>
      <w:r>
        <w:rPr>
          <w:rFonts w:hint="eastAsia" w:ascii="黑体" w:hAnsi="黑体" w:eastAsia="黑体" w:cs="黑体"/>
          <w:bCs/>
          <w:sz w:val="32"/>
          <w:szCs w:val="32"/>
          <w:lang w:val="zh-CN"/>
        </w:rPr>
        <w:t>三、项目绩效情况</w:t>
      </w:r>
    </w:p>
    <w:p>
      <w:pPr>
        <w:adjustRightInd w:val="0"/>
        <w:snapToGrid w:val="0"/>
        <w:spacing w:line="55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50" w:lineRule="exact"/>
        <w:ind w:firstLine="640" w:firstLineChars="200"/>
        <w:rPr>
          <w:rFonts w:ascii="仿宋_GB2312" w:hAnsi="仿宋_GB2312" w:eastAsia="仿宋_GB2312" w:cs="仿宋_GB2312"/>
          <w:bCs/>
          <w:spacing w:val="-6"/>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pacing w:val="-6"/>
          <w:sz w:val="32"/>
          <w:szCs w:val="32"/>
        </w:rPr>
        <w:t>021年12月底完成校舍维修。</w:t>
      </w:r>
    </w:p>
    <w:p>
      <w:pPr>
        <w:adjustRightInd w:val="0"/>
        <w:snapToGrid w:val="0"/>
        <w:spacing w:line="550"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（二）项目效益情况</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一是切实减轻家庭教育负担；二是有效解决解决学生就读环境改善问题；三是在校家长满意率95%。</w:t>
      </w:r>
    </w:p>
    <w:p>
      <w:pPr>
        <w:adjustRightInd w:val="0"/>
        <w:snapToGrid w:val="0"/>
        <w:spacing w:line="55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四、问题及建议</w:t>
      </w:r>
    </w:p>
    <w:p>
      <w:pPr>
        <w:adjustRightInd w:val="0"/>
        <w:snapToGrid w:val="0"/>
        <w:spacing w:line="55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加大政策的宣传力度，让家长认识到政府对基础教育投入，解决学生入学难的问题。</w:t>
      </w:r>
    </w:p>
    <w:p>
      <w:pPr>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78"/>
      <w:bookmarkEnd w:id="87"/>
      <w:bookmarkEnd w:id="88"/>
      <w:bookmarkStart w:id="90" w:name="_Toc15396619"/>
    </w:p>
    <w:p>
      <w:pPr>
        <w:pStyle w:val="5"/>
        <w:snapToGrid w:val="0"/>
        <w:spacing w:before="0" w:after="0" w:line="560" w:lineRule="exact"/>
        <w:rPr>
          <w:rFonts w:ascii="仿宋" w:hAnsi="仿宋" w:eastAsia="仿宋"/>
          <w:b w:val="0"/>
        </w:rPr>
      </w:pPr>
    </w:p>
    <w:p>
      <w:pPr>
        <w:pStyle w:val="5"/>
        <w:snapToGrid w:val="0"/>
        <w:spacing w:before="0" w:after="0" w:line="620" w:lineRule="exact"/>
        <w:ind w:firstLine="640" w:firstLineChars="200"/>
        <w:rPr>
          <w:rFonts w:ascii="仿宋" w:hAnsi="仿宋" w:eastAsia="仿宋"/>
        </w:rPr>
      </w:pPr>
      <w:bookmarkStart w:id="91" w:name="_Toc5019"/>
      <w:r>
        <w:rPr>
          <w:rFonts w:hint="eastAsia" w:ascii="仿宋" w:hAnsi="仿宋" w:eastAsia="仿宋"/>
          <w:b w:val="0"/>
        </w:rPr>
        <w:t>一、收</w:t>
      </w:r>
      <w:r>
        <w:rPr>
          <w:rStyle w:val="27"/>
          <w:rFonts w:hint="eastAsia" w:ascii="仿宋" w:hAnsi="仿宋" w:eastAsia="仿宋"/>
          <w:b w:val="0"/>
          <w:bCs w:val="0"/>
        </w:rPr>
        <w:t>入支出决算总表</w:t>
      </w:r>
      <w:bookmarkEnd w:id="90"/>
      <w:bookmarkEnd w:id="91"/>
    </w:p>
    <w:p>
      <w:pPr>
        <w:pStyle w:val="5"/>
        <w:snapToGrid w:val="0"/>
        <w:spacing w:before="0" w:after="0" w:line="620" w:lineRule="exact"/>
        <w:ind w:firstLine="640" w:firstLineChars="200"/>
        <w:rPr>
          <w:rFonts w:ascii="仿宋" w:hAnsi="仿宋" w:eastAsia="仿宋"/>
        </w:rPr>
      </w:pPr>
      <w:bookmarkStart w:id="92" w:name="_Toc19794"/>
      <w:bookmarkStart w:id="93" w:name="_Toc15396620"/>
      <w:r>
        <w:rPr>
          <w:rFonts w:hint="eastAsia" w:ascii="仿宋" w:hAnsi="仿宋" w:eastAsia="仿宋"/>
          <w:b w:val="0"/>
        </w:rPr>
        <w:t>二、收</w:t>
      </w:r>
      <w:r>
        <w:rPr>
          <w:rStyle w:val="27"/>
          <w:rFonts w:hint="eastAsia" w:ascii="仿宋" w:hAnsi="仿宋" w:eastAsia="仿宋"/>
          <w:b w:val="0"/>
          <w:bCs w:val="0"/>
        </w:rPr>
        <w:t>入决算表</w:t>
      </w:r>
      <w:bookmarkEnd w:id="92"/>
      <w:bookmarkEnd w:id="93"/>
    </w:p>
    <w:p>
      <w:pPr>
        <w:pStyle w:val="5"/>
        <w:snapToGrid w:val="0"/>
        <w:spacing w:before="0" w:after="0" w:line="620" w:lineRule="exact"/>
        <w:ind w:firstLine="640" w:firstLineChars="200"/>
        <w:rPr>
          <w:rFonts w:ascii="仿宋" w:hAnsi="仿宋" w:eastAsia="仿宋"/>
        </w:rPr>
      </w:pPr>
      <w:bookmarkStart w:id="94" w:name="_Toc15396621"/>
      <w:bookmarkStart w:id="95" w:name="_Toc1814"/>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94"/>
      <w:bookmarkEnd w:id="95"/>
    </w:p>
    <w:p>
      <w:pPr>
        <w:pStyle w:val="5"/>
        <w:snapToGrid w:val="0"/>
        <w:spacing w:before="0" w:after="0" w:line="620" w:lineRule="exact"/>
        <w:ind w:firstLine="640" w:firstLineChars="200"/>
        <w:rPr>
          <w:rFonts w:ascii="仿宋" w:hAnsi="仿宋" w:eastAsia="仿宋"/>
          <w:b w:val="0"/>
        </w:rPr>
      </w:pPr>
      <w:bookmarkStart w:id="96" w:name="_Toc15396622"/>
      <w:bookmarkStart w:id="97" w:name="_Toc1165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96"/>
      <w:bookmarkEnd w:id="97"/>
    </w:p>
    <w:p>
      <w:pPr>
        <w:pStyle w:val="5"/>
        <w:snapToGrid w:val="0"/>
        <w:spacing w:before="0" w:after="0" w:line="620" w:lineRule="exact"/>
        <w:ind w:firstLine="640" w:firstLineChars="200"/>
        <w:rPr>
          <w:rStyle w:val="27"/>
          <w:rFonts w:ascii="仿宋" w:hAnsi="仿宋" w:eastAsia="仿宋"/>
          <w:b w:val="0"/>
          <w:bCs w:val="0"/>
        </w:rPr>
      </w:pPr>
      <w:bookmarkStart w:id="98" w:name="_Toc15396623"/>
      <w:bookmarkStart w:id="99" w:name="_Toc26044"/>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98"/>
      <w:bookmarkEnd w:id="99"/>
      <w:bookmarkStart w:id="100" w:name="_Toc15396624"/>
    </w:p>
    <w:p>
      <w:pPr>
        <w:pStyle w:val="5"/>
        <w:snapToGrid w:val="0"/>
        <w:spacing w:before="0" w:after="0" w:line="620" w:lineRule="exact"/>
        <w:ind w:firstLine="640" w:firstLineChars="200"/>
        <w:rPr>
          <w:rFonts w:ascii="仿宋" w:hAnsi="仿宋" w:eastAsia="仿宋"/>
        </w:rPr>
      </w:pPr>
      <w:bookmarkStart w:id="101" w:name="_Toc1662"/>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100"/>
      <w:bookmarkEnd w:id="101"/>
    </w:p>
    <w:p>
      <w:pPr>
        <w:pStyle w:val="5"/>
        <w:snapToGrid w:val="0"/>
        <w:spacing w:before="0" w:after="0" w:line="620" w:lineRule="exact"/>
        <w:ind w:firstLine="640" w:firstLineChars="200"/>
        <w:rPr>
          <w:rFonts w:ascii="仿宋" w:hAnsi="仿宋" w:eastAsia="仿宋"/>
        </w:rPr>
      </w:pPr>
      <w:bookmarkStart w:id="102" w:name="_Toc15396625"/>
      <w:bookmarkStart w:id="103" w:name="_Toc9260"/>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102"/>
      <w:bookmarkEnd w:id="103"/>
    </w:p>
    <w:p>
      <w:pPr>
        <w:pStyle w:val="5"/>
        <w:snapToGrid w:val="0"/>
        <w:spacing w:before="0" w:after="0" w:line="620" w:lineRule="exact"/>
        <w:ind w:firstLine="640" w:firstLineChars="200"/>
        <w:rPr>
          <w:rFonts w:ascii="仿宋" w:hAnsi="仿宋" w:eastAsia="仿宋"/>
        </w:rPr>
      </w:pPr>
      <w:bookmarkStart w:id="104" w:name="_Toc15396626"/>
      <w:bookmarkStart w:id="105" w:name="_Toc30388"/>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104"/>
      <w:bookmarkEnd w:id="105"/>
    </w:p>
    <w:p>
      <w:pPr>
        <w:pStyle w:val="5"/>
        <w:snapToGrid w:val="0"/>
        <w:spacing w:before="0" w:after="0" w:line="620" w:lineRule="exact"/>
        <w:ind w:firstLine="640" w:firstLineChars="200"/>
        <w:rPr>
          <w:rFonts w:ascii="仿宋" w:hAnsi="仿宋" w:eastAsia="仿宋"/>
        </w:rPr>
      </w:pPr>
      <w:bookmarkStart w:id="106" w:name="_Toc15396627"/>
      <w:bookmarkStart w:id="107" w:name="_Toc14865"/>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106"/>
      <w:bookmarkEnd w:id="107"/>
    </w:p>
    <w:p>
      <w:pPr>
        <w:pStyle w:val="5"/>
        <w:snapToGrid w:val="0"/>
        <w:spacing w:before="0" w:after="0" w:line="620" w:lineRule="exact"/>
        <w:ind w:firstLine="640" w:firstLineChars="200"/>
        <w:rPr>
          <w:rFonts w:ascii="仿宋" w:hAnsi="仿宋" w:eastAsia="仿宋"/>
        </w:rPr>
      </w:pPr>
      <w:bookmarkStart w:id="108" w:name="_Toc15396628"/>
      <w:bookmarkStart w:id="109" w:name="_Toc17930"/>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108"/>
      <w:bookmarkEnd w:id="109"/>
    </w:p>
    <w:p>
      <w:pPr>
        <w:pStyle w:val="5"/>
        <w:snapToGrid w:val="0"/>
        <w:spacing w:before="0" w:after="0" w:line="620" w:lineRule="exact"/>
        <w:ind w:firstLine="640" w:firstLineChars="200"/>
        <w:rPr>
          <w:rFonts w:ascii="仿宋" w:hAnsi="仿宋" w:eastAsia="仿宋"/>
        </w:rPr>
      </w:pPr>
      <w:bookmarkStart w:id="110" w:name="_Toc15396629"/>
      <w:bookmarkStart w:id="111" w:name="_Toc19228"/>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110"/>
      <w:bookmarkEnd w:id="111"/>
    </w:p>
    <w:p>
      <w:pPr>
        <w:pStyle w:val="5"/>
        <w:snapToGrid w:val="0"/>
        <w:spacing w:before="0" w:after="0" w:line="620" w:lineRule="exact"/>
        <w:ind w:firstLine="640" w:firstLineChars="200"/>
        <w:rPr>
          <w:rFonts w:ascii="仿宋" w:hAnsi="仿宋" w:eastAsia="仿宋"/>
        </w:rPr>
      </w:pPr>
      <w:bookmarkStart w:id="112" w:name="_Toc15396630"/>
      <w:bookmarkStart w:id="113" w:name="_Toc32608"/>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112"/>
      <w:bookmarkEnd w:id="113"/>
    </w:p>
    <w:p>
      <w:pPr>
        <w:pStyle w:val="5"/>
        <w:snapToGrid w:val="0"/>
        <w:spacing w:before="0" w:after="0" w:line="620" w:lineRule="exact"/>
        <w:ind w:firstLine="640" w:firstLineChars="200"/>
        <w:rPr>
          <w:rStyle w:val="27"/>
          <w:rFonts w:ascii="仿宋" w:hAnsi="仿宋" w:eastAsia="仿宋"/>
          <w:b w:val="0"/>
          <w:bCs w:val="0"/>
        </w:rPr>
      </w:pPr>
      <w:bookmarkStart w:id="114" w:name="_Toc15396631"/>
      <w:bookmarkStart w:id="115" w:name="_Toc7384"/>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114"/>
      <w:bookmarkEnd w:id="115"/>
    </w:p>
    <w:p>
      <w:pPr>
        <w:snapToGrid w:val="0"/>
        <w:spacing w:line="620" w:lineRule="exact"/>
        <w:ind w:firstLine="640" w:firstLineChars="200"/>
        <w:outlineLvl w:val="1"/>
        <w:rPr>
          <w:rFonts w:eastAsia="仿宋"/>
        </w:rPr>
      </w:pPr>
      <w:bookmarkStart w:id="116" w:name="_Toc18325"/>
      <w:r>
        <w:rPr>
          <w:rStyle w:val="27"/>
          <w:rFonts w:hint="eastAsia" w:ascii="仿宋" w:hAnsi="仿宋" w:eastAsia="仿宋"/>
          <w:b w:val="0"/>
          <w:bCs w:val="0"/>
        </w:rPr>
        <w:t>十四、国有资本经营预算财政拨款支出决算表</w:t>
      </w:r>
      <w:bookmarkEnd w:id="116"/>
    </w:p>
    <w:sectPr>
      <w:footerReference r:id="rId5" w:type="default"/>
      <w:pgSz w:w="11906" w:h="16838"/>
      <w:pgMar w:top="1701" w:right="1474" w:bottom="1701" w:left="1587"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黑体简体">
    <w:altName w:val="方正小标宋简体"/>
    <w:panose1 w:val="00000000000000000000"/>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3C70E"/>
    <w:multiLevelType w:val="singleLevel"/>
    <w:tmpl w:val="9903C70E"/>
    <w:lvl w:ilvl="0" w:tentative="0">
      <w:start w:val="2"/>
      <w:numFmt w:val="chineseCounting"/>
      <w:suff w:val="space"/>
      <w:lvlText w:val="第%1部分"/>
      <w:lvlJc w:val="left"/>
      <w:pPr>
        <w:ind w:left="1397" w:firstLine="0"/>
      </w:pPr>
      <w:rPr>
        <w:rFonts w:hint="eastAsia"/>
      </w:rPr>
    </w:lvl>
  </w:abstractNum>
  <w:abstractNum w:abstractNumId="1">
    <w:nsid w:val="A6511799"/>
    <w:multiLevelType w:val="singleLevel"/>
    <w:tmpl w:val="A6511799"/>
    <w:lvl w:ilvl="0" w:tentative="0">
      <w:start w:val="1"/>
      <w:numFmt w:val="chineseCounting"/>
      <w:suff w:val="nothing"/>
      <w:lvlText w:val="%1、"/>
      <w:lvlJc w:val="left"/>
      <w:pPr>
        <w:ind w:left="200"/>
      </w:pPr>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lang w:val="en-US"/>
      </w:rPr>
    </w:lvl>
  </w:abstractNum>
  <w:abstractNum w:abstractNumId="3">
    <w:nsid w:val="D3F14049"/>
    <w:multiLevelType w:val="singleLevel"/>
    <w:tmpl w:val="D3F14049"/>
    <w:lvl w:ilvl="0" w:tentative="0">
      <w:start w:val="4"/>
      <w:numFmt w:val="chineseCounting"/>
      <w:suff w:val="nothing"/>
      <w:lvlText w:val="%1、"/>
      <w:lvlJc w:val="left"/>
      <w:rPr>
        <w:rFonts w:hint="eastAsia"/>
      </w:rPr>
    </w:lvl>
  </w:abstractNum>
  <w:abstractNum w:abstractNumId="4">
    <w:nsid w:val="E1C8AD10"/>
    <w:multiLevelType w:val="singleLevel"/>
    <w:tmpl w:val="E1C8AD10"/>
    <w:lvl w:ilvl="0" w:tentative="0">
      <w:start w:val="7"/>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6">
    <w:nsid w:val="02496C9C"/>
    <w:multiLevelType w:val="multilevel"/>
    <w:tmpl w:val="02496C9C"/>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1A81DA13"/>
    <w:multiLevelType w:val="singleLevel"/>
    <w:tmpl w:val="1A81DA13"/>
    <w:lvl w:ilvl="0" w:tentative="0">
      <w:start w:val="2"/>
      <w:numFmt w:val="decimal"/>
      <w:suff w:val="nothing"/>
      <w:lvlText w:val="%1．"/>
      <w:lvlJc w:val="left"/>
    </w:lvl>
  </w:abstractNum>
  <w:abstractNum w:abstractNumId="8">
    <w:nsid w:val="2DCE792B"/>
    <w:multiLevelType w:val="multilevel"/>
    <w:tmpl w:val="2DCE792B"/>
    <w:lvl w:ilvl="0" w:tentative="0">
      <w:start w:val="1"/>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9">
    <w:nsid w:val="4C7C73A5"/>
    <w:multiLevelType w:val="multilevel"/>
    <w:tmpl w:val="4C7C73A5"/>
    <w:lvl w:ilvl="0" w:tentative="0">
      <w:start w:val="1"/>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0">
    <w:nsid w:val="5D570C37"/>
    <w:multiLevelType w:val="multilevel"/>
    <w:tmpl w:val="5D570C37"/>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62A75D02"/>
    <w:multiLevelType w:val="multilevel"/>
    <w:tmpl w:val="62A75D02"/>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68EF85FF"/>
    <w:multiLevelType w:val="singleLevel"/>
    <w:tmpl w:val="68EF85FF"/>
    <w:lvl w:ilvl="0" w:tentative="0">
      <w:start w:val="1"/>
      <w:numFmt w:val="chineseCounting"/>
      <w:suff w:val="nothing"/>
      <w:lvlText w:val="%1、"/>
      <w:lvlJc w:val="left"/>
      <w:pPr>
        <w:ind w:left="200"/>
      </w:pPr>
      <w:rPr>
        <w:rFonts w:hint="eastAsia"/>
      </w:rPr>
    </w:lvl>
  </w:abstractNum>
  <w:abstractNum w:abstractNumId="13">
    <w:nsid w:val="6EDDA836"/>
    <w:multiLevelType w:val="singleLevel"/>
    <w:tmpl w:val="6EDDA836"/>
    <w:lvl w:ilvl="0" w:tentative="0">
      <w:start w:val="2"/>
      <w:numFmt w:val="decimal"/>
      <w:suff w:val="nothing"/>
      <w:lvlText w:val="%1．"/>
      <w:lvlJc w:val="left"/>
    </w:lvl>
  </w:abstractNum>
  <w:abstractNum w:abstractNumId="14">
    <w:nsid w:val="7103EB33"/>
    <w:multiLevelType w:val="singleLevel"/>
    <w:tmpl w:val="7103EB33"/>
    <w:lvl w:ilvl="0" w:tentative="0">
      <w:start w:val="2"/>
      <w:numFmt w:val="chineseCounting"/>
      <w:suff w:val="nothing"/>
      <w:lvlText w:val="（%1）"/>
      <w:lvlJc w:val="left"/>
      <w:rPr>
        <w:rFonts w:hint="eastAsia"/>
      </w:rPr>
    </w:lvl>
  </w:abstractNum>
  <w:abstractNum w:abstractNumId="15">
    <w:nsid w:val="77F20D0A"/>
    <w:multiLevelType w:val="singleLevel"/>
    <w:tmpl w:val="77F20D0A"/>
    <w:lvl w:ilvl="0" w:tentative="0">
      <w:start w:val="1"/>
      <w:numFmt w:val="chineseCounting"/>
      <w:suff w:val="nothing"/>
      <w:lvlText w:val="%1、"/>
      <w:lvlJc w:val="left"/>
      <w:rPr>
        <w:rFonts w:hint="eastAsia"/>
      </w:rPr>
    </w:lvl>
  </w:abstractNum>
  <w:num w:numId="1">
    <w:abstractNumId w:val="0"/>
  </w:num>
  <w:num w:numId="2">
    <w:abstractNumId w:val="15"/>
  </w:num>
  <w:num w:numId="3">
    <w:abstractNumId w:val="2"/>
  </w:num>
  <w:num w:numId="4">
    <w:abstractNumId w:val="5"/>
  </w:num>
  <w:num w:numId="5">
    <w:abstractNumId w:val="12"/>
  </w:num>
  <w:num w:numId="6">
    <w:abstractNumId w:val="6"/>
  </w:num>
  <w:num w:numId="7">
    <w:abstractNumId w:val="7"/>
  </w:num>
  <w:num w:numId="8">
    <w:abstractNumId w:val="13"/>
  </w:num>
  <w:num w:numId="9">
    <w:abstractNumId w:val="14"/>
  </w:num>
  <w:num w:numId="10">
    <w:abstractNumId w:val="3"/>
  </w:num>
  <w:num w:numId="11">
    <w:abstractNumId w:val="9"/>
  </w:num>
  <w:num w:numId="12">
    <w:abstractNumId w:val="10"/>
  </w:num>
  <w:num w:numId="13">
    <w:abstractNumId w:val="11"/>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TgxNWJhMzJmYTUzYzJiYmI5NDU3YTRjYzVlN2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3C83"/>
    <w:rsid w:val="001109B2"/>
    <w:rsid w:val="00114E9B"/>
    <w:rsid w:val="00142216"/>
    <w:rsid w:val="00144D6A"/>
    <w:rsid w:val="0014729F"/>
    <w:rsid w:val="00157BAB"/>
    <w:rsid w:val="001654D1"/>
    <w:rsid w:val="00174518"/>
    <w:rsid w:val="00180432"/>
    <w:rsid w:val="0018106D"/>
    <w:rsid w:val="001877A7"/>
    <w:rsid w:val="00191536"/>
    <w:rsid w:val="00196687"/>
    <w:rsid w:val="001C0962"/>
    <w:rsid w:val="001D2814"/>
    <w:rsid w:val="001D7531"/>
    <w:rsid w:val="001E2B82"/>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B0D"/>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A75CE"/>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3FC3"/>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9F3"/>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5EB2"/>
    <w:rsid w:val="00A91760"/>
    <w:rsid w:val="00A93B00"/>
    <w:rsid w:val="00A93C21"/>
    <w:rsid w:val="00AA3D73"/>
    <w:rsid w:val="00AB64C9"/>
    <w:rsid w:val="00AC3C6A"/>
    <w:rsid w:val="00AD008F"/>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7D50"/>
    <w:rsid w:val="00B53C56"/>
    <w:rsid w:val="00B57DAF"/>
    <w:rsid w:val="00B77EA6"/>
    <w:rsid w:val="00B81598"/>
    <w:rsid w:val="00B841F1"/>
    <w:rsid w:val="00B944D6"/>
    <w:rsid w:val="00BB4DF0"/>
    <w:rsid w:val="00BC289F"/>
    <w:rsid w:val="00BC2D50"/>
    <w:rsid w:val="00BC5361"/>
    <w:rsid w:val="00BC5460"/>
    <w:rsid w:val="00BC6B50"/>
    <w:rsid w:val="00BD0E25"/>
    <w:rsid w:val="00BF3F60"/>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5275"/>
    <w:rsid w:val="00D00095"/>
    <w:rsid w:val="00D114F0"/>
    <w:rsid w:val="00D14A6A"/>
    <w:rsid w:val="00D20620"/>
    <w:rsid w:val="00D254F7"/>
    <w:rsid w:val="00D26091"/>
    <w:rsid w:val="00D2685C"/>
    <w:rsid w:val="00D2687A"/>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607D"/>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2EA3"/>
    <w:rsid w:val="00F2408F"/>
    <w:rsid w:val="00F240E9"/>
    <w:rsid w:val="00F25AC2"/>
    <w:rsid w:val="00F32482"/>
    <w:rsid w:val="00F36D8F"/>
    <w:rsid w:val="00F417B1"/>
    <w:rsid w:val="00F45853"/>
    <w:rsid w:val="00F602DF"/>
    <w:rsid w:val="00F754A1"/>
    <w:rsid w:val="00F81FD9"/>
    <w:rsid w:val="00F841AA"/>
    <w:rsid w:val="00F84A94"/>
    <w:rsid w:val="00F87E96"/>
    <w:rsid w:val="00FA23E8"/>
    <w:rsid w:val="00FD3CC1"/>
    <w:rsid w:val="00FF1E02"/>
    <w:rsid w:val="00FF30B4"/>
    <w:rsid w:val="010E34BC"/>
    <w:rsid w:val="012805FF"/>
    <w:rsid w:val="02D16390"/>
    <w:rsid w:val="03AC55EF"/>
    <w:rsid w:val="061D6D0E"/>
    <w:rsid w:val="0A2032A3"/>
    <w:rsid w:val="0A393F15"/>
    <w:rsid w:val="0B8A37D8"/>
    <w:rsid w:val="0C6904DC"/>
    <w:rsid w:val="0CF151AC"/>
    <w:rsid w:val="105941C2"/>
    <w:rsid w:val="10AA0A87"/>
    <w:rsid w:val="10C055FF"/>
    <w:rsid w:val="118107EC"/>
    <w:rsid w:val="11DD6519"/>
    <w:rsid w:val="14C96399"/>
    <w:rsid w:val="168E4293"/>
    <w:rsid w:val="16BB723D"/>
    <w:rsid w:val="17050F2E"/>
    <w:rsid w:val="171419D3"/>
    <w:rsid w:val="178766DD"/>
    <w:rsid w:val="17C05B4C"/>
    <w:rsid w:val="18015F3F"/>
    <w:rsid w:val="18D07C10"/>
    <w:rsid w:val="1A3312F4"/>
    <w:rsid w:val="1AB071B4"/>
    <w:rsid w:val="1B041CD2"/>
    <w:rsid w:val="1B785D1B"/>
    <w:rsid w:val="1BE8440E"/>
    <w:rsid w:val="1D155CEE"/>
    <w:rsid w:val="1E2B14E5"/>
    <w:rsid w:val="20F57F95"/>
    <w:rsid w:val="21944F55"/>
    <w:rsid w:val="21A60C8E"/>
    <w:rsid w:val="21BD0168"/>
    <w:rsid w:val="22C4269D"/>
    <w:rsid w:val="22D507CE"/>
    <w:rsid w:val="23D700A4"/>
    <w:rsid w:val="23EF26A8"/>
    <w:rsid w:val="240371BF"/>
    <w:rsid w:val="25B83F05"/>
    <w:rsid w:val="25C741E6"/>
    <w:rsid w:val="27842671"/>
    <w:rsid w:val="27DD7DE7"/>
    <w:rsid w:val="282F6886"/>
    <w:rsid w:val="28724840"/>
    <w:rsid w:val="29FD04D3"/>
    <w:rsid w:val="2A097C66"/>
    <w:rsid w:val="2A8F792B"/>
    <w:rsid w:val="2ABE7A3E"/>
    <w:rsid w:val="2C33078A"/>
    <w:rsid w:val="2C89076E"/>
    <w:rsid w:val="2D362876"/>
    <w:rsid w:val="2EA9088F"/>
    <w:rsid w:val="2EFA178C"/>
    <w:rsid w:val="2FA33193"/>
    <w:rsid w:val="30B46D73"/>
    <w:rsid w:val="31456F95"/>
    <w:rsid w:val="319F7F4E"/>
    <w:rsid w:val="324C7EAF"/>
    <w:rsid w:val="32DC0F96"/>
    <w:rsid w:val="3466001A"/>
    <w:rsid w:val="34EE6F87"/>
    <w:rsid w:val="351367B3"/>
    <w:rsid w:val="35654C75"/>
    <w:rsid w:val="36851396"/>
    <w:rsid w:val="38A91BD0"/>
    <w:rsid w:val="3997458B"/>
    <w:rsid w:val="39AE70AB"/>
    <w:rsid w:val="39E60773"/>
    <w:rsid w:val="3C0C0783"/>
    <w:rsid w:val="3E0B4882"/>
    <w:rsid w:val="3E6A2D2C"/>
    <w:rsid w:val="3E9C3F6D"/>
    <w:rsid w:val="3F9F3A96"/>
    <w:rsid w:val="41DB1250"/>
    <w:rsid w:val="420B38E3"/>
    <w:rsid w:val="45353093"/>
    <w:rsid w:val="466277F0"/>
    <w:rsid w:val="47C71016"/>
    <w:rsid w:val="493C27E9"/>
    <w:rsid w:val="496F39ED"/>
    <w:rsid w:val="499B199C"/>
    <w:rsid w:val="49FF41D3"/>
    <w:rsid w:val="4BE068DB"/>
    <w:rsid w:val="4BF6002B"/>
    <w:rsid w:val="4D3E7CBD"/>
    <w:rsid w:val="4E8C4626"/>
    <w:rsid w:val="4E9E13F5"/>
    <w:rsid w:val="4ECE2238"/>
    <w:rsid w:val="4EDD5E1C"/>
    <w:rsid w:val="4F686676"/>
    <w:rsid w:val="517C7493"/>
    <w:rsid w:val="51B356E0"/>
    <w:rsid w:val="51DB4B86"/>
    <w:rsid w:val="538227E8"/>
    <w:rsid w:val="53F1045F"/>
    <w:rsid w:val="54122FDB"/>
    <w:rsid w:val="55333C3E"/>
    <w:rsid w:val="55F4560C"/>
    <w:rsid w:val="563A62EE"/>
    <w:rsid w:val="56FB4F43"/>
    <w:rsid w:val="57390294"/>
    <w:rsid w:val="57EB3E30"/>
    <w:rsid w:val="5850359A"/>
    <w:rsid w:val="595E20F3"/>
    <w:rsid w:val="59A9272A"/>
    <w:rsid w:val="5A12533C"/>
    <w:rsid w:val="5A2C149F"/>
    <w:rsid w:val="5AFA5E4B"/>
    <w:rsid w:val="5CB35466"/>
    <w:rsid w:val="5DFB0E0A"/>
    <w:rsid w:val="60B56544"/>
    <w:rsid w:val="62731D94"/>
    <w:rsid w:val="639E6324"/>
    <w:rsid w:val="647A4C53"/>
    <w:rsid w:val="64AE0E88"/>
    <w:rsid w:val="64CA39A1"/>
    <w:rsid w:val="64E16127"/>
    <w:rsid w:val="66077D56"/>
    <w:rsid w:val="6A1C2E07"/>
    <w:rsid w:val="6A2565B6"/>
    <w:rsid w:val="6AB41C2B"/>
    <w:rsid w:val="6AF63CC3"/>
    <w:rsid w:val="6B8FD385"/>
    <w:rsid w:val="6C42054C"/>
    <w:rsid w:val="6C4A05C8"/>
    <w:rsid w:val="6E005A16"/>
    <w:rsid w:val="6ECD649B"/>
    <w:rsid w:val="6F871F4B"/>
    <w:rsid w:val="72734D90"/>
    <w:rsid w:val="737D6457"/>
    <w:rsid w:val="749B6D65"/>
    <w:rsid w:val="76BD6253"/>
    <w:rsid w:val="773C72BE"/>
    <w:rsid w:val="79E7B28D"/>
    <w:rsid w:val="79F404BC"/>
    <w:rsid w:val="7BD227A0"/>
    <w:rsid w:val="7D1319B4"/>
    <w:rsid w:val="7DE333A8"/>
    <w:rsid w:val="7F392B36"/>
    <w:rsid w:val="7F9F20EE"/>
    <w:rsid w:val="7FAA033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7"/>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Times New Roman"/>
      <w:color w:val="000000"/>
      <w:kern w:val="0"/>
      <w:sz w:val="28"/>
      <w:szCs w:val="21"/>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5">
    <w:name w:val="标题 2 Char"/>
    <w:basedOn w:val="15"/>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c:f>
              <c:strCache>
                <c:ptCount val="1"/>
                <c:pt idx="0">
                  <c:v>收支总计</c:v>
                </c:pt>
              </c:strCache>
            </c:strRef>
          </c:cat>
          <c:val>
            <c:numRef>
              <c:f>Sheet1!$B$2</c:f>
              <c:numCache>
                <c:formatCode>General</c:formatCode>
                <c:ptCount val="1"/>
                <c:pt idx="0">
                  <c:v>490.26</c:v>
                </c:pt>
              </c:numCache>
            </c:numRef>
          </c:val>
        </c:ser>
        <c:ser>
          <c:idx val="1"/>
          <c:order val="1"/>
          <c:tx>
            <c:strRef>
              <c:f>Sheet1!$C$1</c:f>
              <c:strCache>
                <c:ptCount val="1"/>
                <c:pt idx="0">
                  <c:v>2021</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c:f>
              <c:strCache>
                <c:ptCount val="1"/>
                <c:pt idx="0">
                  <c:v>收支总计</c:v>
                </c:pt>
              </c:strCache>
            </c:strRef>
          </c:cat>
          <c:val>
            <c:numRef>
              <c:f>Sheet1!$C$2</c:f>
              <c:numCache>
                <c:formatCode>General</c:formatCode>
                <c:ptCount val="1"/>
                <c:pt idx="0">
                  <c:v>516.55</c:v>
                </c:pt>
              </c:numCache>
            </c:numRef>
          </c:val>
        </c:ser>
        <c:dLbls>
          <c:showLegendKey val="false"/>
          <c:showVal val="true"/>
          <c:showCatName val="false"/>
          <c:showSerName val="false"/>
          <c:showPercent val="false"/>
          <c:showBubbleSize val="false"/>
        </c:dLbls>
        <c:gapWidth val="65"/>
        <c:axId val="514537856"/>
        <c:axId val="514530312"/>
      </c:barChart>
      <c:catAx>
        <c:axId val="514537856"/>
        <c:scaling>
          <c:orientation val="minMax"/>
        </c:scaling>
        <c:delete val="false"/>
        <c:axPos val="b"/>
        <c:numFmt formatCode="General" sourceLinked="true"/>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514530312"/>
        <c:crosses val="autoZero"/>
        <c:auto val="true"/>
        <c:lblAlgn val="ctr"/>
        <c:lblOffset val="100"/>
        <c:noMultiLvlLbl val="false"/>
      </c:catAx>
      <c:valAx>
        <c:axId val="514530312"/>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514537856"/>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manualLayout>
                  <c:x val="-0.0441459184332534"/>
                  <c:y val="-0.1331269349845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450.33, 99.35%</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329280038526366"/>
                      <c:h val="0.160990712074303"/>
                    </c:manualLayout>
                  </c15:layout>
                </c:ext>
              </c:extLst>
            </c:dLbl>
            <c:dLbl>
              <c:idx val="1"/>
              <c:delete val="true"/>
            </c:dLbl>
            <c:dLbl>
              <c:idx val="2"/>
              <c:delete val="true"/>
            </c:dLbl>
            <c:dLbl>
              <c:idx val="3"/>
              <c:delete val="true"/>
            </c:dLbl>
            <c:dLbl>
              <c:idx val="4"/>
              <c:delete val="true"/>
            </c:dLbl>
            <c:dLbl>
              <c:idx val="5"/>
              <c:delete val="true"/>
            </c:dLbl>
            <c:dLbl>
              <c:idx val="6"/>
              <c:layout>
                <c:manualLayout>
                  <c:x val="-0.150802964308168"/>
                  <c:y val="0.0056057763977109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其它收入</a:t>
                    </a:r>
                    <a:r>
                      <a:rPr lang="en-US" altLang="zh-CN"/>
                      <a:t>, 2.96, 0.65%</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69323380688659"/>
                      <c:h val="0.11186790505676"/>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3329.86</c:v>
                </c:pt>
                <c:pt idx="1">
                  <c:v>0</c:v>
                </c:pt>
                <c:pt idx="2">
                  <c:v>0</c:v>
                </c:pt>
                <c:pt idx="3">
                  <c:v>0</c:v>
                </c:pt>
                <c:pt idx="4">
                  <c:v>0</c:v>
                </c:pt>
                <c:pt idx="5">
                  <c:v>0</c:v>
                </c:pt>
                <c:pt idx="6">
                  <c:v>112.14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144976606928691"/>
                  <c:y val="0.54295718121899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基本支出</a:t>
                    </a:r>
                    <a:r>
                      <a:rPr lang="en-US" altLang="zh-CN"/>
                      <a:t>, 466.45, 95.37%</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8191964909874"/>
                  <c:y val="-0.61353570583022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项目支出</a:t>
                    </a:r>
                    <a:r>
                      <a:rPr lang="en-US" altLang="zh-CN"/>
                      <a:t>, 21.6, 4.63%</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delete val="true"/>
            </c:dLbl>
            <c:dLbl>
              <c:idx val="4"/>
              <c:delete val="true"/>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1183.52</c:v>
                </c:pt>
                <c:pt idx="1">
                  <c:v>5411.15</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971403486767841"/>
          <c:y val="0.115508021390374"/>
        </c:manualLayout>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manualLayout>
          <c:layoutTarget val="inner"/>
          <c:xMode val="edge"/>
          <c:yMode val="edge"/>
          <c:x val="0.110109682187038"/>
          <c:y val="0.0538324420677362"/>
          <c:w val="0.802166349721575"/>
          <c:h val="0.847475195631506"/>
        </c:manualLayout>
      </c:layout>
      <c:barChart>
        <c:barDir val="col"/>
        <c:grouping val="clustered"/>
        <c:varyColors val="false"/>
        <c:ser>
          <c:idx val="2"/>
          <c:order val="2"/>
          <c:tx>
            <c:strRef>
              <c:f>Sheet1!$B$1</c:f>
              <c:strCache>
                <c:ptCount val="1"/>
                <c:pt idx="0">
                  <c:v>一般公共预算财政拨款支出（万元）</c:v>
                </c:pt>
              </c:strCache>
            </c:strRef>
          </c:tx>
          <c:spPr>
            <a:solidFill>
              <a:schemeClr val="accent3"/>
            </a:solidFill>
            <a:ln>
              <a:noFill/>
            </a:ln>
            <a:effectLst/>
          </c:spPr>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r>
                      <a:rPr lang="en-US" altLang="zh-CN"/>
                      <a:t>463.49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r>
                      <a:rPr lang="en-US" altLang="zh-CN"/>
                      <a:t>424.29</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2020年</c:v>
                </c:pt>
              </c:strCache>
            </c:strRef>
          </c:cat>
          <c:val>
            <c:numRef>
              <c:f>Sheet1!$B$2:$B$3</c:f>
              <c:numCache>
                <c:formatCode>General</c:formatCode>
                <c:ptCount val="2"/>
                <c:pt idx="0">
                  <c:v>463.49</c:v>
                </c:pt>
                <c:pt idx="1">
                  <c:v>424.29</c:v>
                </c:pt>
              </c:numCache>
            </c:numRef>
          </c:val>
        </c:ser>
        <c:dLbls>
          <c:showLegendKey val="false"/>
          <c:showVal val="true"/>
          <c:showCatName val="false"/>
          <c:showSerName val="false"/>
          <c:showPercent val="false"/>
          <c:showBubbleSize val="false"/>
        </c:dLbls>
        <c:gapWidth val="216"/>
        <c:overlap val="-32"/>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2021年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5577080"/>
        <c:crosses val="autoZero"/>
        <c:auto val="false"/>
        <c:lblAlgn val="ctr"/>
        <c:lblOffset val="100"/>
        <c:noMultiLvlLbl val="false"/>
      </c:catAx>
      <c:valAx>
        <c:axId val="415577080"/>
        <c:scaling>
          <c:orientation val="minMax"/>
        </c:scaling>
        <c:delete val="false"/>
        <c:axPos val="l"/>
        <c:majorGridlines>
          <c:spPr>
            <a:ln w="9525" cap="flat" cmpd="sng" algn="ctr">
              <a:solidFill>
                <a:schemeClr val="bg1">
                  <a:lumMod val="90200"/>
                </a:schemeClr>
              </a:solidFill>
              <a:round/>
            </a:ln>
            <a:effectLst/>
          </c:spPr>
        </c:majorGridlines>
        <c:title>
          <c:layout/>
          <c:overlay val="false"/>
          <c:spPr>
            <a:noFill/>
            <a:ln>
              <a:noFill/>
            </a:ln>
            <a:effectLst/>
          </c:spPr>
          <c:txPr>
            <a:bodyPr rot="-5400000" spcFirstLastPara="0"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557747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Lbls>
            <c:dLbl>
              <c:idx val="0"/>
              <c:layout>
                <c:manualLayout>
                  <c:x val="-0.00415685620961155"/>
                  <c:y val="-0.26080386823813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教育支出</a:t>
                    </a:r>
                    <a:r>
                      <a:rPr lang="en-US" altLang="zh-CN"/>
                      <a:t>, 419.48 90.5%</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89776407300892"/>
                  <c:y val="0"/>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社会保障和就业支出</a:t>
                    </a:r>
                    <a:r>
                      <a:rPr lang="en-US" altLang="zh-CN"/>
                      <a:t>, 29.92, 6.46%</a:t>
                    </a:r>
                    <a:endParaRPr lang="en-US" altLang="zh-CN"/>
                  </a:p>
                </c:rich>
              </c:tx>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92066155321189"/>
                      <c:h val="0.238742822605017"/>
                    </c:manualLayout>
                  </c15:layout>
                </c:ext>
              </c:extLst>
            </c:dLbl>
            <c:dLbl>
              <c:idx val="2"/>
              <c:layout>
                <c:manualLayout>
                  <c:x val="0.223909060109154"/>
                  <c:y val="0"/>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 14.09,3.04%</a:t>
                    </a:r>
                    <a:endParaRPr lang="en-US" altLang="zh-CN"/>
                  </a:p>
                </c:rich>
              </c:tx>
              <c:dLblPos val="bestFit"/>
              <c:showLegendKey val="false"/>
              <c:showVal val="true"/>
              <c:showCatName val="true"/>
              <c:showSerName val="false"/>
              <c:showPercent val="false"/>
              <c:showBubbleSize val="false"/>
              <c:extLst>
                <c:ext xmlns:c15="http://schemas.microsoft.com/office/drawing/2012/chart" uri="{CE6537A1-D6FC-4f65-9D91-7224C49458BB}">
                  <c15:layout>
                    <c:manualLayout>
                      <c:w val="0.350910834132311"/>
                      <c:h val="0.119975823511635"/>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6339.1</c:v>
                </c:pt>
                <c:pt idx="1">
                  <c:v>104.3</c:v>
                </c:pt>
                <c:pt idx="2">
                  <c:v>39.15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53</Pages>
  <Words>3754</Words>
  <Characters>21403</Characters>
  <Lines>178</Lines>
  <Paragraphs>50</Paragraphs>
  <TotalTime>65</TotalTime>
  <ScaleCrop>false</ScaleCrop>
  <LinksUpToDate>false</LinksUpToDate>
  <CharactersWithSpaces>25107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2022-08-06T10:23:00Z</cp:lastPrinted>
  <dcterms:modified xsi:type="dcterms:W3CDTF">2023-09-23T15:30:03Z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2C5E7F1E9E2847B18787249914E31A64_13</vt:lpwstr>
  </property>
</Properties>
</file>