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5396475"/>
      <w:bookmarkStart w:id="4" w:name="_Toc15377193"/>
      <w:bookmarkStart w:id="5"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96476"/>
      <w:bookmarkStart w:id="8" w:name="_Toc15377426"/>
      <w:bookmarkStart w:id="9" w:name="_Toc15396598"/>
      <w:bookmarkStart w:id="10" w:name="_Toc15377194"/>
      <w:bookmarkStart w:id="11" w:name="_Toc15378442"/>
      <w:r>
        <w:rPr>
          <w:rFonts w:hint="eastAsia" w:ascii="方正小标宋简体" w:hAnsi="方正小标宋简体" w:eastAsia="方正小标宋简体" w:cs="方正小标宋简体"/>
          <w:sz w:val="72"/>
          <w:szCs w:val="72"/>
        </w:rPr>
        <w:t>广元市利州区万缘第一幼儿园部门决算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 29 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一、职能简介</w:t>
      </w:r>
    </w:p>
    <w:p>
      <w:pPr>
        <w:pStyle w:val="11"/>
        <w:adjustRightInd w:val="0"/>
        <w:snapToGrid w:val="0"/>
        <w:spacing w:line="440" w:lineRule="exact"/>
        <w:jc w:val="left"/>
        <w:rPr>
          <w:sz w:val="24"/>
        </w:rPr>
      </w:pPr>
      <w:r>
        <w:rPr>
          <w:rFonts w:hint="eastAsia" w:asciiTheme="minorEastAsia" w:hAnsiTheme="minorEastAsia" w:eastAsiaTheme="minorEastAsia" w:cstheme="minorEastAsia"/>
          <w:sz w:val="24"/>
        </w:rPr>
        <w:t>二、2021年重点工作完成情况</w:t>
      </w:r>
    </w:p>
    <w:p>
      <w:pPr>
        <w:pStyle w:val="10"/>
        <w:adjustRightInd w:val="0"/>
        <w:snapToGrid w:val="0"/>
        <w:spacing w:before="0" w:line="440" w:lineRule="exact"/>
        <w:jc w:val="left"/>
        <w:rPr>
          <w:sz w:val="24"/>
          <w:szCs w:val="24"/>
        </w:rPr>
      </w:pPr>
      <w:r>
        <w:rPr>
          <w:rFonts w:hint="eastAsia"/>
          <w:sz w:val="24"/>
        </w:rPr>
        <w:t>第二部分 2021年度单位决算情况说明</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cstheme="minorBidi"/>
          <w:sz w:val="24"/>
        </w:rPr>
      </w:pPr>
      <w:r>
        <w:rPr>
          <w:rFonts w:hint="eastAsia"/>
          <w:sz w:val="24"/>
        </w:rPr>
        <w:t>二、收入决算情况说明</w:t>
      </w:r>
    </w:p>
    <w:p>
      <w:pPr>
        <w:pStyle w:val="11"/>
        <w:adjustRightInd w:val="0"/>
        <w:snapToGrid w:val="0"/>
        <w:spacing w:line="440" w:lineRule="exact"/>
        <w:jc w:val="left"/>
        <w:rPr>
          <w:rFonts w:ascii="仿宋" w:hAnsi="仿宋" w:cstheme="minorBidi"/>
          <w:sz w:val="24"/>
        </w:rPr>
      </w:pPr>
      <w:r>
        <w:rPr>
          <w:rFonts w:hint="eastAsia"/>
          <w:sz w:val="24"/>
        </w:rPr>
        <w:t>三、支出决算情况说明</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cstheme="minorBidi"/>
          <w:sz w:val="24"/>
        </w:rPr>
      </w:pPr>
      <w:r>
        <w:rPr>
          <w:rFonts w:hint="eastAsia"/>
          <w:sz w:val="24"/>
        </w:rPr>
        <w:t>七、“三公”经费财政拨款支出决算情况说明</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rPr>
      </w:pPr>
      <w:r>
        <w:rPr>
          <w:rFonts w:hint="eastAsia"/>
          <w:sz w:val="24"/>
        </w:rPr>
        <w:t>第四部分</w:t>
      </w:r>
      <w:r>
        <w:rPr>
          <w:sz w:val="24"/>
        </w:rPr>
        <w:t xml:space="preserve"> </w:t>
      </w:r>
      <w:r>
        <w:rPr>
          <w:rFonts w:hint="eastAsia"/>
          <w:sz w:val="24"/>
        </w:rPr>
        <w:t>附件</w:t>
      </w:r>
    </w:p>
    <w:p>
      <w:pPr>
        <w:spacing w:line="572" w:lineRule="exact"/>
        <w:rPr>
          <w:sz w:val="24"/>
        </w:rPr>
      </w:pPr>
      <w:r>
        <w:rPr>
          <w:rFonts w:hint="eastAsia"/>
          <w:sz w:val="24"/>
        </w:rPr>
        <w:t>附件1：广元市利州区万缘第一幼儿园2021年部门整体绩效评价报告</w:t>
      </w:r>
    </w:p>
    <w:p>
      <w:pPr>
        <w:pStyle w:val="11"/>
        <w:adjustRightInd w:val="0"/>
        <w:snapToGrid w:val="0"/>
        <w:spacing w:line="440" w:lineRule="exact"/>
        <w:ind w:left="0" w:leftChars="0"/>
        <w:jc w:val="left"/>
        <w:rPr>
          <w:sz w:val="24"/>
        </w:rPr>
      </w:pPr>
      <w:r>
        <w:rPr>
          <w:rFonts w:hint="eastAsia"/>
          <w:sz w:val="24"/>
        </w:rPr>
        <w:t>附件2：广元市利州区万缘第一幼儿园2021年学前教育专项发展资金项目</w:t>
      </w:r>
      <w:r>
        <w:rPr>
          <w:rFonts w:hint="eastAsia"/>
          <w:sz w:val="24"/>
          <w:lang w:val="zh-CN"/>
        </w:rPr>
        <w:t>支出绩效自评报告</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十、一般公共预算财政拨款“三公”经费支出决算表</w:t>
      </w:r>
    </w:p>
    <w:p>
      <w:pPr>
        <w:pStyle w:val="11"/>
        <w:adjustRightInd w:val="0"/>
        <w:snapToGrid w:val="0"/>
        <w:spacing w:line="440" w:lineRule="exact"/>
        <w:jc w:val="left"/>
        <w:rPr>
          <w:sz w:val="24"/>
        </w:rPr>
      </w:pPr>
      <w:r>
        <w:rPr>
          <w:rFonts w:hint="eastAsia"/>
          <w:sz w:val="24"/>
        </w:rPr>
        <w:t>十一、政府性基金预算财政拨款收入支出决算表</w:t>
      </w:r>
    </w:p>
    <w:p>
      <w:pPr>
        <w:pStyle w:val="11"/>
        <w:adjustRightInd w:val="0"/>
        <w:snapToGrid w:val="0"/>
        <w:spacing w:line="440" w:lineRule="exact"/>
        <w:jc w:val="left"/>
        <w:rPr>
          <w:sz w:val="24"/>
        </w:rPr>
      </w:pPr>
      <w:r>
        <w:rPr>
          <w:rFonts w:hint="eastAsia"/>
          <w:sz w:val="24"/>
        </w:rPr>
        <w:t>十二、政府性基金预算财政拨款“三公”经费支出决算表</w:t>
      </w:r>
    </w:p>
    <w:p>
      <w:pPr>
        <w:pStyle w:val="11"/>
        <w:adjustRightInd w:val="0"/>
        <w:snapToGrid w:val="0"/>
        <w:spacing w:line="440" w:lineRule="exact"/>
        <w:jc w:val="left"/>
        <w:rPr>
          <w:sz w:val="24"/>
        </w:rPr>
      </w:pPr>
      <w:r>
        <w:rPr>
          <w:rFonts w:hint="eastAsia"/>
          <w:sz w:val="24"/>
        </w:rPr>
        <w:t>十三、国有资本经营预算财政拨款收入支出决算表</w:t>
      </w:r>
    </w:p>
    <w:p>
      <w:pPr>
        <w:pStyle w:val="11"/>
        <w:adjustRightInd w:val="0"/>
        <w:snapToGrid w:val="0"/>
        <w:spacing w:line="440" w:lineRule="exact"/>
        <w:jc w:val="left"/>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sz w:val="24"/>
        </w:rPr>
        <w:t>十四、国有资本经营预算财政拨款支出决算表</w:t>
      </w:r>
      <w:bookmarkStart w:id="12" w:name="_Toc15396599"/>
      <w:bookmarkStart w:id="13" w:name="_Toc15377196"/>
      <w:r>
        <w:t xml:space="preserve"> </w:t>
      </w:r>
    </w:p>
    <w:p>
      <w:pPr>
        <w:pStyle w:val="3"/>
        <w:numPr>
          <w:ilvl w:val="0"/>
          <w:numId w:val="1"/>
        </w:numPr>
        <w:jc w:val="center"/>
      </w:pPr>
      <w:r>
        <w:rPr>
          <w:rFonts w:hint="eastAsia" w:ascii="黑体" w:hAnsi="黑体" w:eastAsia="黑体"/>
          <w:b w:val="0"/>
        </w:rPr>
        <w:t>单位</w:t>
      </w:r>
      <w:r>
        <w:rPr>
          <w:rStyle w:val="24"/>
          <w:rFonts w:hint="eastAsia" w:ascii="黑体" w:hAnsi="黑体" w:eastAsia="黑体"/>
          <w:b w:val="0"/>
          <w:bCs w:val="0"/>
        </w:rPr>
        <w:t>概况</w:t>
      </w:r>
      <w:bookmarkEnd w:id="12"/>
      <w:bookmarkEnd w:id="13"/>
      <w:bookmarkStart w:id="14" w:name="_Toc15396600"/>
      <w:bookmarkStart w:id="15" w:name="_Toc15377197"/>
    </w:p>
    <w:p>
      <w:pPr>
        <w:pStyle w:val="23"/>
        <w:numPr>
          <w:ilvl w:val="0"/>
          <w:numId w:val="2"/>
        </w:numPr>
        <w:ind w:firstLineChars="0"/>
        <w:rPr>
          <w:rFonts w:ascii="仿宋_GB2312" w:hAnsi="宋体" w:eastAsia="仿宋_GB2312" w:cs="宋体"/>
          <w:kern w:val="0"/>
          <w:sz w:val="32"/>
          <w:szCs w:val="32"/>
          <w:shd w:val="clear" w:color="auto" w:fill="FFFFFF"/>
          <w:lang w:val="zh-CN"/>
        </w:rPr>
      </w:pPr>
      <w:r>
        <w:rPr>
          <w:rStyle w:val="24"/>
          <w:rFonts w:hint="eastAsia" w:ascii="黑体" w:hAnsi="黑体" w:eastAsia="黑体"/>
          <w:b w:val="0"/>
          <w:bCs w:val="0"/>
          <w:sz w:val="32"/>
          <w:szCs w:val="32"/>
        </w:rPr>
        <w:t>职能简介及</w:t>
      </w:r>
      <w:r>
        <w:rPr>
          <w:rFonts w:hint="eastAsia" w:ascii="仿宋_GB2312" w:hAnsi="宋体" w:eastAsia="仿宋_GB2312" w:cs="宋体"/>
          <w:kern w:val="0"/>
          <w:sz w:val="32"/>
          <w:szCs w:val="32"/>
          <w:shd w:val="clear" w:color="auto" w:fill="FFFFFF"/>
          <w:lang w:val="zh-CN"/>
        </w:rPr>
        <w:t>机构组成。</w:t>
      </w:r>
    </w:p>
    <w:p>
      <w:pPr>
        <w:pStyle w:val="2"/>
        <w:spacing w:before="93"/>
        <w:rPr>
          <w:lang w:val="zh-CN"/>
        </w:rPr>
      </w:pPr>
      <w:r>
        <w:rPr>
          <w:rStyle w:val="24"/>
          <w:rFonts w:hint="eastAsia" w:ascii="黑体" w:hAnsi="黑体" w:eastAsia="黑体"/>
          <w:b w:val="0"/>
          <w:bCs w:val="0"/>
          <w:sz w:val="32"/>
          <w:szCs w:val="32"/>
        </w:rPr>
        <w:t>（一）.职能简介</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1.贯彻执行党和国家有关幼儿教育的方针、政策以及教育法规、规章，坚持正确的办园方向。</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2.执行上级的指示和决议；贯彻执行《幼儿教育纲要》和《幼儿园工作规程》，深化改革，强化管理，使各项工作程序化，规范化，制度化，不断提高保教水平。</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3.严格执行上级部门关于教育经费、教育拨款、教育基建的办法和方案；贯彻执行上级部门有关学生资助工作方针和政策，落实本园贫困家庭幼儿的资助工作。</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4.实行保育和教育相结合的原则，对幼儿实施体、智、德、美等方面全面发展的教育，促进其身心和谐发展。为家长解除后顾之忧，热忱为家长服务。</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8.尊重幼儿的人格尊严和基本权利，尊重幼儿身心发展的特点和规律，为幼儿提供健康、丰富的生活和活动环境。合理组织幼儿一日生活活动和其它活动，促进幼儿体智德美等和谐发展，全面实施素质教育。</w:t>
      </w:r>
    </w:p>
    <w:p>
      <w:pPr>
        <w:pStyle w:val="2"/>
        <w:spacing w:before="93"/>
        <w:rPr>
          <w:rFonts w:ascii="仿宋" w:hAnsi="仿宋" w:eastAsia="仿宋"/>
          <w:kern w:val="2"/>
          <w:sz w:val="32"/>
          <w:szCs w:val="32"/>
        </w:rPr>
      </w:pPr>
      <w:r>
        <w:rPr>
          <w:rFonts w:hint="eastAsia" w:ascii="仿宋" w:hAnsi="仿宋" w:eastAsia="仿宋"/>
          <w:kern w:val="2"/>
          <w:sz w:val="32"/>
          <w:szCs w:val="32"/>
        </w:rPr>
        <w:t>9.贯彻幼儿教育法规、传播科学教育理念、开展教育科学研究、培训师资，推动万缘片区学前教育的良性发展。</w:t>
      </w:r>
    </w:p>
    <w:p>
      <w:pPr>
        <w:pStyle w:val="2"/>
        <w:spacing w:before="93"/>
        <w:rPr>
          <w:lang w:val="zh-CN"/>
        </w:rPr>
      </w:pPr>
      <w:r>
        <w:rPr>
          <w:rStyle w:val="24"/>
          <w:rFonts w:hint="eastAsia" w:ascii="黑体" w:hAnsi="黑体" w:eastAsia="黑体"/>
          <w:b w:val="0"/>
          <w:bCs w:val="0"/>
          <w:sz w:val="32"/>
          <w:szCs w:val="32"/>
        </w:rPr>
        <w:t>（二）.机构设置</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 w:hAnsi="仿宋" w:eastAsia="仿宋"/>
          <w:sz w:val="32"/>
          <w:szCs w:val="32"/>
        </w:rPr>
        <w:t>我单位为广元市利州区教育局所属二级预算单位，内设部门4个（办公室、财务室、园务室、后勤处）。</w:t>
      </w:r>
    </w:p>
    <w:p>
      <w:pPr>
        <w:pStyle w:val="2"/>
        <w:spacing w:beforeLines="0"/>
        <w:ind w:firstLine="640" w:firstLineChars="200"/>
      </w:pPr>
      <w:r>
        <w:rPr>
          <w:rFonts w:hint="eastAsia" w:ascii="仿宋" w:hAnsi="仿宋" w:eastAsia="仿宋"/>
          <w:sz w:val="32"/>
          <w:szCs w:val="32"/>
        </w:rPr>
        <w:t xml:space="preserve">广元市利州区万缘第一幼儿园共有编制11名，其中行政编制0人，全额财政补助事业编制10人。截至2021年末，实有在职人员10人，临聘教职工33人，安保人员2人。 </w:t>
      </w:r>
    </w:p>
    <w:p>
      <w:pPr>
        <w:pStyle w:val="4"/>
        <w:spacing w:before="0" w:after="0"/>
      </w:pPr>
      <w:r>
        <w:rPr>
          <w:rFonts w:hint="eastAsia" w:ascii="黑体" w:hAnsi="黑体" w:eastAsia="黑体"/>
          <w:b w:val="0"/>
        </w:rPr>
        <w:t>三、2021年重点工作</w:t>
      </w:r>
      <w:bookmarkEnd w:id="14"/>
      <w:bookmarkEnd w:id="15"/>
      <w:r>
        <w:rPr>
          <w:rFonts w:hint="eastAsia" w:ascii="黑体" w:hAnsi="黑体" w:eastAsia="黑体"/>
          <w:b w:val="0"/>
        </w:rPr>
        <w:t>完成情况</w:t>
      </w:r>
    </w:p>
    <w:p>
      <w:pPr>
        <w:pStyle w:val="3"/>
        <w:spacing w:before="0" w:after="0"/>
        <w:ind w:right="440" w:firstLine="280" w:firstLineChars="100"/>
        <w:rPr>
          <w:rFonts w:ascii="黑体" w:hAnsi="黑体" w:eastAsia="黑体"/>
          <w:b w:val="0"/>
        </w:rPr>
      </w:pPr>
      <w:bookmarkStart w:id="16" w:name="_Toc15377204"/>
      <w:bookmarkStart w:id="17" w:name="_Toc15396602"/>
      <w:r>
        <w:rPr>
          <w:b w:val="0"/>
          <w:bCs w:val="0"/>
          <w:sz w:val="28"/>
          <w:szCs w:val="28"/>
        </w:rPr>
        <w:t>学校教育经费为学校各项工作的正常运转提供了强有力的保障，从而使学校圆满地完成了各项教育教学工作。保证了教职工的基本待遇和养老保险、基本医疗保险、住房公积金等社会保障缴费；同时也提高了幼儿的免保教费资金，使更广泛的幼儿享受到了党和国家的优惠政策。同时教育经费也为改善办学条件提供了有力的保障。</w:t>
      </w:r>
    </w:p>
    <w:p>
      <w:pPr>
        <w:pStyle w:val="3"/>
        <w:spacing w:before="0" w:after="0"/>
        <w:ind w:right="440" w:firstLine="440" w:firstLineChars="100"/>
      </w:pPr>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pPr>
        <w:pStyle w:val="23"/>
        <w:numPr>
          <w:ilvl w:val="0"/>
          <w:numId w:val="3"/>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ascii="仿宋" w:hAnsi="仿宋" w:eastAsia="仿宋"/>
          <w:sz w:val="32"/>
          <w:szCs w:val="32"/>
        </w:rPr>
        <w:t>369.82</w:t>
      </w:r>
      <w:r>
        <w:rPr>
          <w:rFonts w:hint="eastAsia" w:ascii="仿宋" w:hAnsi="仿宋" w:eastAsia="仿宋"/>
          <w:sz w:val="32"/>
          <w:szCs w:val="32"/>
        </w:rPr>
        <w:t>万元(含年初结转结余157.89万元)；2</w:t>
      </w:r>
      <w:r>
        <w:rPr>
          <w:rFonts w:ascii="仿宋" w:hAnsi="仿宋" w:eastAsia="仿宋"/>
          <w:sz w:val="32"/>
          <w:szCs w:val="32"/>
        </w:rPr>
        <w:t>020</w:t>
      </w:r>
      <w:r>
        <w:rPr>
          <w:rFonts w:hint="eastAsia" w:ascii="仿宋" w:hAnsi="仿宋" w:eastAsia="仿宋"/>
          <w:sz w:val="32"/>
          <w:szCs w:val="32"/>
        </w:rPr>
        <w:t>年未进入决算。主要变动原因是万缘第一幼儿园于2020年10月新成立，2021年1月财务独立。</w:t>
      </w:r>
    </w:p>
    <w:p>
      <w:pPr>
        <w:pStyle w:val="23"/>
        <w:numPr>
          <w:ilvl w:val="0"/>
          <w:numId w:val="3"/>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b/>
          <w:sz w:val="32"/>
          <w:szCs w:val="32"/>
        </w:rPr>
      </w:pPr>
      <w:r>
        <w:rPr>
          <w:rFonts w:hint="eastAsia" w:ascii="仿宋" w:hAnsi="仿宋" w:eastAsia="仿宋"/>
          <w:sz w:val="32"/>
          <w:szCs w:val="32"/>
        </w:rPr>
        <w:t>2021年本年收入合计</w:t>
      </w:r>
      <w:r>
        <w:rPr>
          <w:rFonts w:ascii="仿宋" w:hAnsi="仿宋" w:eastAsia="仿宋"/>
          <w:sz w:val="32"/>
          <w:szCs w:val="32"/>
        </w:rPr>
        <w:t>369.82</w:t>
      </w:r>
      <w:r>
        <w:rPr>
          <w:rFonts w:hint="eastAsia" w:ascii="仿宋" w:hAnsi="仿宋" w:eastAsia="仿宋"/>
          <w:sz w:val="32"/>
          <w:szCs w:val="32"/>
        </w:rPr>
        <w:t>万元，其中：一般公共预算财政拨款收入140.38万元，占</w:t>
      </w:r>
      <w:r>
        <w:rPr>
          <w:rFonts w:ascii="仿宋" w:hAnsi="仿宋" w:eastAsia="仿宋"/>
          <w:sz w:val="32"/>
          <w:szCs w:val="32"/>
        </w:rPr>
        <w:t>37.96</w:t>
      </w:r>
      <w:r>
        <w:rPr>
          <w:rFonts w:hint="eastAsia" w:ascii="仿宋" w:hAnsi="仿宋" w:eastAsia="仿宋"/>
          <w:sz w:val="32"/>
          <w:szCs w:val="32"/>
        </w:rPr>
        <w:t>%；年初结转结余157.89万元，占</w:t>
      </w:r>
      <w:r>
        <w:rPr>
          <w:rFonts w:ascii="仿宋" w:hAnsi="仿宋" w:eastAsia="仿宋"/>
          <w:sz w:val="32"/>
          <w:szCs w:val="32"/>
        </w:rPr>
        <w:t>42</w:t>
      </w:r>
      <w:r>
        <w:rPr>
          <w:rFonts w:hint="eastAsia" w:ascii="仿宋" w:hAnsi="仿宋" w:eastAsia="仿宋"/>
          <w:sz w:val="32"/>
          <w:szCs w:val="32"/>
        </w:rPr>
        <w:t>.</w:t>
      </w:r>
      <w:r>
        <w:rPr>
          <w:rFonts w:ascii="仿宋" w:hAnsi="仿宋" w:eastAsia="仿宋"/>
          <w:sz w:val="32"/>
          <w:szCs w:val="32"/>
        </w:rPr>
        <w:t>69</w:t>
      </w:r>
      <w:r>
        <w:rPr>
          <w:rFonts w:hint="eastAsia" w:ascii="仿宋" w:hAnsi="仿宋" w:eastAsia="仿宋"/>
          <w:sz w:val="32"/>
          <w:szCs w:val="32"/>
        </w:rPr>
        <w:t>%，其他收入71.55万元，占</w:t>
      </w:r>
      <w:r>
        <w:rPr>
          <w:rFonts w:ascii="仿宋" w:hAnsi="仿宋" w:eastAsia="仿宋"/>
          <w:sz w:val="32"/>
          <w:szCs w:val="32"/>
        </w:rPr>
        <w:t>19.34</w:t>
      </w:r>
      <w:r>
        <w:rPr>
          <w:rFonts w:hint="eastAsia" w:ascii="仿宋" w:hAnsi="仿宋" w:eastAsia="仿宋"/>
          <w:sz w:val="32"/>
          <w:szCs w:val="32"/>
        </w:rPr>
        <w:t>%。</w:t>
      </w: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3"/>
        <w:numPr>
          <w:ilvl w:val="0"/>
          <w:numId w:val="3"/>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647700</wp:posOffset>
            </wp:positionV>
            <wp:extent cx="5274310" cy="4114800"/>
            <wp:effectExtent l="0" t="0" r="254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sz w:val="32"/>
          <w:szCs w:val="32"/>
        </w:rPr>
        <w:t>20</w:t>
      </w:r>
      <w:r>
        <w:rPr>
          <w:rFonts w:hint="eastAsia" w:ascii="仿宋" w:hAnsi="仿宋" w:eastAsia="仿宋"/>
          <w:sz w:val="32"/>
          <w:szCs w:val="32"/>
        </w:rPr>
        <w:t>21年本年支出合计202.24万元，其中：基本支出187.42万元，占93</w:t>
      </w:r>
      <w:r>
        <w:rPr>
          <w:rFonts w:ascii="仿宋" w:hAnsi="仿宋" w:eastAsia="仿宋"/>
          <w:sz w:val="32"/>
          <w:szCs w:val="32"/>
        </w:rPr>
        <w:t>%</w:t>
      </w:r>
      <w:r>
        <w:rPr>
          <w:rFonts w:hint="eastAsia" w:ascii="仿宋" w:hAnsi="仿宋" w:eastAsia="仿宋"/>
          <w:sz w:val="32"/>
          <w:szCs w:val="32"/>
        </w:rPr>
        <w:t>；项目支出14.82万元，占7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b/>
          <w:sz w:val="32"/>
          <w:szCs w:val="32"/>
        </w:rPr>
      </w:pPr>
      <w:r>
        <w:rPr>
          <w:rFonts w:ascii="仿宋_GB2312" w:eastAsia="仿宋_GB2312"/>
          <w:sz w:val="32"/>
          <w:szCs w:val="32"/>
        </w:rPr>
        <w:drawing>
          <wp:anchor distT="0" distB="0" distL="114300" distR="114300" simplePos="0" relativeHeight="251658240" behindDoc="0" locked="0" layoutInCell="1" allowOverlap="1">
            <wp:simplePos x="0" y="0"/>
            <wp:positionH relativeFrom="column">
              <wp:posOffset>-285750</wp:posOffset>
            </wp:positionH>
            <wp:positionV relativeFrom="paragraph">
              <wp:posOffset>0</wp:posOffset>
            </wp:positionV>
            <wp:extent cx="6173470" cy="3267075"/>
            <wp:effectExtent l="0" t="0" r="1778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rPr>
          <w:rFonts w:ascii="仿宋" w:hAnsi="仿宋" w:eastAsia="仿宋"/>
          <w:color w:val="FAC090" w:themeColor="accent6" w:themeTint="99"/>
          <w:sz w:val="32"/>
          <w:szCs w:val="32"/>
          <w14:textFill>
            <w14:solidFill>
              <w14:schemeClr w14:val="accent6">
                <w14:lumMod w14:val="60000"/>
                <w14:lumOff w14:val="40000"/>
              </w14:schemeClr>
            </w14:solidFill>
          </w14:textFill>
        </w:rPr>
      </w:pPr>
      <w:r>
        <w:rPr>
          <w:rFonts w:hint="eastAsia" w:ascii="仿宋" w:hAnsi="仿宋" w:eastAsia="仿宋"/>
          <w:sz w:val="32"/>
          <w:szCs w:val="32"/>
        </w:rPr>
        <w:t>（图1：支出决算结构图）（饼状图）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21年财政拨款收入140.38万元，支出130.69万元，主要变动原因是万缘第一幼儿园于2020年10月新成立，2021年1月财务独立。</w:t>
      </w:r>
    </w:p>
    <w:p>
      <w:pPr>
        <w:spacing w:line="600" w:lineRule="exact"/>
        <w:ind w:firstLine="640"/>
        <w:rPr>
          <w:rFonts w:ascii="仿宋" w:hAnsi="仿宋" w:eastAsia="仿宋"/>
          <w:sz w:val="32"/>
          <w:szCs w:val="32"/>
        </w:rPr>
      </w:pPr>
      <w:r>
        <w:rPr>
          <w:rFonts w:ascii="仿宋_GB2312" w:eastAsia="仿宋_GB2312"/>
          <w:sz w:val="32"/>
          <w:szCs w:val="32"/>
        </w:rPr>
        <w:drawing>
          <wp:anchor distT="0" distB="0" distL="114300" distR="114300" simplePos="0" relativeHeight="251658240" behindDoc="1" locked="0" layoutInCell="1" allowOverlap="1">
            <wp:simplePos x="0" y="0"/>
            <wp:positionH relativeFrom="column">
              <wp:posOffset>17780</wp:posOffset>
            </wp:positionH>
            <wp:positionV relativeFrom="paragraph">
              <wp:posOffset>327025</wp:posOffset>
            </wp:positionV>
            <wp:extent cx="5309235" cy="2070735"/>
            <wp:effectExtent l="4445" t="4445" r="20320" b="20320"/>
            <wp:wrapTight wrapText="bothSides">
              <wp:wrapPolygon>
                <wp:start x="-18" y="-46"/>
                <wp:lineTo x="-18" y="21415"/>
                <wp:lineTo x="21528" y="21415"/>
                <wp:lineTo x="21528" y="-46"/>
                <wp:lineTo x="-18" y="-4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（图2：财政拨款收、支决算总计变动情况）（柱状图）</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21年一般公共预算财政拨款支出130.69万元，占本年支出合计的64</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21年一般公共预算财政拨款支出130.69万元，主要用于以下方面</w:t>
      </w:r>
      <w:r>
        <w:rPr>
          <w:rFonts w:ascii="仿宋" w:hAnsi="仿宋" w:eastAsia="仿宋"/>
          <w:sz w:val="32"/>
          <w:szCs w:val="32"/>
        </w:rPr>
        <w:t>:</w:t>
      </w:r>
      <w:r>
        <w:rPr>
          <w:rFonts w:hint="eastAsia" w:ascii="仿宋" w:hAnsi="仿宋" w:eastAsia="仿宋"/>
          <w:b/>
          <w:sz w:val="32"/>
          <w:szCs w:val="32"/>
        </w:rPr>
        <w:t>教育支出（类）129.35</w:t>
      </w:r>
      <w:r>
        <w:rPr>
          <w:rFonts w:hint="eastAsia" w:ascii="仿宋" w:hAnsi="仿宋" w:eastAsia="仿宋"/>
          <w:sz w:val="32"/>
          <w:szCs w:val="32"/>
        </w:rPr>
        <w:t>万元，占98.97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支出0.92万元，占0.71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卫生健康支出0.43</w:t>
      </w:r>
      <w:r>
        <w:rPr>
          <w:rFonts w:hint="eastAsia" w:ascii="仿宋" w:hAnsi="仿宋" w:eastAsia="仿宋"/>
          <w:sz w:val="32"/>
          <w:szCs w:val="32"/>
        </w:rPr>
        <w:t>万元，占0.32</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2021年一般公共预算支出决算数为130.69。</w:t>
      </w:r>
      <w:r>
        <w:rPr>
          <w:rStyle w:val="14"/>
          <w:rFonts w:hint="eastAsia" w:ascii="仿宋" w:hAnsi="仿宋" w:eastAsia="仿宋"/>
          <w:bCs/>
          <w:sz w:val="32"/>
          <w:szCs w:val="32"/>
        </w:rPr>
        <w:t>其中：</w:t>
      </w:r>
      <w:bookmarkEnd w:id="31"/>
      <w:bookmarkEnd w:id="32"/>
      <w:bookmarkEnd w:id="33"/>
    </w:p>
    <w:p>
      <w:pPr>
        <w:pStyle w:val="2"/>
        <w:snapToGrid w:val="0"/>
        <w:spacing w:before="93" w:line="550" w:lineRule="exact"/>
        <w:ind w:firstLine="642" w:firstLineChars="200"/>
        <w:outlineLvl w:val="2"/>
        <w:rPr>
          <w:rStyle w:val="14"/>
          <w:rFonts w:ascii="仿宋" w:hAnsi="仿宋" w:eastAsia="仿宋"/>
          <w:b w:val="0"/>
          <w:bCs/>
          <w:color w:val="000000"/>
          <w:sz w:val="32"/>
          <w:szCs w:val="32"/>
        </w:rPr>
      </w:pPr>
      <w:r>
        <w:rPr>
          <w:rStyle w:val="14"/>
          <w:rFonts w:hint="eastAsia" w:ascii="仿宋" w:hAnsi="仿宋" w:eastAsia="仿宋" w:cs="宋体"/>
          <w:bCs/>
          <w:kern w:val="2"/>
          <w:sz w:val="32"/>
          <w:szCs w:val="32"/>
        </w:rPr>
        <w:t>1</w:t>
      </w:r>
      <w:r>
        <w:rPr>
          <w:rStyle w:val="14"/>
          <w:rFonts w:ascii="仿宋" w:hAnsi="仿宋" w:eastAsia="仿宋" w:cs="宋体"/>
          <w:bCs/>
          <w:kern w:val="2"/>
          <w:sz w:val="32"/>
          <w:szCs w:val="32"/>
        </w:rPr>
        <w:t>.</w:t>
      </w:r>
      <w:r>
        <w:rPr>
          <w:rStyle w:val="14"/>
          <w:rFonts w:hint="eastAsia" w:ascii="仿宋" w:hAnsi="仿宋" w:eastAsia="仿宋" w:cs="宋体"/>
          <w:bCs/>
          <w:kern w:val="2"/>
          <w:sz w:val="32"/>
          <w:szCs w:val="32"/>
        </w:rPr>
        <w:t>教育支出（类）普通教育（款）学前教育（项）</w:t>
      </w:r>
      <w:r>
        <w:rPr>
          <w:rStyle w:val="14"/>
          <w:rFonts w:ascii="仿宋" w:hAnsi="仿宋" w:eastAsia="仿宋" w:cs="宋体"/>
          <w:bCs/>
          <w:kern w:val="2"/>
          <w:sz w:val="32"/>
          <w:szCs w:val="32"/>
        </w:rPr>
        <w:t>:</w:t>
      </w:r>
      <w:r>
        <w:rPr>
          <w:rStyle w:val="14"/>
          <w:rFonts w:hint="eastAsia" w:ascii="仿宋" w:hAnsi="仿宋" w:eastAsia="仿宋"/>
          <w:b w:val="0"/>
          <w:bCs/>
          <w:sz w:val="32"/>
          <w:szCs w:val="32"/>
        </w:rPr>
        <w:t>支出决算为129.35万元，完成预算0</w:t>
      </w:r>
      <w:r>
        <w:rPr>
          <w:rStyle w:val="14"/>
          <w:rFonts w:ascii="仿宋" w:hAnsi="仿宋" w:eastAsia="仿宋"/>
          <w:b w:val="0"/>
          <w:bCs/>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sz w:val="32"/>
          <w:szCs w:val="32"/>
        </w:rPr>
        <w:t>决算数大于预算数的主要原因是本年度基本支出和项目支出减少。</w:t>
      </w:r>
    </w:p>
    <w:p>
      <w:pPr>
        <w:snapToGrid w:val="0"/>
        <w:spacing w:line="550" w:lineRule="exact"/>
        <w:ind w:firstLine="642" w:firstLineChars="200"/>
        <w:outlineLvl w:val="2"/>
        <w:rPr>
          <w:color w:val="000000"/>
        </w:rPr>
      </w:pPr>
      <w:r>
        <w:rPr>
          <w:rStyle w:val="14"/>
          <w:rFonts w:hint="eastAsia" w:ascii="仿宋" w:hAnsi="仿宋" w:eastAsia="仿宋"/>
          <w:bCs/>
          <w:sz w:val="32"/>
          <w:szCs w:val="32"/>
        </w:rPr>
        <w:t>14</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支出决算为0.92万元，完成预算0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w:t>
      </w:r>
      <w:r>
        <w:rPr>
          <w:rStyle w:val="14"/>
          <w:rFonts w:hint="eastAsia" w:ascii="仿宋" w:hAnsi="仿宋" w:eastAsia="仿宋" w:cs="宋体"/>
          <w:b w:val="0"/>
          <w:bCs/>
          <w:color w:val="000000"/>
          <w:kern w:val="0"/>
          <w:sz w:val="32"/>
          <w:szCs w:val="32"/>
        </w:rPr>
        <w:t>年初预算根据实际编列</w:t>
      </w:r>
      <w:r>
        <w:rPr>
          <w:rStyle w:val="14"/>
          <w:rFonts w:hint="eastAsia" w:ascii="仿宋" w:hAnsi="仿宋" w:eastAsia="仿宋"/>
          <w:b w:val="0"/>
          <w:bCs/>
          <w:color w:val="000000"/>
          <w:sz w:val="32"/>
          <w:szCs w:val="32"/>
        </w:rPr>
        <w:t>，项目实施中及时根据支出情况调整预算。</w:t>
      </w:r>
    </w:p>
    <w:p>
      <w:pPr>
        <w:snapToGrid w:val="0"/>
        <w:spacing w:line="550" w:lineRule="exact"/>
        <w:ind w:firstLine="642" w:firstLineChars="200"/>
        <w:outlineLvl w:val="2"/>
        <w:rPr>
          <w:rFonts w:ascii="仿宋" w:hAnsi="仿宋" w:eastAsia="仿宋"/>
          <w:sz w:val="32"/>
          <w:szCs w:val="32"/>
        </w:rPr>
      </w:pPr>
      <w:r>
        <w:rPr>
          <w:rStyle w:val="14"/>
          <w:rFonts w:hint="eastAsia" w:ascii="仿宋" w:hAnsi="仿宋" w:eastAsia="仿宋"/>
          <w:bCs/>
          <w:sz w:val="32"/>
          <w:szCs w:val="32"/>
        </w:rPr>
        <w:t>17</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支出决算为0.43万元，完成预算0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w:t>
      </w:r>
      <w:r>
        <w:rPr>
          <w:rStyle w:val="14"/>
          <w:rFonts w:hint="eastAsia" w:ascii="仿宋" w:hAnsi="仿宋" w:eastAsia="仿宋" w:cs="宋体"/>
          <w:b w:val="0"/>
          <w:bCs/>
          <w:color w:val="000000"/>
          <w:kern w:val="0"/>
          <w:sz w:val="32"/>
          <w:szCs w:val="32"/>
        </w:rPr>
        <w:t>年初预算根据实际编列，</w:t>
      </w:r>
      <w:r>
        <w:rPr>
          <w:rStyle w:val="14"/>
          <w:rFonts w:hint="eastAsia" w:ascii="仿宋" w:hAnsi="仿宋" w:eastAsia="仿宋"/>
          <w:b w:val="0"/>
          <w:bCs/>
          <w:color w:val="000000"/>
          <w:sz w:val="32"/>
          <w:szCs w:val="32"/>
        </w:rPr>
        <w:t>项目实施中及时根据支出情况调整预算。</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21年一般公共预算财政拨款基本支出130.69万元，其中：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人员经费78.05万元，主要包括：基本工资36.98万元、津贴补贴0.66万元、绩效工资13.95万元、机关事业单位基本养老保险缴费0.86万元、其他社会保障缴费0.06万元、其他工资福利支出17.85万元、住房公积金7.26万元。</w:t>
      </w:r>
    </w:p>
    <w:p>
      <w:pPr>
        <w:spacing w:line="600" w:lineRule="exact"/>
        <w:ind w:firstLine="645"/>
        <w:rPr>
          <w:rFonts w:ascii="仿宋" w:hAnsi="仿宋" w:eastAsia="仿宋"/>
          <w:sz w:val="32"/>
          <w:szCs w:val="32"/>
        </w:rPr>
      </w:pPr>
      <w:r>
        <w:rPr>
          <w:rFonts w:hint="eastAsia" w:ascii="仿宋" w:hAnsi="仿宋" w:eastAsia="仿宋"/>
          <w:sz w:val="32"/>
          <w:szCs w:val="32"/>
        </w:rPr>
        <w:t>公用经费37.82万元，主要包括：办公费10.89万元、手续费0.05万元、水费0.41万元、电费1.59万元、邮电费0.16万元、物业管理费0.72万元、维修（护）费8.55万元、培训费1.99万元、专用材料费0.36万元、会经费0.88万元、福利费0.05万元、其他资本性支出12.17万元。</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主要原因是万缘第一幼儿园于2020年10月新成立，2021年1月财务独立。</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b/>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0万元。主要用于（具体工作）等所需的公务用车燃料费、维修费、过路过桥费、保险费等支出。支出决算比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。其中：</w:t>
      </w:r>
    </w:p>
    <w:p>
      <w:pPr>
        <w:spacing w:line="600" w:lineRule="exact"/>
        <w:ind w:firstLine="640"/>
        <w:rPr>
          <w:rFonts w:ascii="仿宋_GB2312" w:eastAsia="仿宋_GB2312"/>
          <w:b/>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万元，主要用于(执行公务、开展业务活动开支的交通费、住宿费、用餐费等)。国内公务接待0批次，0人次（不包括陪同人员），共计支出0万元,支出决算比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万元，外事接待0批次，0人，共计支出0万元，主要用于接待（具体项目）,支出决算比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5"/>
        <w:rPr>
          <w:rFonts w:ascii="仿宋" w:hAnsi="仿宋" w:eastAsia="仿宋"/>
          <w:b/>
          <w:sz w:val="32"/>
          <w:szCs w:val="32"/>
        </w:rPr>
      </w:pPr>
      <w:bookmarkStart w:id="40" w:name="_Toc15377218"/>
      <w:bookmarkStart w:id="41" w:name="_Toc15396610"/>
      <w:r>
        <w:rPr>
          <w:rFonts w:hint="eastAsia" w:ascii="仿宋" w:hAnsi="仿宋" w:eastAsia="仿宋"/>
          <w:b/>
          <w:sz w:val="32"/>
          <w:szCs w:val="32"/>
        </w:rPr>
        <w:t>（注：数据来源于财决z10表和财决z12表，此表无数据。）</w:t>
      </w:r>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r>
        <w:rPr>
          <w:rFonts w:hint="eastAsia" w:ascii="仿宋" w:hAnsi="仿宋" w:eastAsia="仿宋"/>
          <w:b/>
          <w:sz w:val="32"/>
          <w:szCs w:val="32"/>
        </w:rPr>
        <w:t>（注：数据来源于财决11表，此表无数据。）</w:t>
      </w:r>
    </w:p>
    <w:p>
      <w:pPr>
        <w:numPr>
          <w:ilvl w:val="0"/>
          <w:numId w:val="4"/>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600" w:lineRule="exact"/>
        <w:ind w:firstLine="640"/>
        <w:rPr>
          <w:rFonts w:ascii="仿宋_GB2312" w:eastAsia="仿宋_GB2312"/>
          <w:sz w:val="32"/>
          <w:szCs w:val="32"/>
        </w:rPr>
      </w:pPr>
      <w:r>
        <w:rPr>
          <w:rFonts w:hint="eastAsia" w:ascii="仿宋" w:hAnsi="仿宋" w:eastAsia="仿宋"/>
          <w:b/>
          <w:sz w:val="32"/>
          <w:szCs w:val="32"/>
        </w:rPr>
        <w:t>（注：数据来源于财决14表，此表无数据。）</w:t>
      </w:r>
    </w:p>
    <w:p>
      <w:pPr>
        <w:numPr>
          <w:ilvl w:val="0"/>
          <w:numId w:val="4"/>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（一）机关运行经费支出情况</w:t>
      </w:r>
    </w:p>
    <w:p>
      <w:pPr>
        <w:snapToGrid w:val="0"/>
        <w:spacing w:line="560" w:lineRule="exact"/>
        <w:ind w:firstLine="640" w:firstLineChars="200"/>
        <w:outlineLvl w:val="2"/>
        <w:rPr>
          <w:rFonts w:ascii="楷体" w:hAnsi="楷体" w:eastAsia="楷体" w:cs="楷体"/>
          <w:bCs/>
          <w:sz w:val="32"/>
          <w:szCs w:val="32"/>
        </w:rPr>
      </w:pPr>
      <w:bookmarkStart w:id="46" w:name="_Toc15377222"/>
      <w:r>
        <w:rPr>
          <w:rFonts w:hint="eastAsia" w:ascii="楷体" w:hAnsi="楷体" w:eastAsia="楷体" w:cs="楷体"/>
          <w:bCs/>
          <w:sz w:val="32"/>
          <w:szCs w:val="32"/>
        </w:rPr>
        <w:t>（一）机关运行经费支出情况</w:t>
      </w:r>
      <w:bookmarkEnd w:id="46"/>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20</w:t>
      </w:r>
      <w:r>
        <w:rPr>
          <w:rFonts w:hint="eastAsia" w:ascii="仿宋_GB2312" w:eastAsia="仿宋_GB2312"/>
          <w:sz w:val="32"/>
          <w:szCs w:val="32"/>
        </w:rPr>
        <w:t>21年运行经费支出0万元，比</w:t>
      </w:r>
      <w:r>
        <w:rPr>
          <w:rFonts w:ascii="仿宋_GB2312" w:eastAsia="仿宋_GB2312"/>
          <w:sz w:val="32"/>
          <w:szCs w:val="32"/>
        </w:rPr>
        <w:t>20</w:t>
      </w:r>
      <w:r>
        <w:rPr>
          <w:rFonts w:hint="eastAsia" w:ascii="仿宋_GB2312" w:eastAsia="仿宋_GB2312"/>
          <w:sz w:val="32"/>
          <w:szCs w:val="32"/>
        </w:rPr>
        <w:t>20年持平</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21年，万缘第一幼儿园政府采购支出总额0万元，其中：政府采购货物支出0万元、政府采购工程支出0万元、政府采购服务支出0万元。主要用于（具体工作）。授予中小企业合同金额0万元，占政府采购支出总额的0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表，此表无数据）</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日，万缘第一幼儿园共有车辆0辆，其中：主要领导干部用车0辆、机要通信用车0辆、应急保障用车0辆、其他用车0辆，其他用车主要是用于……单价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（注：数据来源于财决附10、12表，此表无数据）</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学前教育专项发展项目开展了预算事前绩效评估，对项目编制了绩效目标，预算执行过程中，对学前教育专项发展项目开展绩效监控，年终执行完毕后，对此项目开展了绩效自评，2021年特定目标类部门预算项目绩效目标自评表见附件（第四部分）。</w:t>
      </w:r>
    </w:p>
    <w:p>
      <w:pPr>
        <w:autoSpaceDE w:val="0"/>
        <w:autoSpaceDN w:val="0"/>
        <w:adjustRightInd w:val="0"/>
        <w:spacing w:line="600" w:lineRule="exact"/>
        <w:ind w:firstLine="642" w:firstLineChars="200"/>
        <w:rPr>
          <w:rFonts w:ascii="仿宋" w:hAnsi="仿宋" w:eastAsia="仿宋"/>
          <w:b/>
          <w:sz w:val="32"/>
          <w:szCs w:val="32"/>
        </w:rPr>
      </w:pPr>
      <w:r>
        <w:rPr>
          <w:rFonts w:hint="eastAsia" w:ascii="仿宋" w:hAnsi="仿宋" w:eastAsia="仿宋"/>
          <w:b/>
          <w:sz w:val="32"/>
          <w:szCs w:val="32"/>
        </w:rPr>
        <w:t>（注：单位</w:t>
      </w:r>
      <w:r>
        <w:rPr>
          <w:rFonts w:hint="eastAsia" w:ascii="仿宋_GB2312" w:hAnsi="仿宋_GB2312" w:eastAsia="仿宋_GB2312" w:cs="仿宋_GB2312"/>
          <w:b/>
          <w:sz w:val="32"/>
          <w:szCs w:val="32"/>
        </w:rPr>
        <w:t>2021年特定目标类部门预算项目绩效目标自评表为本部门2021年部门整体支出绩效评价报告中涉及本单位的附表</w:t>
      </w:r>
      <w:r>
        <w:rPr>
          <w:rFonts w:hint="eastAsia" w:ascii="仿宋" w:hAnsi="仿宋" w:eastAsia="仿宋"/>
          <w:b/>
          <w:sz w:val="32"/>
          <w:szCs w:val="32"/>
        </w:rPr>
        <w:t>）</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napToGrid w:val="0"/>
        <w:spacing w:line="560" w:lineRule="exact"/>
        <w:ind w:firstLine="640" w:firstLineChars="200"/>
        <w:outlineLvl w:val="1"/>
        <w:rPr>
          <w:rFonts w:ascii="仿宋_GB2312" w:eastAsia="仿宋_GB2312"/>
          <w:color w:val="auto"/>
          <w:sz w:val="32"/>
          <w:szCs w:val="32"/>
        </w:rPr>
      </w:pPr>
      <w:bookmarkStart w:id="51" w:name="_Toc15680"/>
      <w:bookmarkStart w:id="52" w:name="_Toc15377226"/>
      <w:bookmarkStart w:id="53" w:name="_Toc15396614"/>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1"/>
    </w:p>
    <w:p>
      <w:pPr>
        <w:pStyle w:val="22"/>
        <w:snapToGrid w:val="0"/>
        <w:spacing w:line="560" w:lineRule="exact"/>
        <w:ind w:firstLine="640" w:firstLineChars="200"/>
        <w:outlineLvl w:val="1"/>
        <w:rPr>
          <w:rFonts w:ascii="仿宋_GB2312" w:eastAsia="仿宋_GB2312"/>
          <w:color w:val="auto"/>
          <w:sz w:val="32"/>
          <w:szCs w:val="32"/>
        </w:rPr>
      </w:pPr>
      <w:bookmarkStart w:id="54" w:name="_Toc18447"/>
      <w:r>
        <w:rPr>
          <w:rFonts w:hint="eastAsia" w:ascii="仿宋_GB2312" w:eastAsia="仿宋_GB2312"/>
          <w:color w:val="auto"/>
          <w:sz w:val="32"/>
          <w:szCs w:val="32"/>
        </w:rPr>
        <w:t>2.事业收入：指事业单位开展专业业务活动及辅助活动取得的收入。</w:t>
      </w:r>
      <w:bookmarkEnd w:id="54"/>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napToGrid w:val="0"/>
        <w:spacing w:line="560" w:lineRule="exact"/>
        <w:ind w:firstLine="640" w:firstLineChars="200"/>
        <w:outlineLvl w:val="1"/>
        <w:rPr>
          <w:rFonts w:ascii="仿宋_GB2312" w:eastAsia="仿宋_GB2312"/>
          <w:color w:val="auto"/>
          <w:sz w:val="32"/>
          <w:szCs w:val="32"/>
        </w:rPr>
      </w:pPr>
      <w:bookmarkStart w:id="55" w:name="_Toc20496"/>
      <w:r>
        <w:rPr>
          <w:rFonts w:hint="eastAsia" w:ascii="仿宋_GB2312" w:eastAsia="仿宋_GB2312"/>
          <w:color w:val="auto"/>
          <w:sz w:val="32"/>
          <w:szCs w:val="32"/>
        </w:rPr>
        <w:t>6.年初结转和结余：指以前年度尚未完成、结转到本年按有关规定继续使用的资金。</w:t>
      </w:r>
      <w:bookmarkEnd w:id="55"/>
      <w:r>
        <w:rPr>
          <w:rFonts w:hint="eastAsia" w:ascii="仿宋_GB2312" w:eastAsia="仿宋_GB2312"/>
          <w:color w:val="auto"/>
          <w:sz w:val="32"/>
          <w:szCs w:val="32"/>
        </w:rPr>
        <w:t xml:space="preserve"> </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2"/>
        <w:snapToGrid w:val="0"/>
        <w:spacing w:line="560" w:lineRule="exact"/>
        <w:ind w:firstLine="640" w:firstLineChars="200"/>
        <w:outlineLvl w:val="1"/>
        <w:rPr>
          <w:rFonts w:ascii="仿宋_GB2312" w:eastAsia="仿宋_GB2312"/>
          <w:color w:val="auto"/>
          <w:sz w:val="32"/>
          <w:szCs w:val="32"/>
        </w:rPr>
      </w:pPr>
      <w:bookmarkStart w:id="56" w:name="_Toc1650"/>
      <w:r>
        <w:rPr>
          <w:rFonts w:hint="eastAsia" w:ascii="仿宋_GB2312" w:eastAsia="仿宋_GB2312"/>
          <w:color w:val="auto"/>
          <w:sz w:val="32"/>
          <w:szCs w:val="32"/>
        </w:rPr>
        <w:t>8、年末结转和结余：指单位按有关规定结转到下年或以后年度继续使用的资金。</w:t>
      </w:r>
      <w:bookmarkEnd w:id="56"/>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16. 教育支出（类）普通教育（款）其它普通教育（项）: 反映除上述项目以外其他用于普通教育方面的支出。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18. 教育</w:t>
      </w:r>
      <w:r>
        <w:rPr>
          <w:rFonts w:hint="eastAsia" w:ascii="仿宋_GB2312" w:eastAsia="仿宋_GB2312"/>
          <w:color w:val="auto"/>
          <w:spacing w:val="-6"/>
          <w:sz w:val="32"/>
          <w:szCs w:val="32"/>
        </w:rPr>
        <w:t>支出（类）职业教育（款）高等职业教育（项）:反映经国家批准设立的高等职业大学、专科职业教育等方面的</w:t>
      </w:r>
      <w:r>
        <w:rPr>
          <w:rFonts w:hint="eastAsia" w:ascii="仿宋_GB2312" w:eastAsia="仿宋_GB2312"/>
          <w:color w:val="auto"/>
          <w:sz w:val="32"/>
          <w:szCs w:val="32"/>
        </w:rPr>
        <w:t>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20. 教育支出（类）特殊教育（款）工读学校教育（项）:指各部门举办的工读学校的支出。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23. 教育支出（类）教育附加费安排的支出（款）其它教育附加费安排的支出（项）: 指除上述项目以外的教育附加费支出。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24. 教育支出（类）其它教育支出（款）其他教育支出（项）: 指上述项目以外其他用于教育方面的支出。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30. 农林水支出（类）扶贫（款）其它扶贫支出（项）: 指除上述项目以外其他用于扶贫方面的支出。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32. 其他支出（类）其他支出（款）其他支出（项）: 指上述项目以外其他不能划分到具体功能科目中的支出项目。</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33. 基本支出：指为保障机构正常运转、完成日常工作任务而发生的人员支出和公用支出。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34. 项目支出：指在基本支出之外为完成特定行政任务和事业发展目标所发生的支出。 </w:t>
      </w:r>
    </w:p>
    <w:bookmarkEnd w:id="52"/>
    <w:bookmarkEnd w:id="53"/>
    <w:p>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p>
    <w:p>
      <w:pPr>
        <w:pStyle w:val="2"/>
        <w:spacing w:before="93"/>
        <w:rPr>
          <w:rFonts w:hAnsi="宋体" w:cs="宋体"/>
          <w:sz w:val="32"/>
          <w:szCs w:val="32"/>
          <w:shd w:val="clear" w:color="auto" w:fill="FFFFFF"/>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1：</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广元市利州区万缘第一幼儿园</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2021年部门整体支出绩效评价报告</w:t>
      </w:r>
    </w:p>
    <w:p>
      <w:pPr>
        <w:widowControl/>
        <w:adjustRightInd w:val="0"/>
        <w:snapToGrid w:val="0"/>
        <w:spacing w:line="572" w:lineRule="exact"/>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spacing w:before="93"/>
        <w:ind w:firstLine="640" w:firstLineChars="200"/>
        <w:rPr>
          <w:rFonts w:ascii="仿宋" w:hAnsi="仿宋" w:eastAsia="仿宋"/>
          <w:kern w:val="2"/>
          <w:sz w:val="32"/>
          <w:szCs w:val="32"/>
          <w:lang w:val="zh-CN"/>
        </w:rPr>
      </w:pPr>
      <w:r>
        <w:rPr>
          <w:rFonts w:hint="eastAsia" w:ascii="仿宋" w:hAnsi="仿宋" w:eastAsia="仿宋"/>
          <w:kern w:val="2"/>
          <w:sz w:val="32"/>
          <w:szCs w:val="32"/>
        </w:rPr>
        <w:t>我单位为广元市利州区教育局所属二级预算单位，内设部门4个（办公室、财务室、园务室、后勤处）。</w:t>
      </w:r>
    </w:p>
    <w:p>
      <w:pPr>
        <w:widowControl/>
        <w:numPr>
          <w:ilvl w:val="0"/>
          <w:numId w:val="6"/>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1.贯彻执行党和国家有关幼儿教育的方针、政策以及教育法规、规章，坚持正确的办园方向。</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2.执行上级的指示和决议；贯彻执行《幼儿教育纲要》和《幼儿园工作规程》，深化改革，强化管理，使各项工作程序化，规范化，制度化，不断提高保教水平。</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3.严格执行上级部门关于教育经费、教育拨款、教育基建的办法和方案；贯彻执行上级部门有关学生资助工作方针和政策，落实本园贫困家庭幼儿的资助工作。</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4.实行保育和教育相结合的原则，对幼儿实施体、智、德、美等方面全面发展的教育，促进其身心和谐发展。为家长解除后顾之忧，热忱为家长服务。</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8.尊重幼儿的人格尊严和基本权利，尊重幼儿身心发展的特点和规律，为幼儿提供健康、丰富的生活和活动环境。合理组织幼儿一日生活活动和其它活动，促进幼儿体智德美等和谐发展，全面实施素质教育。</w:t>
      </w:r>
    </w:p>
    <w:p>
      <w:pPr>
        <w:widowControl/>
        <w:adjustRightInd w:val="0"/>
        <w:snapToGrid w:val="0"/>
        <w:spacing w:line="500" w:lineRule="exact"/>
        <w:ind w:firstLine="640" w:firstLineChars="200"/>
        <w:contextualSpacing/>
        <w:rPr>
          <w:lang w:val="zh-CN"/>
        </w:rPr>
      </w:pPr>
      <w:r>
        <w:rPr>
          <w:rFonts w:hint="eastAsia" w:ascii="仿宋" w:hAnsi="仿宋" w:eastAsia="仿宋"/>
          <w:sz w:val="32"/>
          <w:szCs w:val="32"/>
        </w:rPr>
        <w:t>9.贯彻幼儿教育法规、传播科学教育理念、开展教育科学研究、培训师资，推动</w:t>
      </w:r>
      <w:r>
        <w:rPr>
          <w:rFonts w:hint="eastAsia" w:ascii="仿宋" w:hAnsi="仿宋" w:eastAsia="仿宋"/>
          <w:sz w:val="32"/>
          <w:szCs w:val="32"/>
          <w:lang w:eastAsia="zh-CN"/>
        </w:rPr>
        <w:t>万缘</w:t>
      </w:r>
      <w:bookmarkStart w:id="71" w:name="_GoBack"/>
      <w:bookmarkEnd w:id="71"/>
      <w:r>
        <w:rPr>
          <w:rFonts w:hint="eastAsia" w:ascii="仿宋" w:hAnsi="仿宋" w:eastAsia="仿宋"/>
          <w:sz w:val="32"/>
          <w:szCs w:val="32"/>
        </w:rPr>
        <w:t>片区学前教育的良性发展。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pStyle w:val="2"/>
        <w:spacing w:before="93"/>
        <w:ind w:firstLine="640" w:firstLineChars="200"/>
      </w:pPr>
      <w:r>
        <w:rPr>
          <w:rFonts w:hint="eastAsia" w:ascii="仿宋" w:hAnsi="仿宋" w:eastAsia="仿宋"/>
          <w:sz w:val="32"/>
          <w:szCs w:val="32"/>
        </w:rPr>
        <w:t xml:space="preserve">广元市利州区万缘第一幼儿园共有编制11名，其中行政编制0人，全额财政补助事业编制10人。截至2021年末，实有在职人员10人，临聘教职工33人，安保人员2人。 </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72" w:lineRule="exact"/>
        <w:ind w:firstLine="640" w:firstLineChars="200"/>
        <w:contextualSpacing/>
        <w:jc w:val="left"/>
        <w:rPr>
          <w:lang w:val="zh-CN"/>
        </w:rPr>
      </w:pPr>
      <w:r>
        <w:rPr>
          <w:rFonts w:hint="eastAsia" w:ascii="仿宋_GB2312" w:hAnsi="宋体" w:eastAsia="仿宋_GB2312" w:cs="宋体"/>
          <w:kern w:val="0"/>
          <w:sz w:val="32"/>
          <w:szCs w:val="32"/>
          <w:shd w:val="clear" w:color="auto" w:fill="FFFFFF"/>
          <w:lang w:val="zh-CN"/>
        </w:rPr>
        <w:t>广元市利州区</w:t>
      </w:r>
      <w:r>
        <w:rPr>
          <w:rFonts w:hint="eastAsia" w:ascii="仿宋_GB2312" w:hAnsi="宋体" w:eastAsia="仿宋_GB2312" w:cs="宋体"/>
          <w:kern w:val="0"/>
          <w:sz w:val="32"/>
          <w:szCs w:val="32"/>
          <w:shd w:val="clear" w:color="auto" w:fill="FFFFFF"/>
        </w:rPr>
        <w:t>万缘第一幼儿园</w:t>
      </w:r>
      <w:r>
        <w:rPr>
          <w:rFonts w:hint="eastAsia" w:ascii="仿宋_GB2312" w:hAnsi="宋体" w:eastAsia="仿宋_GB2312" w:cs="宋体"/>
          <w:kern w:val="0"/>
          <w:sz w:val="32"/>
          <w:szCs w:val="32"/>
          <w:shd w:val="clear" w:color="auto" w:fill="FFFFFF"/>
          <w:lang w:val="zh-CN"/>
        </w:rPr>
        <w:t>2021年预算收入总额</w:t>
      </w:r>
      <w:r>
        <w:rPr>
          <w:rFonts w:hint="eastAsia" w:ascii="仿宋_GB2312" w:hAnsi="宋体" w:eastAsia="仿宋_GB2312" w:cs="宋体"/>
          <w:kern w:val="0"/>
          <w:sz w:val="32"/>
          <w:szCs w:val="32"/>
          <w:shd w:val="clear" w:color="auto" w:fill="FFFFFF"/>
        </w:rPr>
        <w:t>86</w:t>
      </w:r>
      <w:r>
        <w:rPr>
          <w:rFonts w:hint="eastAsia" w:ascii="仿宋_GB2312" w:hAnsi="宋体" w:eastAsia="仿宋_GB2312" w:cs="宋体"/>
          <w:kern w:val="0"/>
          <w:sz w:val="32"/>
          <w:szCs w:val="32"/>
          <w:shd w:val="clear" w:color="auto" w:fill="FFFFFF"/>
          <w:lang w:val="zh-CN"/>
        </w:rPr>
        <w:t>万元，2021年收入总计</w:t>
      </w:r>
      <w:r>
        <w:rPr>
          <w:rFonts w:hint="eastAsia" w:ascii="仿宋_GB2312" w:hAnsi="宋体" w:eastAsia="仿宋_GB2312" w:cs="宋体"/>
          <w:kern w:val="0"/>
          <w:sz w:val="32"/>
          <w:szCs w:val="32"/>
          <w:shd w:val="clear" w:color="auto" w:fill="FFFFFF"/>
        </w:rPr>
        <w:t>86</w:t>
      </w:r>
      <w:r>
        <w:rPr>
          <w:rFonts w:hint="eastAsia" w:ascii="仿宋_GB2312" w:hAnsi="宋体" w:eastAsia="仿宋_GB2312" w:cs="宋体"/>
          <w:kern w:val="0"/>
          <w:sz w:val="32"/>
          <w:szCs w:val="32"/>
          <w:shd w:val="clear" w:color="auto" w:fill="FFFFFF"/>
          <w:lang w:val="zh-CN"/>
        </w:rPr>
        <w:t>万元。</w:t>
      </w:r>
    </w:p>
    <w:p>
      <w:pPr>
        <w:widowControl/>
        <w:numPr>
          <w:ilvl w:val="0"/>
          <w:numId w:val="6"/>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widowControl/>
        <w:adjustRightInd w:val="0"/>
        <w:snapToGrid w:val="0"/>
        <w:spacing w:line="520" w:lineRule="exact"/>
        <w:ind w:firstLine="640" w:firstLineChars="200"/>
        <w:contextualSpacing/>
        <w:jc w:val="left"/>
        <w:rPr>
          <w:rFonts w:ascii="仿宋" w:hAnsi="仿宋" w:eastAsia="仿宋"/>
          <w:kern w:val="0"/>
          <w:sz w:val="32"/>
          <w:szCs w:val="32"/>
          <w:lang w:val="zh-CN"/>
        </w:rPr>
      </w:pPr>
      <w:r>
        <w:rPr>
          <w:rFonts w:hint="eastAsia" w:ascii="仿宋" w:hAnsi="仿宋" w:eastAsia="仿宋"/>
          <w:kern w:val="0"/>
          <w:sz w:val="32"/>
          <w:szCs w:val="32"/>
        </w:rPr>
        <w:t>2</w:t>
      </w:r>
      <w:r>
        <w:rPr>
          <w:rFonts w:hint="eastAsia" w:ascii="仿宋_GB2312" w:hAnsi="宋体" w:eastAsia="仿宋_GB2312" w:cs="宋体"/>
          <w:kern w:val="0"/>
          <w:sz w:val="32"/>
          <w:szCs w:val="32"/>
          <w:shd w:val="clear" w:color="auto" w:fill="FFFFFF"/>
        </w:rPr>
        <w:t>021年支出总计0万元，2021年末支出结转结余86万元，其中基本支出0万元，项目支出0万元，基本支出结转0万元，项目结转0万元。</w:t>
      </w:r>
    </w:p>
    <w:p>
      <w:pPr>
        <w:pStyle w:val="2"/>
        <w:spacing w:before="93"/>
        <w:ind w:left="420" w:leftChars="200"/>
        <w:rPr>
          <w:lang w:val="zh-CN"/>
        </w:rPr>
      </w:pPr>
    </w:p>
    <w:p>
      <w:pPr>
        <w:widowControl/>
        <w:adjustRightInd w:val="0"/>
        <w:snapToGrid w:val="0"/>
        <w:spacing w:line="572" w:lineRule="exact"/>
        <w:ind w:left="63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left="64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部门绩效目标制定</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（1）部门绩效目标充分考虑到各项资金的使用内容、范围、方向和预期效果，符合国民经济和社会发展规划，符合部门职能及事业发展规划。</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（2）部门绩效目标从数量、质量、成本、时效以及经济效益、社会效益、生态效益、可持续影响、满意度等方面进行了细化和定量表述，具有可衡量性。</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（3）绩效目标的设定经过了调查研究和科学论证，符合客观实际，能够在一定期限内如期实现。</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（4）绩效目标相关指标设定与预算安排金额相对应，未超预算安排资金。</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预算编制</w:t>
      </w:r>
      <w:r>
        <w:rPr>
          <w:rFonts w:hint="eastAsia" w:ascii="仿宋" w:hAnsi="仿宋" w:eastAsia="仿宋" w:cs="仿宋_GB2312"/>
          <w:sz w:val="32"/>
          <w:szCs w:val="32"/>
        </w:rPr>
        <w:t>和执行</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（1）部门预算报送时间严格按照财政部门预算编制要求的时间及时报送部门预算。预算编制完整、准确，基础信息和科目使用准确。</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（2）严格执行预算，执行中一般不调整预算项目。年度预算收支平衡，人员支出按时间表进度执行，无挪用情况，完成部门经济和社会事业发展职能职责。</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（4）按时送部门决算，决算数据真实准确、帐表一致，部门决算编制人员与供养人员系统一致。</w:t>
      </w:r>
    </w:p>
    <w:p>
      <w:pPr>
        <w:widowControl/>
        <w:adjustRightInd w:val="0"/>
        <w:snapToGrid w:val="0"/>
        <w:spacing w:line="500" w:lineRule="exact"/>
        <w:ind w:firstLine="640" w:firstLineChars="200"/>
        <w:contextualSpacing/>
        <w:rPr>
          <w:rFonts w:ascii="仿宋_GB2312" w:hAnsi="宋体" w:eastAsia="仿宋_GB2312" w:cs="宋体"/>
          <w:color w:val="000000"/>
          <w:kern w:val="0"/>
          <w:sz w:val="32"/>
          <w:szCs w:val="28"/>
          <w:shd w:val="clear" w:color="auto" w:fill="FFFFFF"/>
          <w:lang w:val="zh-CN"/>
        </w:rPr>
      </w:pPr>
      <w:r>
        <w:rPr>
          <w:rFonts w:hint="eastAsia" w:ascii="仿宋_GB2312" w:hAnsi="宋体" w:eastAsia="仿宋_GB2312" w:cs="宋体"/>
          <w:color w:val="000000"/>
          <w:kern w:val="0"/>
          <w:sz w:val="32"/>
          <w:szCs w:val="28"/>
          <w:shd w:val="clear" w:color="auto" w:fill="FFFFFF"/>
          <w:lang w:val="zh-CN"/>
        </w:rPr>
        <w:t>（二）专项预算管理。</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1.专项预算编制情况</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各项专项预算的编制严格按照“二上二下”的程序，先由幼儿园根据年度工作目标提出当年的专项预算项目建议方案，经分管领导审核后由财务室汇总编制并呈园长批准上报区教育局计财股。根据区教育局计财股下达的年度各类专项资金年度预算指标，分解下达各支出部门，进一步完善专项预算方案。方案完善后，财务室统一汇总再次上报区教育局计财股。财政最终批复后，财务股将各类专项预算指标分解下达各下属学校。</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2.专项预算执行</w:t>
      </w:r>
    </w:p>
    <w:p>
      <w:pPr>
        <w:widowControl/>
        <w:adjustRightInd w:val="0"/>
        <w:snapToGrid w:val="0"/>
        <w:spacing w:line="500" w:lineRule="exact"/>
        <w:ind w:firstLine="640" w:firstLineChars="200"/>
        <w:contextualSpacing/>
      </w:pPr>
      <w:r>
        <w:rPr>
          <w:rFonts w:hint="eastAsia" w:ascii="仿宋" w:hAnsi="仿宋" w:eastAsia="仿宋"/>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从总体上看，部门整体绩效目标依据充分，整体绩效目标与部门履职相符，预算编制科学合理，组织管理机构健全，规章制度完善，资金使用规范合理；预算执行、预算管理、职责履行绩效评价目标实现较为理想，达到预期目标。</w:t>
      </w:r>
    </w:p>
    <w:p>
      <w:pPr>
        <w:widowControl/>
        <w:numPr>
          <w:ilvl w:val="0"/>
          <w:numId w:val="7"/>
        </w:numPr>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存在问题</w:t>
      </w:r>
      <w:r>
        <w:rPr>
          <w:rFonts w:hint="eastAsia" w:ascii="仿宋_GB2312" w:hAnsi="宋体" w:eastAsia="仿宋_GB2312" w:cs="宋体"/>
          <w:kern w:val="0"/>
          <w:sz w:val="32"/>
          <w:szCs w:val="32"/>
          <w:shd w:val="clear" w:color="auto" w:fill="FFFFFF"/>
        </w:rPr>
        <w:t>及改进建议。</w:t>
      </w:r>
    </w:p>
    <w:p>
      <w:pPr>
        <w:pStyle w:val="2"/>
        <w:spacing w:before="93"/>
        <w:rPr>
          <w:rFonts w:ascii="仿宋" w:hAnsi="仿宋" w:eastAsia="仿宋"/>
          <w:kern w:val="2"/>
          <w:sz w:val="32"/>
          <w:szCs w:val="32"/>
        </w:rPr>
      </w:pPr>
      <w:r>
        <w:rPr>
          <w:rFonts w:hint="eastAsia"/>
        </w:rPr>
        <w:t xml:space="preserve">    </w:t>
      </w:r>
      <w:r>
        <w:rPr>
          <w:rFonts w:hint="eastAsia" w:ascii="仿宋" w:hAnsi="仿宋" w:eastAsia="仿宋"/>
          <w:kern w:val="2"/>
          <w:sz w:val="32"/>
          <w:szCs w:val="32"/>
        </w:rPr>
        <w:t>进一步完善项目支出的支出标准，严格按项目和进度执行预算，增强预算的约束力和严肃性，落实预算执行分析，及时了解预算执行差异，合理调整、纠正预算执行偏差，切实提高部门预算收支管理水平。</w:t>
      </w:r>
    </w:p>
    <w:p>
      <w:pPr>
        <w:pStyle w:val="2"/>
        <w:spacing w:before="93"/>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广元市利州区万缘第一幼儿园</w:t>
      </w:r>
    </w:p>
    <w:p>
      <w:pPr>
        <w:spacing w:line="600" w:lineRule="exact"/>
        <w:jc w:val="center"/>
        <w:rPr>
          <w:rFonts w:ascii="仿宋_GB2312" w:hAnsi="宋体" w:eastAsia="仿宋_GB2312"/>
          <w:sz w:val="32"/>
          <w:szCs w:val="32"/>
          <w:lang w:val="zh-CN"/>
        </w:rPr>
      </w:pPr>
      <w:r>
        <w:rPr>
          <w:rFonts w:hint="eastAsia" w:ascii="方正小标宋简体" w:hAnsi="方正小标宋简体" w:eastAsia="方正小标宋简体" w:cs="方正小标宋简体"/>
          <w:sz w:val="40"/>
          <w:szCs w:val="40"/>
        </w:rPr>
        <w:t>2021年学前教育专项发展资金</w:t>
      </w:r>
      <w:r>
        <w:rPr>
          <w:rFonts w:hint="eastAsia" w:ascii="方正小标宋简体" w:hAnsi="方正小标宋简体" w:eastAsia="方正小标宋简体" w:cs="方正小标宋简体"/>
          <w:sz w:val="40"/>
          <w:szCs w:val="40"/>
          <w:lang w:val="zh-CN"/>
        </w:rPr>
        <w:t>项目支出绩效自评报告</w:t>
      </w:r>
    </w:p>
    <w:p>
      <w:pPr>
        <w:spacing w:line="600" w:lineRule="exact"/>
        <w:ind w:firstLine="640"/>
        <w:jc w:val="center"/>
        <w:rPr>
          <w:rFonts w:ascii="宋体" w:hAnsi="宋体"/>
          <w:sz w:val="32"/>
          <w:szCs w:val="32"/>
          <w:lang w:val="zh-CN"/>
        </w:rPr>
      </w:pPr>
    </w:p>
    <w:p>
      <w:pPr>
        <w:spacing w:before="129" w:line="208" w:lineRule="auto"/>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一、项目基本情况</w:t>
      </w:r>
    </w:p>
    <w:p>
      <w:pPr>
        <w:spacing w:before="129" w:line="208" w:lineRule="auto"/>
        <w:ind w:firstLine="640" w:firstLineChars="200"/>
        <w:jc w:val="left"/>
        <w:rPr>
          <w:rFonts w:ascii="仿宋" w:hAnsi="仿宋" w:eastAsia="仿宋" w:cs="仿宋"/>
          <w:sz w:val="32"/>
          <w:szCs w:val="32"/>
        </w:rPr>
      </w:pPr>
      <w:r>
        <w:rPr>
          <w:rFonts w:ascii="仿宋" w:hAnsi="仿宋" w:eastAsia="仿宋" w:cs="仿宋"/>
          <w:sz w:val="32"/>
          <w:szCs w:val="32"/>
        </w:rPr>
        <w:t>为进一步加快普及学前教育发展</w:t>
      </w:r>
      <w:r>
        <w:rPr>
          <w:rFonts w:hint="eastAsia" w:ascii="仿宋" w:hAnsi="仿宋" w:eastAsia="仿宋" w:cs="仿宋"/>
          <w:sz w:val="32"/>
          <w:szCs w:val="32"/>
        </w:rPr>
        <w:t>，</w:t>
      </w:r>
      <w:r>
        <w:rPr>
          <w:rFonts w:ascii="仿宋" w:hAnsi="仿宋" w:eastAsia="仿宋" w:cs="仿宋"/>
          <w:sz w:val="32"/>
          <w:szCs w:val="32"/>
        </w:rPr>
        <w:t>推动学前教育发展</w:t>
      </w:r>
      <w:r>
        <w:rPr>
          <w:rFonts w:hint="eastAsia" w:ascii="仿宋" w:hAnsi="仿宋" w:eastAsia="仿宋" w:cs="仿宋"/>
          <w:sz w:val="32"/>
          <w:szCs w:val="32"/>
        </w:rPr>
        <w:t>，</w:t>
      </w:r>
      <w:r>
        <w:rPr>
          <w:rFonts w:ascii="仿宋" w:hAnsi="仿宋" w:eastAsia="仿宋" w:cs="仿宋"/>
          <w:sz w:val="32"/>
          <w:szCs w:val="32"/>
        </w:rPr>
        <w:t>根据《中华人民共和国教育法》、《中华人民共和国民办教育促进法》</w:t>
      </w:r>
      <w:r>
        <w:rPr>
          <w:rFonts w:hint="eastAsia" w:ascii="仿宋" w:hAnsi="仿宋" w:eastAsia="仿宋" w:cs="仿宋"/>
          <w:sz w:val="32"/>
          <w:szCs w:val="32"/>
        </w:rPr>
        <w:t>、</w:t>
      </w:r>
      <w:r>
        <w:rPr>
          <w:rFonts w:ascii="仿宋" w:hAnsi="仿宋" w:eastAsia="仿宋" w:cs="仿宋"/>
          <w:sz w:val="32"/>
          <w:szCs w:val="32"/>
        </w:rPr>
        <w:t>《中华人民共和国民办教育促进法实施条例》、《幼儿园管理条例》等 法律法规规定和《国务院关于当前发展学前教育的若干意见</w:t>
      </w:r>
      <w:r>
        <w:rPr>
          <w:rFonts w:hint="eastAsia" w:ascii="仿宋" w:hAnsi="仿宋" w:eastAsia="仿宋" w:cs="仿宋"/>
          <w:sz w:val="32"/>
          <w:szCs w:val="32"/>
        </w:rPr>
        <w:t>》，</w:t>
      </w:r>
      <w:r>
        <w:rPr>
          <w:rFonts w:ascii="仿宋" w:hAnsi="仿宋" w:eastAsia="仿宋" w:cs="仿宋"/>
          <w:sz w:val="32"/>
          <w:szCs w:val="32"/>
        </w:rPr>
        <w:t>提升幼儿园办园水平和保育教育质量</w:t>
      </w:r>
      <w:r>
        <w:rPr>
          <w:rFonts w:hint="eastAsia" w:ascii="仿宋" w:hAnsi="仿宋" w:eastAsia="仿宋" w:cs="仿宋"/>
          <w:sz w:val="32"/>
          <w:szCs w:val="32"/>
        </w:rPr>
        <w:t>，</w:t>
      </w:r>
      <w:r>
        <w:rPr>
          <w:rFonts w:ascii="仿宋" w:hAnsi="仿宋" w:eastAsia="仿宋" w:cs="仿宋"/>
          <w:sz w:val="32"/>
          <w:szCs w:val="32"/>
        </w:rPr>
        <w:t>大力发展</w:t>
      </w:r>
      <w:r>
        <w:rPr>
          <w:rFonts w:hint="eastAsia" w:ascii="仿宋" w:hAnsi="仿宋" w:eastAsia="仿宋" w:cs="仿宋"/>
          <w:sz w:val="32"/>
          <w:szCs w:val="32"/>
        </w:rPr>
        <w:t>学前教育</w:t>
      </w:r>
      <w:r>
        <w:rPr>
          <w:rFonts w:ascii="仿宋" w:hAnsi="仿宋" w:eastAsia="仿宋" w:cs="仿宋"/>
          <w:sz w:val="32"/>
          <w:szCs w:val="32"/>
        </w:rPr>
        <w:t>。</w:t>
      </w:r>
    </w:p>
    <w:p>
      <w:pPr>
        <w:spacing w:before="129" w:line="208" w:lineRule="auto"/>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二、</w:t>
      </w:r>
      <w:r>
        <w:rPr>
          <w:rFonts w:hint="eastAsia" w:ascii="黑体" w:hAnsi="黑体" w:eastAsia="黑体" w:cs="黑体"/>
          <w:sz w:val="32"/>
          <w:szCs w:val="32"/>
          <w:lang w:val="zh-CN"/>
        </w:rPr>
        <w:t>项目</w:t>
      </w:r>
      <w:r>
        <w:rPr>
          <w:rFonts w:ascii="黑体" w:hAnsi="黑体" w:eastAsia="黑体" w:cs="黑体"/>
          <w:sz w:val="32"/>
          <w:szCs w:val="32"/>
          <w:lang w:val="zh-CN"/>
        </w:rPr>
        <w:t>立项必要性</w:t>
      </w:r>
    </w:p>
    <w:p>
      <w:pPr>
        <w:spacing w:before="99" w:line="249" w:lineRule="auto"/>
        <w:ind w:right="519" w:firstLine="640" w:firstLineChars="200"/>
        <w:jc w:val="left"/>
        <w:rPr>
          <w:rFonts w:ascii="黑体" w:hAnsi="黑体" w:eastAsia="仿宋" w:cs="黑体"/>
          <w:sz w:val="32"/>
          <w:szCs w:val="32"/>
        </w:rPr>
      </w:pPr>
      <w:r>
        <w:rPr>
          <w:rFonts w:ascii="仿宋" w:hAnsi="仿宋" w:eastAsia="仿宋" w:cs="仿宋"/>
          <w:sz w:val="32"/>
          <w:szCs w:val="32"/>
        </w:rPr>
        <w:t>该园学前教育按照利州区“乡镇公办为主，城区公民办并举</w:t>
      </w:r>
      <w:r>
        <w:rPr>
          <w:rFonts w:hint="eastAsia" w:ascii="仿宋" w:hAnsi="仿宋" w:eastAsia="仿宋" w:cs="仿宋"/>
          <w:sz w:val="32"/>
          <w:szCs w:val="32"/>
        </w:rPr>
        <w:t>，</w:t>
      </w:r>
      <w:r>
        <w:rPr>
          <w:rFonts w:ascii="仿宋" w:hAnsi="仿宋" w:eastAsia="仿宋" w:cs="仿宋"/>
          <w:sz w:val="32"/>
          <w:szCs w:val="32"/>
        </w:rPr>
        <w:t>分类规划，分层建设，同步推进”的发展思路，于</w:t>
      </w:r>
      <w:r>
        <w:rPr>
          <w:rFonts w:hint="eastAsia" w:ascii="仿宋" w:hAnsi="仿宋" w:eastAsia="仿宋" w:cs="仿宋"/>
          <w:sz w:val="32"/>
          <w:szCs w:val="32"/>
        </w:rPr>
        <w:t>2020</w:t>
      </w:r>
      <w:r>
        <w:rPr>
          <w:rFonts w:ascii="仿宋" w:hAnsi="仿宋" w:eastAsia="仿宋" w:cs="仿宋"/>
          <w:sz w:val="32"/>
          <w:szCs w:val="32"/>
        </w:rPr>
        <w:t>年动工修建，</w:t>
      </w:r>
      <w:r>
        <w:rPr>
          <w:rFonts w:hint="eastAsia" w:ascii="仿宋" w:hAnsi="仿宋" w:eastAsia="仿宋" w:cs="仿宋"/>
          <w:sz w:val="32"/>
          <w:szCs w:val="32"/>
        </w:rPr>
        <w:t>预计2021</w:t>
      </w:r>
      <w:r>
        <w:rPr>
          <w:rFonts w:ascii="仿宋" w:hAnsi="仿宋" w:eastAsia="仿宋" w:cs="仿宋"/>
          <w:sz w:val="32"/>
          <w:szCs w:val="32"/>
        </w:rPr>
        <w:t>年正式开园</w:t>
      </w:r>
      <w:r>
        <w:rPr>
          <w:rFonts w:hint="eastAsia" w:ascii="仿宋" w:hAnsi="仿宋" w:eastAsia="仿宋" w:cs="仿宋"/>
          <w:sz w:val="32"/>
          <w:szCs w:val="32"/>
        </w:rPr>
        <w:t>。</w:t>
      </w:r>
    </w:p>
    <w:p>
      <w:pPr>
        <w:spacing w:before="99" w:line="263" w:lineRule="auto"/>
        <w:ind w:right="520" w:firstLine="640" w:firstLineChars="200"/>
        <w:jc w:val="left"/>
        <w:rPr>
          <w:rFonts w:ascii="仿宋" w:hAnsi="仿宋" w:eastAsia="仿宋" w:cs="仿宋"/>
          <w:sz w:val="32"/>
          <w:szCs w:val="32"/>
        </w:rPr>
      </w:pPr>
      <w:r>
        <w:rPr>
          <w:rFonts w:ascii="仿宋" w:hAnsi="仿宋" w:eastAsia="仿宋" w:cs="仿宋"/>
          <w:sz w:val="32"/>
          <w:szCs w:val="32"/>
        </w:rPr>
        <w:t>该项目</w:t>
      </w:r>
      <w:r>
        <w:rPr>
          <w:rFonts w:hint="eastAsia" w:ascii="仿宋" w:hAnsi="仿宋" w:eastAsia="仿宋" w:cs="仿宋"/>
          <w:sz w:val="32"/>
          <w:szCs w:val="32"/>
        </w:rPr>
        <w:t>与2021</w:t>
      </w:r>
      <w:r>
        <w:rPr>
          <w:rFonts w:ascii="仿宋" w:hAnsi="仿宋" w:eastAsia="仿宋" w:cs="仿宋"/>
          <w:sz w:val="32"/>
          <w:szCs w:val="32"/>
        </w:rPr>
        <w:t>年</w:t>
      </w:r>
      <w:r>
        <w:rPr>
          <w:rFonts w:hint="eastAsia" w:ascii="仿宋" w:hAnsi="仿宋" w:eastAsia="仿宋" w:cs="仿宋"/>
          <w:sz w:val="32"/>
          <w:szCs w:val="32"/>
        </w:rPr>
        <w:t>开始实施</w:t>
      </w:r>
      <w:r>
        <w:rPr>
          <w:rFonts w:ascii="仿宋" w:hAnsi="仿宋" w:eastAsia="仿宋" w:cs="仿宋"/>
          <w:sz w:val="32"/>
          <w:szCs w:val="32"/>
        </w:rPr>
        <w:t>，在经费使用过程中</w:t>
      </w:r>
      <w:r>
        <w:rPr>
          <w:rFonts w:hint="eastAsia" w:ascii="仿宋" w:hAnsi="仿宋" w:eastAsia="仿宋" w:cs="仿宋"/>
          <w:sz w:val="32"/>
          <w:szCs w:val="32"/>
        </w:rPr>
        <w:t>，</w:t>
      </w:r>
      <w:r>
        <w:rPr>
          <w:rFonts w:ascii="仿宋" w:hAnsi="仿宋" w:eastAsia="仿宋" w:cs="仿宋"/>
          <w:sz w:val="32"/>
          <w:szCs w:val="32"/>
        </w:rPr>
        <w:t>我们严格按照预算</w:t>
      </w:r>
      <w:r>
        <w:rPr>
          <w:rFonts w:hint="eastAsia" w:ascii="仿宋" w:hAnsi="仿宋" w:eastAsia="仿宋" w:cs="仿宋"/>
          <w:sz w:val="32"/>
          <w:szCs w:val="32"/>
        </w:rPr>
        <w:t>规章制度进行预算申报，科学合理进行预算项目支出规划，按照要求进行进度支出</w:t>
      </w:r>
      <w:r>
        <w:rPr>
          <w:rFonts w:ascii="仿宋" w:hAnsi="仿宋" w:eastAsia="仿宋" w:cs="仿宋"/>
          <w:sz w:val="32"/>
          <w:szCs w:val="32"/>
        </w:rPr>
        <w:t>经费。项目学校严格执行国家</w:t>
      </w:r>
      <w:r>
        <w:rPr>
          <w:rFonts w:hint="eastAsia" w:ascii="仿宋" w:hAnsi="仿宋" w:eastAsia="仿宋" w:cs="仿宋"/>
          <w:sz w:val="32"/>
          <w:szCs w:val="32"/>
        </w:rPr>
        <w:t>、</w:t>
      </w:r>
      <w:r>
        <w:rPr>
          <w:rFonts w:ascii="仿宋" w:hAnsi="仿宋" w:eastAsia="仿宋" w:cs="仿宋"/>
          <w:sz w:val="32"/>
          <w:szCs w:val="32"/>
        </w:rPr>
        <w:t>省和市、区教育经费开支的</w:t>
      </w:r>
      <w:r>
        <w:rPr>
          <w:rFonts w:hint="eastAsia" w:ascii="仿宋" w:hAnsi="仿宋" w:eastAsia="仿宋" w:cs="仿宋"/>
          <w:sz w:val="32"/>
          <w:szCs w:val="32"/>
        </w:rPr>
        <w:t>范</w:t>
      </w:r>
      <w:r>
        <w:rPr>
          <w:rFonts w:ascii="仿宋" w:hAnsi="仿宋" w:eastAsia="仿宋" w:cs="仿宋"/>
          <w:sz w:val="32"/>
          <w:szCs w:val="32"/>
        </w:rPr>
        <w:t>围和标准</w:t>
      </w:r>
      <w:r>
        <w:rPr>
          <w:rFonts w:hint="eastAsia" w:ascii="仿宋" w:hAnsi="仿宋" w:eastAsia="仿宋" w:cs="仿宋"/>
          <w:sz w:val="32"/>
          <w:szCs w:val="32"/>
        </w:rPr>
        <w:t>，</w:t>
      </w:r>
      <w:r>
        <w:rPr>
          <w:rFonts w:ascii="仿宋" w:hAnsi="仿宋" w:eastAsia="仿宋" w:cs="仿宋"/>
          <w:sz w:val="32"/>
          <w:szCs w:val="32"/>
        </w:rPr>
        <w:t>经费支出规范</w:t>
      </w:r>
      <w:r>
        <w:rPr>
          <w:rFonts w:hint="eastAsia" w:ascii="仿宋" w:hAnsi="仿宋" w:eastAsia="仿宋" w:cs="仿宋"/>
          <w:sz w:val="32"/>
          <w:szCs w:val="32"/>
        </w:rPr>
        <w:t>、</w:t>
      </w:r>
      <w:r>
        <w:rPr>
          <w:rFonts w:ascii="仿宋" w:hAnsi="仿宋" w:eastAsia="仿宋" w:cs="仿宋"/>
          <w:sz w:val="32"/>
          <w:szCs w:val="32"/>
        </w:rPr>
        <w:t>合理，无虚列</w:t>
      </w:r>
      <w:r>
        <w:rPr>
          <w:rFonts w:hint="eastAsia" w:ascii="仿宋" w:hAnsi="仿宋" w:eastAsia="仿宋" w:cs="仿宋"/>
          <w:sz w:val="32"/>
          <w:szCs w:val="32"/>
        </w:rPr>
        <w:t>、</w:t>
      </w:r>
      <w:r>
        <w:rPr>
          <w:rFonts w:ascii="仿宋" w:hAnsi="仿宋" w:eastAsia="仿宋" w:cs="仿宋"/>
          <w:sz w:val="32"/>
          <w:szCs w:val="32"/>
        </w:rPr>
        <w:t>虚报冒领和挤占挪用现象</w:t>
      </w:r>
      <w:r>
        <w:rPr>
          <w:rFonts w:hint="eastAsia" w:ascii="仿宋" w:hAnsi="仿宋" w:eastAsia="仿宋" w:cs="仿宋"/>
          <w:sz w:val="32"/>
          <w:szCs w:val="32"/>
        </w:rPr>
        <w:t>，</w:t>
      </w:r>
      <w:r>
        <w:rPr>
          <w:rFonts w:ascii="仿宋" w:hAnsi="仿宋" w:eastAsia="仿宋" w:cs="仿宋"/>
          <w:sz w:val="32"/>
          <w:szCs w:val="32"/>
        </w:rPr>
        <w:t>票据规范、合法有效</w:t>
      </w:r>
      <w:r>
        <w:rPr>
          <w:rFonts w:hint="eastAsia" w:ascii="仿宋" w:hAnsi="仿宋" w:eastAsia="仿宋" w:cs="仿宋"/>
          <w:sz w:val="32"/>
          <w:szCs w:val="32"/>
        </w:rPr>
        <w:t>。</w:t>
      </w:r>
      <w:r>
        <w:rPr>
          <w:rFonts w:ascii="仿宋" w:hAnsi="仿宋" w:eastAsia="仿宋" w:cs="仿宋"/>
          <w:sz w:val="32"/>
          <w:szCs w:val="32"/>
        </w:rPr>
        <w:t>财务信息公开透明，对预算批复</w:t>
      </w:r>
      <w:r>
        <w:rPr>
          <w:rFonts w:hint="eastAsia" w:ascii="仿宋" w:hAnsi="仿宋" w:eastAsia="仿宋" w:cs="仿宋"/>
          <w:sz w:val="32"/>
          <w:szCs w:val="32"/>
        </w:rPr>
        <w:t>，</w:t>
      </w:r>
      <w:r>
        <w:rPr>
          <w:rFonts w:ascii="仿宋" w:hAnsi="仿宋" w:eastAsia="仿宋" w:cs="仿宋"/>
          <w:sz w:val="32"/>
          <w:szCs w:val="32"/>
        </w:rPr>
        <w:t>主动公示并接受师生和群众监督。在区财政和教育主管部门定期组织对学校经费</w:t>
      </w:r>
      <w:r>
        <w:rPr>
          <w:rFonts w:hint="eastAsia" w:ascii="仿宋" w:hAnsi="仿宋" w:eastAsia="仿宋" w:cs="仿宋"/>
          <w:sz w:val="32"/>
          <w:szCs w:val="32"/>
        </w:rPr>
        <w:t>申报和</w:t>
      </w:r>
      <w:r>
        <w:rPr>
          <w:rFonts w:ascii="仿宋" w:hAnsi="仿宋" w:eastAsia="仿宋" w:cs="仿宋"/>
          <w:sz w:val="32"/>
          <w:szCs w:val="32"/>
        </w:rPr>
        <w:t>使用情况的检查 、审计中未发现重大违规</w:t>
      </w:r>
      <w:r>
        <w:rPr>
          <w:rFonts w:hint="eastAsia" w:ascii="仿宋" w:hAnsi="仿宋" w:eastAsia="仿宋" w:cs="仿宋"/>
          <w:sz w:val="32"/>
          <w:szCs w:val="32"/>
        </w:rPr>
        <w:t>、</w:t>
      </w:r>
      <w:r>
        <w:rPr>
          <w:rFonts w:ascii="仿宋" w:hAnsi="仿宋" w:eastAsia="仿宋" w:cs="仿宋"/>
          <w:sz w:val="32"/>
          <w:szCs w:val="32"/>
        </w:rPr>
        <w:t>违纪现象。</w:t>
      </w:r>
    </w:p>
    <w:p>
      <w:pPr>
        <w:spacing w:before="129" w:line="208" w:lineRule="auto"/>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三</w:t>
      </w:r>
      <w:r>
        <w:rPr>
          <w:rFonts w:ascii="黑体" w:hAnsi="黑体" w:eastAsia="黑体" w:cs="黑体"/>
          <w:sz w:val="32"/>
          <w:szCs w:val="32"/>
          <w:lang w:val="zh-CN"/>
        </w:rPr>
        <w:t>、</w:t>
      </w:r>
      <w:r>
        <w:rPr>
          <w:rFonts w:hint="eastAsia" w:ascii="黑体" w:hAnsi="黑体" w:eastAsia="黑体" w:cs="黑体"/>
          <w:sz w:val="32"/>
          <w:szCs w:val="32"/>
          <w:lang w:val="zh-CN"/>
        </w:rPr>
        <w:t>项目绩效情况</w:t>
      </w:r>
    </w:p>
    <w:p>
      <w:pPr>
        <w:tabs>
          <w:tab w:val="left" w:pos="830"/>
        </w:tabs>
        <w:spacing w:before="108" w:line="199" w:lineRule="auto"/>
        <w:ind w:left="681"/>
        <w:jc w:val="left"/>
        <w:rPr>
          <w:rFonts w:ascii="楷体" w:hAnsi="楷体" w:eastAsia="楷体" w:cs="楷体"/>
          <w:bCs/>
          <w:sz w:val="32"/>
          <w:szCs w:val="32"/>
          <w:lang w:val="zh-CN"/>
        </w:rPr>
      </w:pPr>
      <w:r>
        <w:rPr>
          <w:rFonts w:ascii="仿宋" w:hAnsi="仿宋" w:eastAsia="仿宋" w:cs="仿宋"/>
          <w:sz w:val="32"/>
          <w:szCs w:val="32"/>
        </w:rPr>
        <w:tab/>
      </w:r>
      <w:r>
        <w:rPr>
          <w:rFonts w:ascii="楷体" w:hAnsi="楷体" w:eastAsia="楷体" w:cs="楷体"/>
          <w:bCs/>
          <w:sz w:val="32"/>
          <w:szCs w:val="32"/>
          <w:lang w:val="zh-CN"/>
        </w:rPr>
        <w:t>(一)绩效目标设置情况</w:t>
      </w:r>
    </w:p>
    <w:p>
      <w:pPr>
        <w:spacing w:before="106" w:line="249" w:lineRule="auto"/>
        <w:ind w:left="15" w:right="96" w:firstLine="646"/>
        <w:jc w:val="left"/>
        <w:rPr>
          <w:rFonts w:ascii="仿宋" w:hAnsi="仿宋" w:eastAsia="仿宋" w:cs="仿宋"/>
          <w:sz w:val="32"/>
          <w:szCs w:val="32"/>
        </w:rPr>
      </w:pPr>
      <w:r>
        <w:rPr>
          <w:rFonts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before="3" w:line="247" w:lineRule="auto"/>
        <w:ind w:left="14" w:right="426" w:firstLine="640"/>
        <w:jc w:val="left"/>
        <w:rPr>
          <w:rFonts w:ascii="仿宋" w:hAnsi="仿宋" w:eastAsia="仿宋" w:cs="仿宋"/>
          <w:sz w:val="32"/>
          <w:szCs w:val="32"/>
        </w:rPr>
      </w:pPr>
      <w:r>
        <w:rPr>
          <w:rFonts w:ascii="仿宋" w:hAnsi="仿宋" w:eastAsia="仿宋" w:cs="仿宋"/>
          <w:sz w:val="32"/>
          <w:szCs w:val="32"/>
        </w:rPr>
        <w:t>被评价项目绩效评价指标体系设置3个一级指标、3个</w:t>
      </w:r>
      <w:r>
        <w:rPr>
          <w:rFonts w:hint="eastAsia" w:ascii="仿宋" w:hAnsi="仿宋" w:eastAsia="仿宋" w:cs="仿宋"/>
          <w:sz w:val="32"/>
          <w:szCs w:val="32"/>
        </w:rPr>
        <w:t>二</w:t>
      </w:r>
      <w:r>
        <w:rPr>
          <w:rFonts w:ascii="仿宋" w:hAnsi="仿宋" w:eastAsia="仿宋" w:cs="仿宋"/>
          <w:sz w:val="32"/>
          <w:szCs w:val="32"/>
        </w:rPr>
        <w:t>级指标、6个三级指标 。</w:t>
      </w:r>
    </w:p>
    <w:p>
      <w:pPr>
        <w:spacing w:before="3" w:line="247" w:lineRule="auto"/>
        <w:ind w:left="14" w:right="426" w:firstLine="640"/>
        <w:jc w:val="lef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(1)一级指标：设置项目完成</w:t>
      </w:r>
      <w:r>
        <w:rPr>
          <w:rFonts w:hint="eastAsia" w:ascii="仿宋" w:hAnsi="仿宋" w:eastAsia="仿宋" w:cs="仿宋"/>
          <w:sz w:val="32"/>
          <w:szCs w:val="32"/>
        </w:rPr>
        <w:t>、</w:t>
      </w:r>
      <w:r>
        <w:rPr>
          <w:rFonts w:ascii="仿宋" w:hAnsi="仿宋" w:eastAsia="仿宋" w:cs="仿宋"/>
          <w:sz w:val="32"/>
          <w:szCs w:val="32"/>
        </w:rPr>
        <w:t>项目效益 、满意度指标1个 。</w:t>
      </w:r>
    </w:p>
    <w:p>
      <w:pPr>
        <w:tabs>
          <w:tab w:val="left" w:pos="830"/>
        </w:tabs>
        <w:spacing w:before="120" w:line="249" w:lineRule="auto"/>
        <w:ind w:left="18" w:right="402" w:firstLine="663"/>
        <w:jc w:val="lef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(2)二级指标</w:t>
      </w:r>
      <w:r>
        <w:rPr>
          <w:rFonts w:hint="eastAsia" w:ascii="仿宋" w:hAnsi="仿宋" w:eastAsia="仿宋" w:cs="仿宋"/>
          <w:sz w:val="32"/>
          <w:szCs w:val="32"/>
        </w:rPr>
        <w:t>：</w:t>
      </w:r>
      <w:r>
        <w:rPr>
          <w:rFonts w:ascii="仿宋" w:hAnsi="仿宋" w:eastAsia="仿宋" w:cs="仿宋"/>
          <w:sz w:val="32"/>
          <w:szCs w:val="32"/>
        </w:rPr>
        <w:t>项目完成设置数量目标、质量指标、可持续性影响指标、社会效益指标、满意度指标6个。</w:t>
      </w:r>
    </w:p>
    <w:p>
      <w:pPr>
        <w:tabs>
          <w:tab w:val="left" w:pos="830"/>
        </w:tabs>
        <w:spacing w:before="6" w:line="249" w:lineRule="auto"/>
        <w:ind w:left="14" w:right="279" w:firstLine="667"/>
        <w:jc w:val="lef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(3)三级指标：数量指标设置支持建设乡村幼儿园等指标2 个，质量指标设置购置设施设备达标率指标1个；可持续性影响指标设置幼儿园正常运作指标1个；社会效益指标设置公办园招生覆盖率指标1个；满意度指标设置公众满意度指标2个。</w:t>
      </w:r>
    </w:p>
    <w:p>
      <w:pPr>
        <w:tabs>
          <w:tab w:val="left" w:pos="830"/>
        </w:tabs>
        <w:spacing w:before="108" w:line="199" w:lineRule="auto"/>
        <w:ind w:left="681"/>
        <w:jc w:val="left"/>
        <w:rPr>
          <w:rFonts w:ascii="楷体" w:hAnsi="楷体" w:eastAsia="楷体" w:cs="楷体"/>
          <w:bCs/>
          <w:sz w:val="32"/>
          <w:szCs w:val="32"/>
          <w:lang w:val="zh-CN"/>
        </w:rPr>
      </w:pPr>
      <w:r>
        <w:rPr>
          <w:rFonts w:ascii="楷体" w:hAnsi="楷体" w:eastAsia="楷体" w:cs="楷体"/>
          <w:bCs/>
          <w:sz w:val="32"/>
          <w:szCs w:val="32"/>
          <w:lang w:val="zh-CN"/>
        </w:rPr>
        <w:tab/>
      </w:r>
      <w:r>
        <w:rPr>
          <w:rFonts w:ascii="楷体" w:hAnsi="楷体" w:eastAsia="楷体" w:cs="楷体"/>
          <w:bCs/>
          <w:sz w:val="32"/>
          <w:szCs w:val="32"/>
          <w:lang w:val="zh-CN"/>
        </w:rPr>
        <w:t>(二)绩效指标合理性</w:t>
      </w:r>
    </w:p>
    <w:p>
      <w:pPr>
        <w:spacing w:before="106" w:line="248" w:lineRule="auto"/>
        <w:ind w:left="16" w:right="98" w:firstLine="642"/>
        <w:jc w:val="left"/>
        <w:rPr>
          <w:rFonts w:ascii="仿宋" w:hAnsi="仿宋" w:eastAsia="仿宋" w:cs="仿宋"/>
          <w:sz w:val="32"/>
          <w:szCs w:val="32"/>
        </w:rPr>
      </w:pPr>
      <w:r>
        <w:rPr>
          <w:rFonts w:ascii="仿宋" w:hAnsi="仿宋" w:eastAsia="仿宋" w:cs="仿宋"/>
          <w:sz w:val="32"/>
          <w:szCs w:val="32"/>
        </w:rPr>
        <w:t>该项目绩效评价指标设置完整、科学、合理</w:t>
      </w:r>
      <w:r>
        <w:rPr>
          <w:rFonts w:hint="eastAsia" w:ascii="仿宋" w:hAnsi="仿宋" w:eastAsia="仿宋" w:cs="仿宋"/>
          <w:sz w:val="32"/>
          <w:szCs w:val="32"/>
        </w:rPr>
        <w:t>，</w:t>
      </w:r>
      <w:r>
        <w:rPr>
          <w:rFonts w:ascii="仿宋" w:hAnsi="仿宋" w:eastAsia="仿宋" w:cs="仿宋"/>
          <w:sz w:val="32"/>
          <w:szCs w:val="32"/>
        </w:rPr>
        <w:t>各项绩效指标可量化可考核，契合政策或项目实质，符合部门的长期规划目标和年度工作目标要求。</w:t>
      </w:r>
    </w:p>
    <w:p>
      <w:pPr>
        <w:spacing w:line="208" w:lineRule="auto"/>
        <w:ind w:left="662"/>
        <w:jc w:val="left"/>
        <w:rPr>
          <w:rFonts w:ascii="黑体" w:hAnsi="黑体" w:eastAsia="黑体" w:cs="黑体"/>
          <w:sz w:val="32"/>
          <w:szCs w:val="32"/>
        </w:rPr>
      </w:pPr>
      <w:r>
        <w:rPr>
          <w:rFonts w:hint="eastAsia" w:ascii="黑体" w:hAnsi="黑体" w:eastAsia="黑体" w:cs="黑体"/>
          <w:sz w:val="32"/>
          <w:szCs w:val="32"/>
          <w:lang w:val="zh-CN"/>
        </w:rPr>
        <w:t>四</w:t>
      </w:r>
      <w:r>
        <w:rPr>
          <w:rFonts w:ascii="黑体" w:hAnsi="黑体" w:eastAsia="黑体" w:cs="黑体"/>
          <w:sz w:val="32"/>
          <w:szCs w:val="32"/>
          <w:lang w:val="zh-CN"/>
        </w:rPr>
        <w:t>、</w:t>
      </w:r>
      <w:r>
        <w:rPr>
          <w:rFonts w:hint="eastAsia" w:ascii="黑体" w:hAnsi="黑体" w:eastAsia="黑体" w:cs="黑体"/>
          <w:sz w:val="32"/>
          <w:szCs w:val="32"/>
          <w:lang w:val="zh-CN"/>
        </w:rPr>
        <w:t>项</w:t>
      </w:r>
      <w:r>
        <w:rPr>
          <w:rFonts w:ascii="黑体" w:hAnsi="黑体" w:eastAsia="黑体" w:cs="黑体"/>
          <w:sz w:val="32"/>
          <w:szCs w:val="32"/>
        </w:rPr>
        <w:t>目实施及管理情况</w:t>
      </w:r>
    </w:p>
    <w:p>
      <w:pPr>
        <w:pStyle w:val="23"/>
        <w:numPr>
          <w:ilvl w:val="0"/>
          <w:numId w:val="8"/>
        </w:numPr>
        <w:spacing w:line="208" w:lineRule="auto"/>
        <w:ind w:firstLineChars="0"/>
        <w:jc w:val="left"/>
        <w:rPr>
          <w:rFonts w:ascii="楷体" w:hAnsi="楷体" w:eastAsia="楷体" w:cs="楷体"/>
          <w:sz w:val="32"/>
          <w:szCs w:val="32"/>
        </w:rPr>
      </w:pPr>
      <w:r>
        <w:rPr>
          <w:rFonts w:hint="eastAsia" w:ascii="楷体" w:hAnsi="楷体" w:eastAsia="楷体" w:cs="楷体"/>
          <w:sz w:val="32"/>
          <w:szCs w:val="32"/>
        </w:rPr>
        <w:t>资金计划、到位及使用情况</w:t>
      </w:r>
    </w:p>
    <w:p>
      <w:pPr>
        <w:pStyle w:val="23"/>
        <w:spacing w:line="208" w:lineRule="auto"/>
        <w:ind w:left="1082" w:firstLine="0" w:firstLineChars="0"/>
        <w:jc w:val="left"/>
        <w:rPr>
          <w:rFonts w:ascii="仿宋" w:hAnsi="仿宋" w:eastAsia="仿宋" w:cs="仿宋"/>
          <w:sz w:val="32"/>
          <w:szCs w:val="32"/>
          <w:lang w:val="zh-CN"/>
        </w:rPr>
      </w:pPr>
      <w:r>
        <w:rPr>
          <w:rFonts w:hint="eastAsia" w:ascii="仿宋" w:hAnsi="仿宋" w:eastAsia="仿宋" w:cs="仿宋"/>
          <w:sz w:val="32"/>
          <w:szCs w:val="32"/>
        </w:rPr>
        <w:t>1.</w:t>
      </w:r>
      <w:r>
        <w:rPr>
          <w:rFonts w:ascii="仿宋" w:hAnsi="仿宋" w:eastAsia="仿宋" w:cs="仿宋"/>
          <w:sz w:val="32"/>
          <w:szCs w:val="32"/>
        </w:rPr>
        <w:t>资金计划及到位</w:t>
      </w:r>
    </w:p>
    <w:p>
      <w:pPr>
        <w:spacing w:line="208" w:lineRule="auto"/>
        <w:jc w:val="left"/>
        <w:rPr>
          <w:rFonts w:ascii="仿宋" w:hAnsi="仿宋" w:eastAsia="仿宋" w:cs="仿宋"/>
          <w:sz w:val="32"/>
          <w:szCs w:val="32"/>
        </w:rPr>
      </w:pPr>
      <w:r>
        <w:rPr>
          <w:rFonts w:ascii="黑体" w:hAnsi="黑体" w:eastAsia="黑体" w:cs="黑体"/>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2</w:t>
      </w:r>
      <w:r>
        <w:rPr>
          <w:rFonts w:ascii="仿宋" w:hAnsi="仿宋" w:eastAsia="仿宋" w:cs="仿宋"/>
          <w:sz w:val="32"/>
          <w:szCs w:val="32"/>
        </w:rPr>
        <w:t>021年年初将该项目资金纳入区级财政资金预算，并及时下达该项目资金，资金到位及时，资金到位率100%。</w:t>
      </w:r>
    </w:p>
    <w:p>
      <w:pPr>
        <w:spacing w:before="129" w:line="249" w:lineRule="auto"/>
        <w:ind w:right="18" w:firstLine="960" w:firstLineChars="3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使用情况</w:t>
      </w:r>
    </w:p>
    <w:p>
      <w:pPr>
        <w:spacing w:before="129" w:line="249" w:lineRule="auto"/>
        <w:ind w:right="18" w:firstLine="640" w:firstLineChars="200"/>
        <w:jc w:val="left"/>
        <w:rPr>
          <w:rFonts w:ascii="仿宋" w:hAnsi="仿宋" w:eastAsia="仿宋" w:cs="仿宋"/>
          <w:sz w:val="32"/>
          <w:szCs w:val="32"/>
        </w:rPr>
      </w:pPr>
      <w:r>
        <w:rPr>
          <w:rFonts w:ascii="仿宋" w:hAnsi="仿宋" w:eastAsia="仿宋" w:cs="仿宋"/>
          <w:sz w:val="32"/>
          <w:szCs w:val="32"/>
        </w:rPr>
        <w:t>为保障该项目顺利实施，</w:t>
      </w:r>
      <w:r>
        <w:rPr>
          <w:rFonts w:hint="eastAsia" w:ascii="仿宋" w:hAnsi="仿宋" w:eastAsia="仿宋" w:cs="仿宋"/>
          <w:sz w:val="32"/>
          <w:szCs w:val="32"/>
        </w:rPr>
        <w:t>我园</w:t>
      </w:r>
      <w:r>
        <w:rPr>
          <w:rFonts w:ascii="仿宋" w:hAnsi="仿宋" w:eastAsia="仿宋" w:cs="仿宋"/>
          <w:sz w:val="32"/>
          <w:szCs w:val="32"/>
        </w:rPr>
        <w:t>成立了以</w:t>
      </w:r>
      <w:r>
        <w:rPr>
          <w:rFonts w:hint="eastAsia" w:ascii="仿宋" w:hAnsi="仿宋" w:eastAsia="仿宋" w:cs="仿宋"/>
          <w:sz w:val="32"/>
          <w:szCs w:val="32"/>
        </w:rPr>
        <w:t>园</w:t>
      </w:r>
      <w:r>
        <w:rPr>
          <w:rFonts w:ascii="仿宋" w:hAnsi="仿宋" w:eastAsia="仿宋" w:cs="仿宋"/>
          <w:sz w:val="32"/>
          <w:szCs w:val="32"/>
        </w:rPr>
        <w:t>长任组长，  班子成员任副组长，各部门负责人为成员的工作领导小组，将项目实施的各项绩效目标纳入单位年度工作计划，并要求严格执行国家</w:t>
      </w:r>
      <w:r>
        <w:rPr>
          <w:rFonts w:hint="eastAsia" w:ascii="仿宋" w:hAnsi="仿宋" w:eastAsia="仿宋" w:cs="仿宋"/>
          <w:sz w:val="32"/>
          <w:szCs w:val="32"/>
        </w:rPr>
        <w:t>、</w:t>
      </w:r>
      <w:r>
        <w:rPr>
          <w:rFonts w:ascii="仿宋" w:hAnsi="仿宋" w:eastAsia="仿宋" w:cs="仿宋"/>
          <w:sz w:val="32"/>
          <w:szCs w:val="32"/>
        </w:rPr>
        <w:t>省和市 、区教育经费开支的范围和标准，资金总量严格控制在预算标准内</w:t>
      </w:r>
      <w:r>
        <w:rPr>
          <w:rFonts w:hint="eastAsia" w:ascii="仿宋" w:hAnsi="仿宋" w:eastAsia="仿宋" w:cs="仿宋"/>
          <w:sz w:val="32"/>
          <w:szCs w:val="32"/>
        </w:rPr>
        <w:t>，</w:t>
      </w:r>
      <w:r>
        <w:rPr>
          <w:rFonts w:ascii="仿宋" w:hAnsi="仿宋" w:eastAsia="仿宋" w:cs="仿宋"/>
          <w:sz w:val="32"/>
          <w:szCs w:val="32"/>
        </w:rPr>
        <w:t>经费支出规范</w:t>
      </w:r>
      <w:r>
        <w:rPr>
          <w:rFonts w:hint="eastAsia" w:ascii="仿宋" w:hAnsi="仿宋" w:eastAsia="仿宋" w:cs="仿宋"/>
          <w:sz w:val="32"/>
          <w:szCs w:val="32"/>
        </w:rPr>
        <w:t>、</w:t>
      </w:r>
      <w:r>
        <w:rPr>
          <w:rFonts w:ascii="仿宋" w:hAnsi="仿宋" w:eastAsia="仿宋" w:cs="仿宋"/>
          <w:sz w:val="32"/>
          <w:szCs w:val="32"/>
        </w:rPr>
        <w:t>合理。</w:t>
      </w:r>
    </w:p>
    <w:p>
      <w:pPr>
        <w:pStyle w:val="2"/>
        <w:spacing w:before="93" w:line="249" w:lineRule="auto"/>
        <w:ind w:right="18" w:firstLine="640" w:firstLineChars="200"/>
        <w:jc w:val="left"/>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项目财务管理情况项目财务管理制度建设健全、机构设置合理合规、会计核算及账务处理合理。该项目严格执行财务管理制度、财务处理及时、会计核算规范。</w:t>
      </w:r>
    </w:p>
    <w:p>
      <w:pPr>
        <w:pStyle w:val="2"/>
        <w:spacing w:before="93" w:line="249" w:lineRule="auto"/>
        <w:ind w:right="18" w:firstLine="640" w:firstLineChars="200"/>
        <w:jc w:val="left"/>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项目组织实施情况利州区教育局成立了区计财股为主体的财务工作领导小组，指导和检查资金的使用情况，经检查，该专项资金使用合法合规，严格执行相关资金管理制度。</w:t>
      </w:r>
    </w:p>
    <w:p>
      <w:pPr>
        <w:spacing w:line="208" w:lineRule="auto"/>
        <w:ind w:left="662"/>
        <w:jc w:val="left"/>
        <w:rPr>
          <w:rFonts w:ascii="黑体" w:hAnsi="黑体" w:eastAsia="黑体" w:cs="黑体"/>
          <w:sz w:val="32"/>
          <w:szCs w:val="32"/>
          <w:lang w:val="zh-CN"/>
        </w:rPr>
      </w:pPr>
      <w:r>
        <w:rPr>
          <w:rFonts w:hint="eastAsia" w:ascii="黑体" w:hAnsi="黑体" w:eastAsia="黑体" w:cs="黑体"/>
          <w:sz w:val="32"/>
          <w:szCs w:val="32"/>
          <w:lang w:val="zh-CN"/>
        </w:rPr>
        <w:t>五、问题及建议</w:t>
      </w:r>
    </w:p>
    <w:p>
      <w:pPr>
        <w:spacing w:line="600" w:lineRule="exact"/>
        <w:outlineLvl w:val="0"/>
        <w:rPr>
          <w:rFonts w:ascii="仿宋" w:hAnsi="仿宋" w:eastAsia="仿宋" w:cs="仿宋"/>
          <w:sz w:val="32"/>
          <w:szCs w:val="32"/>
        </w:rPr>
      </w:pPr>
      <w:r>
        <w:rPr>
          <w:rFonts w:hint="eastAsia" w:ascii="仿宋" w:hAnsi="仿宋" w:eastAsia="仿宋" w:cs="仿宋"/>
          <w:sz w:val="32"/>
          <w:szCs w:val="32"/>
        </w:rPr>
        <w:t xml:space="preserve">    加大政策的宣传力度，让家长认识到政府对基础教育投入，解决学生入学难的问题。</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600" w:lineRule="exact"/>
        <w:ind w:firstLine="660" w:firstLineChars="150"/>
        <w:jc w:val="center"/>
        <w:outlineLvl w:val="0"/>
        <w:rPr>
          <w:rStyle w:val="24"/>
          <w:rFonts w:ascii="黑体" w:hAnsi="黑体" w:eastAsia="黑体"/>
          <w:b w:val="0"/>
        </w:rPr>
      </w:pPr>
      <w:bookmarkStart w:id="57" w:name="_Toc15396618"/>
      <w:r>
        <w:rPr>
          <w:rFonts w:hint="eastAsia" w:ascii="黑体" w:hAnsi="黑体" w:eastAsia="黑体" w:cs="黑体"/>
          <w:bCs/>
          <w:kern w:val="44"/>
          <w:sz w:val="44"/>
          <w:szCs w:val="44"/>
        </w:rPr>
        <w:t xml:space="preserve">第五部分 </w:t>
      </w:r>
      <w:r>
        <w:rPr>
          <w:rStyle w:val="24"/>
          <w:rFonts w:hint="eastAsia" w:ascii="黑体" w:hAnsi="黑体" w:eastAsia="黑体"/>
          <w:b w:val="0"/>
        </w:rPr>
        <w:t>附表</w:t>
      </w:r>
      <w:bookmarkEnd w:id="57"/>
      <w:bookmarkStart w:id="58" w:name="_Toc15396619"/>
    </w:p>
    <w:p>
      <w:pPr>
        <w:spacing w:line="600" w:lineRule="exact"/>
        <w:outlineLvl w:val="0"/>
        <w:rPr>
          <w:rFonts w:ascii="仿宋" w:hAnsi="仿宋" w:eastAsia="仿宋"/>
        </w:rPr>
      </w:pPr>
      <w:r>
        <w:rPr>
          <w:rFonts w:hint="eastAsia" w:ascii="仿宋" w:hAnsi="仿宋" w:eastAsia="仿宋"/>
          <w:sz w:val="36"/>
          <w:szCs w:val="36"/>
        </w:rPr>
        <w:t>一</w:t>
      </w:r>
      <w:r>
        <w:rPr>
          <w:rFonts w:hint="eastAsia" w:ascii="仿宋" w:hAnsi="仿宋" w:eastAsia="仿宋"/>
        </w:rPr>
        <w:t>、</w:t>
      </w:r>
      <w:r>
        <w:rPr>
          <w:rFonts w:hint="eastAsia" w:ascii="仿宋" w:hAnsi="仿宋" w:eastAsia="仿宋"/>
          <w:sz w:val="32"/>
          <w:szCs w:val="32"/>
        </w:rPr>
        <w:t>收</w:t>
      </w:r>
      <w:r>
        <w:rPr>
          <w:rStyle w:val="25"/>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25"/>
          <w:rFonts w:hint="eastAsia" w:ascii="仿宋" w:hAnsi="仿宋" w:eastAsia="仿宋"/>
          <w:b w:val="0"/>
          <w:bCs w:val="0"/>
        </w:rPr>
        <w:t>入决算表</w:t>
      </w:r>
      <w:bookmarkEnd w:id="59"/>
    </w:p>
    <w:p>
      <w:pPr>
        <w:pStyle w:val="4"/>
        <w:rPr>
          <w:rFonts w:ascii="仿宋" w:hAnsi="仿宋" w:eastAsia="仿宋"/>
        </w:rPr>
      </w:pPr>
      <w:bookmarkStart w:id="60"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1"/>
    </w:p>
    <w:p>
      <w:pPr>
        <w:pStyle w:val="4"/>
        <w:rPr>
          <w:rStyle w:val="25"/>
          <w:rFonts w:ascii="仿宋" w:hAnsi="仿宋" w:eastAsia="仿宋"/>
          <w:b w:val="0"/>
          <w:bCs w:val="0"/>
        </w:rPr>
      </w:pPr>
      <w:bookmarkStart w:id="62"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7"/>
    </w:p>
    <w:p>
      <w:pPr>
        <w:pStyle w:val="4"/>
        <w:rPr>
          <w:rFonts w:ascii="仿宋" w:hAnsi="仿宋" w:eastAsia="仿宋"/>
        </w:rPr>
      </w:pPr>
      <w:bookmarkStart w:id="68"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8"/>
    </w:p>
    <w:p>
      <w:pPr>
        <w:pStyle w:val="4"/>
        <w:rPr>
          <w:rFonts w:ascii="仿宋" w:hAnsi="仿宋" w:eastAsia="仿宋"/>
        </w:rPr>
      </w:pPr>
      <w:bookmarkStart w:id="69"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9"/>
    </w:p>
    <w:p>
      <w:pPr>
        <w:pStyle w:val="4"/>
        <w:rPr>
          <w:rStyle w:val="25"/>
          <w:rFonts w:ascii="仿宋" w:hAnsi="仿宋" w:eastAsia="仿宋"/>
          <w:b w:val="0"/>
          <w:bCs w:val="0"/>
        </w:rPr>
      </w:pPr>
      <w:bookmarkStart w:id="70"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70"/>
    </w:p>
    <w:p>
      <w:pPr>
        <w:rPr>
          <w:rFonts w:eastAsia="仿宋"/>
        </w:rPr>
      </w:pPr>
      <w:r>
        <w:rPr>
          <w:rStyle w:val="25"/>
          <w:rFonts w:hint="eastAsia" w:ascii="仿宋" w:hAnsi="仿宋" w:eastAsia="仿宋"/>
          <w:b w:val="0"/>
          <w:bCs w:val="0"/>
        </w:rPr>
        <w:t>十四、国有资本经营预算财政拨款支出决算表</w:t>
      </w:r>
    </w:p>
    <w:p>
      <w:pPr>
        <w:rPr>
          <w:rFonts w:eastAsia="仿宋"/>
        </w:rPr>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spacing w:before="72"/>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spacing w:before="72"/>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A327DF2"/>
    <w:multiLevelType w:val="singleLevel"/>
    <w:tmpl w:val="DA327DF2"/>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000000F"/>
    <w:multiLevelType w:val="multilevel"/>
    <w:tmpl w:val="0000000F"/>
    <w:lvl w:ilvl="0" w:tentative="0">
      <w:start w:val="1"/>
      <w:numFmt w:val="chineseCounting"/>
      <w:lvlText w:val="（%1）"/>
      <w:lvlJc w:val="left"/>
      <w:pPr>
        <w:ind w:left="1082" w:hanging="420"/>
      </w:pPr>
    </w:lvl>
    <w:lvl w:ilvl="1" w:tentative="0">
      <w:start w:val="1"/>
      <w:numFmt w:val="lowerLetter"/>
      <w:lvlText w:val="%2)"/>
      <w:lvlJc w:val="left"/>
      <w:pPr>
        <w:ind w:left="1502" w:hanging="420"/>
      </w:pPr>
    </w:lvl>
    <w:lvl w:ilvl="2" w:tentative="0">
      <w:start w:val="1"/>
      <w:numFmt w:val="lowerRoman"/>
      <w:lvlText w:val="%3."/>
      <w:lvlJc w:val="right"/>
      <w:pPr>
        <w:ind w:left="1922" w:hanging="420"/>
      </w:pPr>
    </w:lvl>
    <w:lvl w:ilvl="3" w:tentative="0">
      <w:start w:val="1"/>
      <w:numFmt w:val="decimal"/>
      <w:lvlText w:val="%4."/>
      <w:lvlJc w:val="left"/>
      <w:pPr>
        <w:ind w:left="2342" w:hanging="420"/>
      </w:pPr>
    </w:lvl>
    <w:lvl w:ilvl="4" w:tentative="0">
      <w:start w:val="1"/>
      <w:numFmt w:val="lowerLetter"/>
      <w:lvlText w:val="%5)"/>
      <w:lvlJc w:val="left"/>
      <w:pPr>
        <w:ind w:left="2762" w:hanging="420"/>
      </w:pPr>
    </w:lvl>
    <w:lvl w:ilvl="5" w:tentative="0">
      <w:start w:val="1"/>
      <w:numFmt w:val="lowerRoman"/>
      <w:lvlText w:val="%6."/>
      <w:lvlJc w:val="right"/>
      <w:pPr>
        <w:ind w:left="3182" w:hanging="420"/>
      </w:pPr>
    </w:lvl>
    <w:lvl w:ilvl="6" w:tentative="0">
      <w:start w:val="1"/>
      <w:numFmt w:val="decimal"/>
      <w:lvlText w:val="%7."/>
      <w:lvlJc w:val="left"/>
      <w:pPr>
        <w:ind w:left="3602" w:hanging="420"/>
      </w:pPr>
    </w:lvl>
    <w:lvl w:ilvl="7" w:tentative="0">
      <w:start w:val="1"/>
      <w:numFmt w:val="lowerLetter"/>
      <w:lvlText w:val="%8)"/>
      <w:lvlJc w:val="left"/>
      <w:pPr>
        <w:ind w:left="4022" w:hanging="420"/>
      </w:pPr>
    </w:lvl>
    <w:lvl w:ilvl="8" w:tentative="0">
      <w:start w:val="1"/>
      <w:numFmt w:val="lowerRoman"/>
      <w:lvlText w:val="%9."/>
      <w:lvlJc w:val="right"/>
      <w:pPr>
        <w:ind w:left="4442" w:hanging="420"/>
      </w:pPr>
    </w:lvl>
  </w:abstractNum>
  <w:abstractNum w:abstractNumId="4">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29FD217"/>
    <w:multiLevelType w:val="singleLevel"/>
    <w:tmpl w:val="329FD217"/>
    <w:lvl w:ilvl="0" w:tentative="0">
      <w:start w:val="1"/>
      <w:numFmt w:val="chineseCounting"/>
      <w:suff w:val="space"/>
      <w:lvlText w:val="第%1部分"/>
      <w:lvlJc w:val="left"/>
      <w:rPr>
        <w:rFonts w:hint="eastAsia"/>
      </w:rPr>
    </w:lvl>
  </w:abstractNum>
  <w:abstractNum w:abstractNumId="6">
    <w:nsid w:val="6F195AA6"/>
    <w:multiLevelType w:val="multilevel"/>
    <w:tmpl w:val="6F195AA6"/>
    <w:lvl w:ilvl="0" w:tentative="0">
      <w:start w:val="1"/>
      <w:numFmt w:val="japaneseCounting"/>
      <w:lvlText w:val="%1、"/>
      <w:lvlJc w:val="left"/>
      <w:pPr>
        <w:ind w:left="630" w:hanging="630"/>
      </w:pPr>
      <w:rPr>
        <w:rFonts w:hint="default" w:ascii="黑体" w:hAnsi="黑体" w:eastAsia="黑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CE5743"/>
    <w:multiLevelType w:val="singleLevel"/>
    <w:tmpl w:val="72CE5743"/>
    <w:lvl w:ilvl="0" w:tentative="0">
      <w:start w:val="2"/>
      <w:numFmt w:val="chineseCounting"/>
      <w:suff w:val="nothing"/>
      <w:lvlText w:val="（%1）"/>
      <w:lvlJc w:val="left"/>
      <w:rPr>
        <w:rFonts w:hint="eastAsia"/>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YWE2NWM1YTFkNWRjZGJlMjVjNWUxNzc5MjYw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76A96"/>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6DEF"/>
    <w:rsid w:val="00260C38"/>
    <w:rsid w:val="002616C0"/>
    <w:rsid w:val="00265372"/>
    <w:rsid w:val="002662AA"/>
    <w:rsid w:val="00280496"/>
    <w:rsid w:val="00294DC9"/>
    <w:rsid w:val="00295495"/>
    <w:rsid w:val="002A31DE"/>
    <w:rsid w:val="002B2613"/>
    <w:rsid w:val="002D6D05"/>
    <w:rsid w:val="002F1818"/>
    <w:rsid w:val="002F567B"/>
    <w:rsid w:val="00313000"/>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79A"/>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7E5D"/>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5BA2"/>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21A6"/>
    <w:rsid w:val="00A91760"/>
    <w:rsid w:val="00A93B00"/>
    <w:rsid w:val="00A93C21"/>
    <w:rsid w:val="00AB64C9"/>
    <w:rsid w:val="00AC3C6A"/>
    <w:rsid w:val="00AD5620"/>
    <w:rsid w:val="00AD656B"/>
    <w:rsid w:val="00AD7C1B"/>
    <w:rsid w:val="00AE16BA"/>
    <w:rsid w:val="00AE1EBE"/>
    <w:rsid w:val="00AF5C50"/>
    <w:rsid w:val="00B03C9D"/>
    <w:rsid w:val="00B060AE"/>
    <w:rsid w:val="00B06651"/>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7212"/>
    <w:rsid w:val="00CB4E70"/>
    <w:rsid w:val="00CC09B6"/>
    <w:rsid w:val="00CC65AD"/>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348C"/>
    <w:rsid w:val="00E07ACF"/>
    <w:rsid w:val="00E331A1"/>
    <w:rsid w:val="00E33202"/>
    <w:rsid w:val="00E336A9"/>
    <w:rsid w:val="00E472B1"/>
    <w:rsid w:val="00E50624"/>
    <w:rsid w:val="00E568DF"/>
    <w:rsid w:val="00E62B76"/>
    <w:rsid w:val="00E64269"/>
    <w:rsid w:val="00E735D2"/>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78D2"/>
    <w:rsid w:val="00F602DF"/>
    <w:rsid w:val="00F660E8"/>
    <w:rsid w:val="00F754A1"/>
    <w:rsid w:val="00F81FD9"/>
    <w:rsid w:val="00F841AA"/>
    <w:rsid w:val="00F84A94"/>
    <w:rsid w:val="00F87E96"/>
    <w:rsid w:val="00FA23E8"/>
    <w:rsid w:val="00FA2BB5"/>
    <w:rsid w:val="00FD3CC1"/>
    <w:rsid w:val="00FE0A0F"/>
    <w:rsid w:val="00FF1E02"/>
    <w:rsid w:val="00FF30B4"/>
    <w:rsid w:val="04810F80"/>
    <w:rsid w:val="053C0C8A"/>
    <w:rsid w:val="06532730"/>
    <w:rsid w:val="08683996"/>
    <w:rsid w:val="0A2032A3"/>
    <w:rsid w:val="0B8A37D8"/>
    <w:rsid w:val="0C52276A"/>
    <w:rsid w:val="10C055FF"/>
    <w:rsid w:val="118107EC"/>
    <w:rsid w:val="11DD6519"/>
    <w:rsid w:val="16BB723D"/>
    <w:rsid w:val="18015F3F"/>
    <w:rsid w:val="1BE8440E"/>
    <w:rsid w:val="1D155CEE"/>
    <w:rsid w:val="20F57F95"/>
    <w:rsid w:val="23C70231"/>
    <w:rsid w:val="240371BF"/>
    <w:rsid w:val="25C741E6"/>
    <w:rsid w:val="27842671"/>
    <w:rsid w:val="29E929E2"/>
    <w:rsid w:val="29FD04D3"/>
    <w:rsid w:val="2ABE7A3E"/>
    <w:rsid w:val="2EFA178C"/>
    <w:rsid w:val="2FAF1ED5"/>
    <w:rsid w:val="30B46D73"/>
    <w:rsid w:val="319F7F4E"/>
    <w:rsid w:val="327D25F5"/>
    <w:rsid w:val="32862810"/>
    <w:rsid w:val="331C16D4"/>
    <w:rsid w:val="34102631"/>
    <w:rsid w:val="35E93C84"/>
    <w:rsid w:val="39AE70AB"/>
    <w:rsid w:val="3A3E3CB8"/>
    <w:rsid w:val="3BBE6322"/>
    <w:rsid w:val="3BE670C8"/>
    <w:rsid w:val="3C0C0783"/>
    <w:rsid w:val="3F8A43F1"/>
    <w:rsid w:val="3F9F3A96"/>
    <w:rsid w:val="3FC44741"/>
    <w:rsid w:val="40D72EBE"/>
    <w:rsid w:val="414F736B"/>
    <w:rsid w:val="46E96860"/>
    <w:rsid w:val="493C27E9"/>
    <w:rsid w:val="496F39ED"/>
    <w:rsid w:val="49FF41D3"/>
    <w:rsid w:val="4BE068DB"/>
    <w:rsid w:val="4BF6002B"/>
    <w:rsid w:val="4ECE2238"/>
    <w:rsid w:val="51DB4B86"/>
    <w:rsid w:val="55333C3E"/>
    <w:rsid w:val="57573BAA"/>
    <w:rsid w:val="59480EA1"/>
    <w:rsid w:val="5ADF1DD0"/>
    <w:rsid w:val="62AB5D7A"/>
    <w:rsid w:val="62CD6F5B"/>
    <w:rsid w:val="638F6FBD"/>
    <w:rsid w:val="64CA39A1"/>
    <w:rsid w:val="67963A70"/>
    <w:rsid w:val="69E1553E"/>
    <w:rsid w:val="6B4A5442"/>
    <w:rsid w:val="6BEF0812"/>
    <w:rsid w:val="6C4A05C8"/>
    <w:rsid w:val="72734D90"/>
    <w:rsid w:val="78773579"/>
    <w:rsid w:val="79E7B28D"/>
    <w:rsid w:val="7A0423E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607706031689453"/>
          <c:y val="0.113948187032177"/>
          <c:w val="0.444555742836504"/>
          <c:h val="0.796479723899914"/>
        </c:manualLayout>
      </c:layout>
      <c:pieChart>
        <c:varyColors val="true"/>
        <c:ser>
          <c:idx val="0"/>
          <c:order val="0"/>
          <c:tx>
            <c:strRef>
              <c:f>Sheet1!$B$1</c:f>
              <c:strCache>
                <c:ptCount val="1"/>
                <c:pt idx="0">
                  <c:v>收入额（万元）</c:v>
                </c:pt>
              </c:strCache>
            </c:strRef>
          </c:tx>
          <c:spPr/>
          <c:explosion val="0"/>
          <c:dPt>
            <c:idx val="0"/>
            <c:bubble3D val="false"/>
            <c:spPr>
              <a:solidFill>
                <a:schemeClr val="accent1">
                  <a:shade val="76667"/>
                </a:schemeClr>
              </a:solidFill>
              <a:ln w="19050">
                <a:solidFill>
                  <a:schemeClr val="lt1"/>
                </a:solidFill>
              </a:ln>
              <a:effectLst/>
            </c:spPr>
          </c:dPt>
          <c:dPt>
            <c:idx val="1"/>
            <c:bubble3D val="false"/>
            <c:spPr>
              <a:solidFill>
                <a:schemeClr val="accent2">
                  <a:shade val="76667"/>
                </a:schemeClr>
              </a:solidFill>
              <a:ln w="19050">
                <a:solidFill>
                  <a:schemeClr val="lt1"/>
                </a:solidFill>
              </a:ln>
              <a:effectLst/>
            </c:spPr>
          </c:dPt>
          <c:dPt>
            <c:idx val="2"/>
            <c:bubble3D val="false"/>
            <c:spPr>
              <a:solidFill>
                <a:schemeClr val="accent3">
                  <a:shade val="76667"/>
                </a:schemeClr>
              </a:solidFill>
              <a:ln w="19050">
                <a:solidFill>
                  <a:schemeClr val="lt1"/>
                </a:solidFill>
              </a:ln>
              <a:effectLst/>
            </c:spPr>
          </c:dPt>
          <c:dPt>
            <c:idx val="3"/>
            <c:bubble3D val="false"/>
            <c:spPr>
              <a:solidFill>
                <a:schemeClr val="accent4">
                  <a:shade val="76667"/>
                </a:schemeClr>
              </a:solidFill>
              <a:ln w="19050">
                <a:solidFill>
                  <a:schemeClr val="lt1"/>
                </a:solidFill>
              </a:ln>
              <a:effectLst/>
            </c:spPr>
          </c:dPt>
          <c:dPt>
            <c:idx val="4"/>
            <c:bubble3D val="false"/>
            <c:spPr>
              <a:solidFill>
                <a:schemeClr val="accent5">
                  <a:shade val="76667"/>
                </a:schemeClr>
              </a:solidFill>
              <a:ln w="19050">
                <a:solidFill>
                  <a:schemeClr val="lt1"/>
                </a:solidFill>
              </a:ln>
              <a:effectLst/>
            </c:spPr>
          </c:dPt>
          <c:dPt>
            <c:idx val="5"/>
            <c:bubble3D val="false"/>
            <c:spPr>
              <a:solidFill>
                <a:schemeClr val="accent6">
                  <a:shade val="76667"/>
                </a:schemeClr>
              </a:solidFill>
              <a:ln w="19050">
                <a:solidFill>
                  <a:schemeClr val="lt1"/>
                </a:solidFill>
              </a:ln>
              <a:effectLst/>
            </c:spPr>
          </c:dPt>
          <c:dPt>
            <c:idx val="6"/>
            <c:bubble3D val="false"/>
            <c:spPr>
              <a:solidFill>
                <a:schemeClr val="accent1">
                  <a:tint val="76667"/>
                </a:schemeClr>
              </a:solidFill>
              <a:ln w="19050">
                <a:solidFill>
                  <a:schemeClr val="lt1"/>
                </a:solidFill>
              </a:ln>
              <a:effectLst/>
            </c:spPr>
          </c:dPt>
          <c:dLbls>
            <c:dLbl>
              <c:idx val="0"/>
              <c:layout>
                <c:manualLayout>
                  <c:x val="0.114775343305249"/>
                  <c:y val="-0.0173861942437792"/>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一般公共预算财政拨款收入</a:t>
                    </a:r>
                    <a:r>
                      <a:rPr lang="en-US" altLang="zh-CN"/>
                      <a:t>, 140.38 66.24%</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delete val="true"/>
            </c:dLbl>
            <c:dLbl>
              <c:idx val="2"/>
              <c:delete val="true"/>
            </c:dLbl>
            <c:dLbl>
              <c:idx val="3"/>
              <c:delete val="true"/>
            </c:dLbl>
            <c:dLbl>
              <c:idx val="4"/>
              <c:delete val="true"/>
            </c:dLbl>
            <c:dLbl>
              <c:idx val="5"/>
              <c:delete val="true"/>
            </c:dLbl>
            <c:dLbl>
              <c:idx val="6"/>
              <c:delete val="true"/>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140.38</c:v>
                </c:pt>
                <c:pt idx="1">
                  <c:v>0</c:v>
                </c:pt>
                <c:pt idx="2">
                  <c:v>0</c:v>
                </c:pt>
                <c:pt idx="3">
                  <c:v>0</c:v>
                </c:pt>
                <c:pt idx="4">
                  <c:v>0</c:v>
                </c:pt>
                <c:pt idx="5">
                  <c:v>0</c:v>
                </c:pt>
                <c:pt idx="6">
                  <c:v>71.55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spPr/>
          <c:explosion val="0"/>
          <c:dPt>
            <c:idx val="0"/>
            <c:bubble3D val="false"/>
            <c:spPr>
              <a:gradFill rotWithShape="true">
                <a:gsLst>
                  <a:gs pos="0">
                    <a:schemeClr val="accent1">
                      <a:shade val="76667"/>
                      <a:tint val="50000"/>
                      <a:satMod val="300000"/>
                    </a:schemeClr>
                  </a:gs>
                  <a:gs pos="35000">
                    <a:schemeClr val="accent1">
                      <a:shade val="76667"/>
                      <a:tint val="37000"/>
                      <a:satMod val="300000"/>
                    </a:schemeClr>
                  </a:gs>
                  <a:gs pos="100000">
                    <a:schemeClr val="accent1">
                      <a:shade val="76667"/>
                      <a:tint val="15000"/>
                      <a:satMod val="350000"/>
                    </a:schemeClr>
                  </a:gs>
                </a:gsLst>
                <a:lin ang="16200000" scaled="true"/>
              </a:gradFill>
              <a:ln w="9525" cap="flat" cmpd="sng" algn="ctr">
                <a:solidFill>
                  <a:schemeClr val="accent1">
                    <a:shade val="76667"/>
                    <a:shade val="95000"/>
                  </a:schemeClr>
                </a:solidFill>
                <a:round/>
              </a:ln>
              <a:effectLst>
                <a:outerShdw blurRad="40000" dist="20000" dir="5400000" rotWithShape="0">
                  <a:srgbClr val="000000">
                    <a:alpha val="38000"/>
                  </a:srgbClr>
                </a:outerShdw>
              </a:effectLst>
            </c:spPr>
          </c:dPt>
          <c:dPt>
            <c:idx val="1"/>
            <c:bubble3D val="false"/>
            <c:spPr>
              <a:gradFill rotWithShape="true">
                <a:gsLst>
                  <a:gs pos="0">
                    <a:schemeClr val="accent2">
                      <a:shade val="76667"/>
                      <a:tint val="50000"/>
                      <a:satMod val="300000"/>
                    </a:schemeClr>
                  </a:gs>
                  <a:gs pos="35000">
                    <a:schemeClr val="accent2">
                      <a:shade val="76667"/>
                      <a:tint val="37000"/>
                      <a:satMod val="300000"/>
                    </a:schemeClr>
                  </a:gs>
                  <a:gs pos="100000">
                    <a:schemeClr val="accent2">
                      <a:shade val="76667"/>
                      <a:tint val="15000"/>
                      <a:satMod val="350000"/>
                    </a:schemeClr>
                  </a:gs>
                </a:gsLst>
                <a:lin ang="16200000" scaled="true"/>
              </a:gradFill>
              <a:ln w="9525" cap="flat" cmpd="sng" algn="ctr">
                <a:solidFill>
                  <a:schemeClr val="accent2">
                    <a:shade val="76667"/>
                    <a:shade val="95000"/>
                  </a:schemeClr>
                </a:solidFill>
                <a:round/>
              </a:ln>
              <a:effectLst>
                <a:outerShdw blurRad="40000" dist="20000" dir="5400000" rotWithShape="0">
                  <a:srgbClr val="000000">
                    <a:alpha val="38000"/>
                  </a:srgbClr>
                </a:outerShdw>
              </a:effectLst>
            </c:spPr>
          </c:dPt>
          <c:dLbls>
            <c:dLbl>
              <c:idx val="0"/>
              <c:layout>
                <c:manualLayout>
                  <c:x val="-0.08351041634139"/>
                  <c:y val="0.185725208071793"/>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基本支出</a:t>
                    </a:r>
                    <a:endParaRPr lang="zh-CN" altLang="en-US"/>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0160519597411179"/>
                  <c:y val="0.0926875197525697"/>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项目支出</a:t>
                    </a:r>
                    <a:endParaRPr lang="zh-CN" altLang="en-US"/>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基本支出</c:v>
                </c:pt>
                <c:pt idx="1">
                  <c:v> 项目支出</c:v>
                </c:pt>
              </c:strCache>
            </c:strRef>
          </c:cat>
          <c:val>
            <c:numRef>
              <c:f>Sheet1!$B$2:$B$3</c:f>
              <c:numCache>
                <c:formatCode>General</c:formatCode>
                <c:ptCount val="2"/>
                <c:pt idx="0">
                  <c:v>187.42</c:v>
                </c:pt>
                <c:pt idx="1">
                  <c:v>14.82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30965813665934"/>
          <c:y val="0.94146966494854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618347087668939"/>
          <c:y val="0.0554739162380603"/>
          <c:w val="0.802166349721575"/>
          <c:h val="0.847475195631506"/>
        </c:manualLayout>
      </c:layout>
      <c:barChart>
        <c:barDir val="col"/>
        <c:grouping val="clustered"/>
        <c:varyColors val="false"/>
        <c:ser>
          <c:idx val="2"/>
          <c:order val="2"/>
          <c:tx>
            <c:strRef>
              <c:f>Sheet1!$B$1</c:f>
              <c:strCache>
                <c:ptCount val="1"/>
                <c:pt idx="0">
                  <c:v>财政拨款收、支决算总计（万元）</c:v>
                </c:pt>
              </c:strCache>
            </c:strRef>
          </c:tx>
          <c:spPr>
            <a:solidFill>
              <a:schemeClr val="accent3"/>
            </a:solidFill>
            <a:ln>
              <a:noFill/>
            </a:ln>
            <a:effectLst/>
          </c:spPr>
          <c:invertIfNegative val="false"/>
          <c:dLbls>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2021年收入</c:v>
                </c:pt>
                <c:pt idx="1">
                  <c:v>2021年支出</c:v>
                </c:pt>
              </c:strCache>
            </c:strRef>
          </c:cat>
          <c:val>
            <c:numRef>
              <c:f>Sheet1!$B$2:$B$3</c:f>
              <c:numCache>
                <c:formatCode>General</c:formatCode>
                <c:ptCount val="2"/>
                <c:pt idx="0">
                  <c:v>140.38</c:v>
                </c:pt>
                <c:pt idx="1">
                  <c:v>130.69</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spPr>
                  <a:solidFill>
                    <a:schemeClr val="accent1"/>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2021年收入</c:v>
                      </c:pt>
                      <c:pt idx="1">
                        <c:v>2021年支出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2021年收入</c:v>
                      </c:pt>
                      <c:pt idx="1">
                        <c:v>2021年支出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max val="100"/>
          <c:min val="0"/>
        </c:scaling>
        <c:delete val="false"/>
        <c:axPos val="l"/>
        <c:majorGridlines>
          <c:spPr>
            <a:ln w="9525" cap="flat" cmpd="sng" algn="ctr">
              <a:solidFill>
                <a:schemeClr val="tx1">
                  <a:tint val="75000"/>
                  <a:shade val="95000"/>
                  <a:satMod val="105000"/>
                </a:schemeClr>
              </a:solidFill>
              <a:prstDash val="solid"/>
              <a:round/>
            </a:ln>
            <a:effectLst/>
          </c:spPr>
        </c:majorGridlines>
        <c:numFmt formatCode="General" sourceLinked="true"/>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a:ln>
          <a:noFill/>
        </a:ln>
        <a:effectLst/>
      </c:spPr>
    </c:plotArea>
    <c:legend>
      <c:legendPos val="r"/>
      <c:layout>
        <c:manualLayout>
          <c:xMode val="edge"/>
          <c:yMode val="edge"/>
          <c:x val="0.172347805286449"/>
          <c:y val="0.035635562086701"/>
          <c:w val="0.391101542877646"/>
          <c:h val="0.224467303453343"/>
        </c:manualLayout>
      </c:layout>
      <c:overlay val="false"/>
      <c:spPr>
        <a:noFill/>
        <a:ln>
          <a:noFill/>
        </a:ln>
        <a:effectLst/>
      </c:spPr>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1605</Words>
  <Characters>9149</Characters>
  <Lines>76</Lines>
  <Paragraphs>21</Paragraphs>
  <TotalTime>35</TotalTime>
  <ScaleCrop>false</ScaleCrop>
  <LinksUpToDate>false</LinksUpToDate>
  <CharactersWithSpaces>10733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2022-08-06T10:23:00Z</cp:lastPrinted>
  <dcterms:modified xsi:type="dcterms:W3CDTF">2023-09-23T15:41:37Z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29E9281B86134406934D115E13E3EF78_13</vt:lpwstr>
  </property>
</Properties>
</file>