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BAA" w:rsidRDefault="008B5BAA">
      <w:pPr>
        <w:spacing w:line="600" w:lineRule="exact"/>
        <w:jc w:val="center"/>
        <w:outlineLvl w:val="0"/>
        <w:rPr>
          <w:rFonts w:ascii="方正小标宋简体" w:eastAsia="方正小标宋简体" w:hAnsi="宋体"/>
          <w:sz w:val="72"/>
          <w:szCs w:val="72"/>
        </w:rPr>
      </w:pPr>
      <w:bookmarkStart w:id="0" w:name="_Toc15306267"/>
    </w:p>
    <w:p w:rsidR="008B5BAA" w:rsidRDefault="008B5BAA">
      <w:pPr>
        <w:spacing w:line="600" w:lineRule="exact"/>
        <w:jc w:val="center"/>
        <w:outlineLvl w:val="0"/>
        <w:rPr>
          <w:rFonts w:ascii="方正小标宋简体" w:eastAsia="方正小标宋简体" w:hAnsi="宋体"/>
          <w:sz w:val="72"/>
          <w:szCs w:val="72"/>
        </w:rPr>
      </w:pPr>
    </w:p>
    <w:p w:rsidR="008B5BAA" w:rsidRDefault="008B5BAA">
      <w:pPr>
        <w:spacing w:line="600" w:lineRule="exact"/>
        <w:jc w:val="center"/>
        <w:outlineLvl w:val="0"/>
        <w:rPr>
          <w:rFonts w:ascii="方正小标宋简体" w:eastAsia="方正小标宋简体" w:hAnsi="宋体"/>
          <w:sz w:val="72"/>
          <w:szCs w:val="72"/>
        </w:rPr>
      </w:pPr>
    </w:p>
    <w:p w:rsidR="008B5BAA" w:rsidRDefault="008B5BAA">
      <w:pPr>
        <w:spacing w:line="600" w:lineRule="exact"/>
        <w:jc w:val="center"/>
        <w:outlineLvl w:val="0"/>
        <w:rPr>
          <w:rFonts w:ascii="方正小标宋简体" w:eastAsia="方正小标宋简体" w:hAnsi="宋体"/>
          <w:sz w:val="72"/>
          <w:szCs w:val="72"/>
        </w:rPr>
      </w:pPr>
    </w:p>
    <w:p w:rsidR="008B5BAA" w:rsidRDefault="00E9458D">
      <w:pPr>
        <w:adjustRightInd w:val="0"/>
        <w:snapToGrid w:val="0"/>
        <w:spacing w:line="360" w:lineRule="auto"/>
        <w:jc w:val="center"/>
        <w:outlineLvl w:val="0"/>
        <w:rPr>
          <w:rFonts w:ascii="方正小标宋简体" w:eastAsia="方正小标宋简体" w:hAnsi="宋体"/>
          <w:sz w:val="72"/>
          <w:szCs w:val="72"/>
        </w:rPr>
      </w:pPr>
      <w:bookmarkStart w:id="1" w:name="_Toc15396597"/>
      <w:bookmarkStart w:id="2" w:name="_Toc19089858"/>
      <w:bookmarkStart w:id="3" w:name="_Toc15377193"/>
      <w:bookmarkStart w:id="4" w:name="_Toc15378441"/>
      <w:bookmarkStart w:id="5" w:name="_Toc15377425"/>
      <w:bookmarkStart w:id="6" w:name="_Toc15396475"/>
      <w:bookmarkEnd w:id="0"/>
      <w:r>
        <w:rPr>
          <w:rFonts w:ascii="黑体" w:eastAsia="黑体" w:hAnsi="黑体"/>
          <w:sz w:val="72"/>
          <w:szCs w:val="72"/>
        </w:rPr>
        <w:t>20</w:t>
      </w:r>
      <w:r>
        <w:rPr>
          <w:rFonts w:ascii="黑体" w:eastAsia="黑体" w:hAnsi="黑体" w:hint="eastAsia"/>
          <w:sz w:val="72"/>
          <w:szCs w:val="72"/>
        </w:rPr>
        <w:t>20</w:t>
      </w:r>
      <w:r>
        <w:rPr>
          <w:rFonts w:ascii="方正小标宋简体" w:eastAsia="方正小标宋简体" w:hAnsi="宋体" w:hint="eastAsia"/>
          <w:sz w:val="72"/>
          <w:szCs w:val="72"/>
        </w:rPr>
        <w:t>年度</w:t>
      </w:r>
      <w:bookmarkEnd w:id="1"/>
      <w:bookmarkEnd w:id="2"/>
      <w:bookmarkEnd w:id="3"/>
      <w:bookmarkEnd w:id="4"/>
      <w:bookmarkEnd w:id="5"/>
      <w:bookmarkEnd w:id="6"/>
    </w:p>
    <w:p w:rsidR="008B5BAA" w:rsidRDefault="00E9458D">
      <w:pPr>
        <w:adjustRightInd w:val="0"/>
        <w:snapToGrid w:val="0"/>
        <w:spacing w:line="360" w:lineRule="auto"/>
        <w:jc w:val="center"/>
        <w:outlineLvl w:val="0"/>
        <w:rPr>
          <w:rFonts w:ascii="方正小标宋简体" w:eastAsia="方正小标宋简体" w:hAnsi="宋体"/>
          <w:sz w:val="72"/>
          <w:szCs w:val="72"/>
        </w:rPr>
      </w:pPr>
      <w:bookmarkStart w:id="7" w:name="_Toc19089859"/>
      <w:bookmarkStart w:id="8" w:name="_Toc15377426"/>
      <w:bookmarkStart w:id="9" w:name="_Toc15378442"/>
      <w:bookmarkStart w:id="10" w:name="_Toc15396598"/>
      <w:bookmarkStart w:id="11" w:name="_Toc15396476"/>
      <w:bookmarkStart w:id="12" w:name="_Toc15306268"/>
      <w:bookmarkStart w:id="13" w:name="_Toc15377194"/>
      <w:r>
        <w:rPr>
          <w:rFonts w:ascii="方正小标宋简体" w:eastAsia="方正小标宋简体" w:hAnsi="宋体" w:hint="eastAsia"/>
          <w:sz w:val="72"/>
          <w:szCs w:val="72"/>
        </w:rPr>
        <w:t>广元市利州</w:t>
      </w:r>
      <w:bookmarkEnd w:id="7"/>
      <w:r>
        <w:rPr>
          <w:rFonts w:ascii="方正小标宋简体" w:eastAsia="方正小标宋简体" w:hAnsi="宋体" w:hint="eastAsia"/>
          <w:sz w:val="72"/>
          <w:szCs w:val="72"/>
        </w:rPr>
        <w:t>清河小学</w:t>
      </w:r>
    </w:p>
    <w:p w:rsidR="008B5BAA" w:rsidRDefault="00E9458D">
      <w:pPr>
        <w:adjustRightInd w:val="0"/>
        <w:snapToGrid w:val="0"/>
        <w:spacing w:line="360" w:lineRule="auto"/>
        <w:jc w:val="center"/>
        <w:outlineLvl w:val="0"/>
        <w:rPr>
          <w:rFonts w:ascii="方正小标宋简体" w:eastAsia="方正小标宋简体" w:hAnsi="宋体"/>
          <w:sz w:val="72"/>
          <w:szCs w:val="72"/>
        </w:rPr>
      </w:pPr>
      <w:bookmarkStart w:id="14" w:name="_Toc19089860"/>
      <w:r>
        <w:rPr>
          <w:rFonts w:ascii="方正小标宋简体" w:eastAsia="方正小标宋简体" w:hAnsi="宋体" w:hint="eastAsia"/>
          <w:sz w:val="72"/>
          <w:szCs w:val="72"/>
        </w:rPr>
        <w:t>部门决算</w:t>
      </w:r>
      <w:bookmarkEnd w:id="8"/>
      <w:bookmarkEnd w:id="9"/>
      <w:bookmarkEnd w:id="10"/>
      <w:bookmarkEnd w:id="11"/>
      <w:bookmarkEnd w:id="12"/>
      <w:bookmarkEnd w:id="13"/>
      <w:bookmarkEnd w:id="14"/>
    </w:p>
    <w:p w:rsidR="008B5BAA" w:rsidRDefault="00E9458D">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8B5BAA" w:rsidRDefault="008B5BAA">
      <w:pPr>
        <w:widowControl/>
        <w:jc w:val="center"/>
        <w:rPr>
          <w:rFonts w:ascii="黑体" w:eastAsia="黑体" w:hAnsi="黑体"/>
          <w:sz w:val="48"/>
          <w:szCs w:val="48"/>
        </w:rPr>
      </w:pPr>
    </w:p>
    <w:p w:rsidR="008B5BAA" w:rsidRDefault="00E9458D">
      <w:pPr>
        <w:widowControl/>
        <w:jc w:val="center"/>
        <w:rPr>
          <w:rFonts w:ascii="仿宋" w:eastAsia="仿宋" w:hAnsi="仿宋"/>
          <w:sz w:val="32"/>
          <w:szCs w:val="32"/>
        </w:rPr>
      </w:pPr>
      <w:r>
        <w:rPr>
          <w:rFonts w:ascii="黑体" w:eastAsia="黑体" w:hAnsi="黑体" w:hint="eastAsia"/>
          <w:sz w:val="32"/>
          <w:szCs w:val="32"/>
        </w:rPr>
        <w:t>第一部分 部门概况</w:t>
      </w:r>
      <w:r>
        <w:rPr>
          <w:rFonts w:ascii="仿宋" w:eastAsia="仿宋" w:hAnsi="仿宋" w:hint="eastAsia"/>
          <w:sz w:val="32"/>
          <w:szCs w:val="32"/>
        </w:rPr>
        <w:t>································</w:t>
      </w:r>
      <w:r w:rsidR="00200E3D">
        <w:rPr>
          <w:rFonts w:ascii="仿宋" w:eastAsia="仿宋" w:hAnsi="仿宋"/>
          <w:sz w:val="32"/>
          <w:szCs w:val="32"/>
        </w:rPr>
        <w:t>4</w:t>
      </w:r>
    </w:p>
    <w:p w:rsidR="008B5BAA" w:rsidRDefault="00E9458D">
      <w:pPr>
        <w:widowControl/>
        <w:ind w:firstLineChars="200" w:firstLine="640"/>
        <w:rPr>
          <w:rFonts w:ascii="仿宋" w:eastAsia="仿宋" w:hAnsi="仿宋"/>
          <w:sz w:val="32"/>
          <w:szCs w:val="32"/>
        </w:rPr>
      </w:pPr>
      <w:r>
        <w:rPr>
          <w:rFonts w:ascii="仿宋" w:eastAsia="仿宋" w:hAnsi="仿宋" w:hint="eastAsia"/>
          <w:sz w:val="32"/>
          <w:szCs w:val="32"/>
        </w:rPr>
        <w:t>一、基本职能及主要工作························</w:t>
      </w:r>
      <w:r w:rsidR="00200E3D">
        <w:rPr>
          <w:rFonts w:ascii="仿宋" w:eastAsia="仿宋" w:hAnsi="仿宋"/>
          <w:sz w:val="32"/>
          <w:szCs w:val="32"/>
        </w:rPr>
        <w:t>4</w:t>
      </w:r>
    </w:p>
    <w:p w:rsidR="008B5BAA" w:rsidRDefault="00E9458D">
      <w:pPr>
        <w:widowControl/>
        <w:ind w:firstLineChars="200" w:firstLine="640"/>
        <w:jc w:val="right"/>
        <w:rPr>
          <w:rFonts w:ascii="仿宋" w:eastAsia="仿宋" w:hAnsi="仿宋"/>
          <w:sz w:val="32"/>
          <w:szCs w:val="32"/>
        </w:rPr>
      </w:pPr>
      <w:r>
        <w:rPr>
          <w:rFonts w:ascii="仿宋" w:eastAsia="仿宋" w:hAnsi="仿宋" w:hint="eastAsia"/>
          <w:sz w:val="32"/>
          <w:szCs w:val="32"/>
        </w:rPr>
        <w:t>二、机构设置·································</w:t>
      </w:r>
      <w:r w:rsidR="00200E3D">
        <w:rPr>
          <w:rFonts w:ascii="仿宋" w:eastAsia="仿宋" w:hAnsi="仿宋"/>
          <w:sz w:val="32"/>
          <w:szCs w:val="32"/>
        </w:rPr>
        <w:t>6</w:t>
      </w:r>
    </w:p>
    <w:p w:rsidR="008B5BAA" w:rsidRDefault="00E9458D">
      <w:pPr>
        <w:widowControl/>
        <w:jc w:val="left"/>
        <w:rPr>
          <w:rFonts w:ascii="仿宋" w:eastAsia="仿宋" w:hAnsi="仿宋"/>
          <w:sz w:val="32"/>
          <w:szCs w:val="32"/>
        </w:rPr>
      </w:pPr>
      <w:r>
        <w:rPr>
          <w:rFonts w:ascii="黑体" w:eastAsia="黑体" w:hAnsi="黑体" w:hint="eastAsia"/>
          <w:sz w:val="32"/>
          <w:szCs w:val="32"/>
        </w:rPr>
        <w:t>第二部分 2020年度部门决算情况说明</w:t>
      </w:r>
      <w:r>
        <w:rPr>
          <w:rFonts w:ascii="仿宋" w:eastAsia="仿宋" w:hAnsi="仿宋" w:hint="eastAsia"/>
          <w:sz w:val="32"/>
          <w:szCs w:val="32"/>
        </w:rPr>
        <w:t>···············</w:t>
      </w:r>
      <w:r>
        <w:rPr>
          <w:rFonts w:ascii="仿宋" w:eastAsia="仿宋" w:hAnsi="仿宋" w:hint="eastAsia"/>
          <w:sz w:val="32"/>
          <w:szCs w:val="32"/>
        </w:rPr>
        <w:tab/>
      </w:r>
      <w:r w:rsidR="00200E3D">
        <w:rPr>
          <w:rFonts w:ascii="仿宋" w:eastAsia="仿宋" w:hAnsi="仿宋"/>
          <w:sz w:val="32"/>
          <w:szCs w:val="32"/>
        </w:rPr>
        <w:t>7</w:t>
      </w:r>
    </w:p>
    <w:p w:rsidR="008B5BAA" w:rsidRDefault="00E9458D">
      <w:pPr>
        <w:widowControl/>
        <w:ind w:firstLineChars="200" w:firstLine="640"/>
        <w:jc w:val="left"/>
        <w:rPr>
          <w:rFonts w:ascii="仿宋" w:eastAsia="仿宋" w:hAnsi="仿宋"/>
          <w:sz w:val="32"/>
          <w:szCs w:val="32"/>
        </w:rPr>
      </w:pPr>
      <w:r>
        <w:rPr>
          <w:rFonts w:ascii="仿宋" w:eastAsia="仿宋" w:hAnsi="仿宋" w:hint="eastAsia"/>
          <w:sz w:val="32"/>
          <w:szCs w:val="32"/>
        </w:rPr>
        <w:t>一、收入支出决算总体情况说明·················</w:t>
      </w:r>
      <w:r w:rsidR="00200E3D">
        <w:rPr>
          <w:rFonts w:ascii="仿宋" w:eastAsia="仿宋" w:hAnsi="仿宋"/>
          <w:sz w:val="32"/>
          <w:szCs w:val="32"/>
        </w:rPr>
        <w:t>7</w:t>
      </w:r>
    </w:p>
    <w:p w:rsidR="008B5BAA" w:rsidRDefault="00E9458D">
      <w:pPr>
        <w:widowControl/>
        <w:ind w:firstLineChars="200" w:firstLine="640"/>
        <w:jc w:val="left"/>
        <w:rPr>
          <w:rFonts w:ascii="仿宋" w:eastAsia="仿宋" w:hAnsi="仿宋"/>
          <w:sz w:val="32"/>
          <w:szCs w:val="32"/>
        </w:rPr>
      </w:pPr>
      <w:r>
        <w:rPr>
          <w:rFonts w:ascii="仿宋" w:eastAsia="仿宋" w:hAnsi="仿宋" w:hint="eastAsia"/>
          <w:sz w:val="32"/>
          <w:szCs w:val="32"/>
        </w:rPr>
        <w:t>二、收入决算情况说明·························</w:t>
      </w:r>
      <w:r w:rsidR="00200E3D">
        <w:rPr>
          <w:rFonts w:ascii="仿宋" w:eastAsia="仿宋" w:hAnsi="仿宋"/>
          <w:sz w:val="32"/>
          <w:szCs w:val="32"/>
        </w:rPr>
        <w:t>7</w:t>
      </w:r>
    </w:p>
    <w:p w:rsidR="008B5BAA" w:rsidRDefault="00E9458D">
      <w:pPr>
        <w:widowControl/>
        <w:ind w:firstLineChars="200" w:firstLine="640"/>
        <w:jc w:val="left"/>
        <w:rPr>
          <w:rFonts w:ascii="仿宋" w:eastAsia="仿宋" w:hAnsi="仿宋"/>
          <w:sz w:val="32"/>
          <w:szCs w:val="32"/>
        </w:rPr>
      </w:pPr>
      <w:r>
        <w:rPr>
          <w:rFonts w:ascii="仿宋" w:eastAsia="仿宋" w:hAnsi="仿宋" w:hint="eastAsia"/>
          <w:sz w:val="32"/>
          <w:szCs w:val="32"/>
        </w:rPr>
        <w:t>三、支出决算情况说明·························</w:t>
      </w:r>
      <w:r w:rsidR="00200E3D">
        <w:rPr>
          <w:rFonts w:ascii="仿宋" w:eastAsia="仿宋" w:hAnsi="仿宋"/>
          <w:sz w:val="32"/>
          <w:szCs w:val="32"/>
        </w:rPr>
        <w:t>8</w:t>
      </w:r>
    </w:p>
    <w:p w:rsidR="008B5BAA" w:rsidRDefault="00E9458D">
      <w:pPr>
        <w:widowControl/>
        <w:ind w:firstLineChars="200" w:firstLine="640"/>
        <w:jc w:val="left"/>
        <w:rPr>
          <w:rFonts w:ascii="仿宋" w:eastAsia="仿宋" w:hAnsi="仿宋"/>
          <w:sz w:val="32"/>
          <w:szCs w:val="32"/>
        </w:rPr>
      </w:pPr>
      <w:r>
        <w:rPr>
          <w:rFonts w:ascii="仿宋" w:eastAsia="仿宋" w:hAnsi="仿宋" w:hint="eastAsia"/>
          <w:sz w:val="32"/>
          <w:szCs w:val="32"/>
        </w:rPr>
        <w:t>四、财政拨款收入支出决算总体情况说明·········</w:t>
      </w:r>
      <w:r w:rsidR="00200E3D">
        <w:rPr>
          <w:rFonts w:ascii="仿宋" w:eastAsia="仿宋" w:hAnsi="仿宋"/>
          <w:sz w:val="32"/>
          <w:szCs w:val="32"/>
        </w:rPr>
        <w:t>9</w:t>
      </w:r>
    </w:p>
    <w:p w:rsidR="008B5BAA" w:rsidRDefault="00E9458D">
      <w:pPr>
        <w:widowControl/>
        <w:ind w:firstLineChars="200" w:firstLine="640"/>
        <w:jc w:val="left"/>
        <w:rPr>
          <w:rFonts w:ascii="仿宋" w:eastAsia="仿宋" w:hAnsi="仿宋"/>
          <w:sz w:val="32"/>
          <w:szCs w:val="32"/>
        </w:rPr>
      </w:pPr>
      <w:r>
        <w:rPr>
          <w:rFonts w:ascii="仿宋" w:eastAsia="仿宋" w:hAnsi="仿宋" w:hint="eastAsia"/>
          <w:sz w:val="32"/>
          <w:szCs w:val="32"/>
        </w:rPr>
        <w:t>五、一般公共预算财政拨款支出决算情况说明····</w:t>
      </w:r>
      <w:r w:rsidR="00200E3D">
        <w:rPr>
          <w:rFonts w:ascii="仿宋" w:eastAsia="仿宋" w:hAnsi="仿宋"/>
          <w:sz w:val="32"/>
          <w:szCs w:val="32"/>
        </w:rPr>
        <w:t>10</w:t>
      </w:r>
    </w:p>
    <w:p w:rsidR="008B5BAA" w:rsidRDefault="00E9458D">
      <w:pPr>
        <w:widowControl/>
        <w:ind w:firstLineChars="200" w:firstLine="640"/>
        <w:jc w:val="left"/>
        <w:rPr>
          <w:rFonts w:ascii="仿宋" w:eastAsia="仿宋" w:hAnsi="仿宋"/>
          <w:sz w:val="32"/>
          <w:szCs w:val="32"/>
        </w:rPr>
      </w:pPr>
      <w:r>
        <w:rPr>
          <w:rFonts w:ascii="仿宋" w:eastAsia="仿宋" w:hAnsi="仿宋" w:hint="eastAsia"/>
          <w:sz w:val="32"/>
          <w:szCs w:val="32"/>
        </w:rPr>
        <w:t>六、一般公共预算财政拨款基本支出决算情况说明·</w:t>
      </w:r>
      <w:r w:rsidR="00200E3D">
        <w:rPr>
          <w:rFonts w:ascii="仿宋" w:eastAsia="仿宋" w:hAnsi="仿宋"/>
          <w:sz w:val="32"/>
          <w:szCs w:val="32"/>
        </w:rPr>
        <w:t>13</w:t>
      </w:r>
    </w:p>
    <w:p w:rsidR="008B5BAA" w:rsidRDefault="00E9458D">
      <w:pPr>
        <w:widowControl/>
        <w:ind w:firstLineChars="200" w:firstLine="640"/>
        <w:jc w:val="left"/>
        <w:rPr>
          <w:rFonts w:ascii="仿宋" w:eastAsia="仿宋" w:hAnsi="仿宋"/>
          <w:sz w:val="32"/>
          <w:szCs w:val="32"/>
        </w:rPr>
      </w:pPr>
      <w:r>
        <w:rPr>
          <w:rFonts w:ascii="仿宋" w:eastAsia="仿宋" w:hAnsi="仿宋" w:hint="eastAsia"/>
          <w:sz w:val="32"/>
          <w:szCs w:val="32"/>
        </w:rPr>
        <w:t>七、“三公”经费财政拨款支出决算情况说明······1</w:t>
      </w:r>
      <w:r w:rsidR="00200E3D">
        <w:rPr>
          <w:rFonts w:ascii="仿宋" w:eastAsia="仿宋" w:hAnsi="仿宋"/>
          <w:sz w:val="32"/>
          <w:szCs w:val="32"/>
        </w:rPr>
        <w:t>4</w:t>
      </w:r>
      <w:bookmarkStart w:id="15" w:name="_GoBack"/>
      <w:bookmarkEnd w:id="15"/>
    </w:p>
    <w:p w:rsidR="008B5BAA" w:rsidRDefault="00E9458D">
      <w:pPr>
        <w:widowControl/>
        <w:ind w:firstLineChars="200" w:firstLine="640"/>
        <w:jc w:val="left"/>
        <w:rPr>
          <w:rFonts w:ascii="仿宋" w:eastAsia="仿宋" w:hAnsi="仿宋"/>
          <w:sz w:val="32"/>
          <w:szCs w:val="32"/>
        </w:rPr>
      </w:pPr>
      <w:r>
        <w:rPr>
          <w:rFonts w:ascii="仿宋" w:eastAsia="仿宋" w:hAnsi="仿宋" w:hint="eastAsia"/>
          <w:sz w:val="32"/>
          <w:szCs w:val="32"/>
        </w:rPr>
        <w:t>八、政府性基金预算支出决算情况说明···········1</w:t>
      </w:r>
      <w:r w:rsidR="00200E3D">
        <w:rPr>
          <w:rFonts w:ascii="仿宋" w:eastAsia="仿宋" w:hAnsi="仿宋"/>
          <w:sz w:val="32"/>
          <w:szCs w:val="32"/>
        </w:rPr>
        <w:t>5</w:t>
      </w:r>
    </w:p>
    <w:p w:rsidR="008B5BAA" w:rsidRDefault="00E9458D">
      <w:pPr>
        <w:widowControl/>
        <w:ind w:firstLineChars="200" w:firstLine="640"/>
        <w:jc w:val="left"/>
        <w:rPr>
          <w:rFonts w:ascii="仿宋" w:eastAsia="仿宋" w:hAnsi="仿宋"/>
          <w:sz w:val="32"/>
          <w:szCs w:val="32"/>
        </w:rPr>
      </w:pPr>
      <w:r>
        <w:rPr>
          <w:rFonts w:ascii="仿宋" w:eastAsia="仿宋" w:hAnsi="仿宋" w:hint="eastAsia"/>
          <w:sz w:val="32"/>
          <w:szCs w:val="32"/>
        </w:rPr>
        <w:t>九、 国有资本经营预算支出决算情况说明········1</w:t>
      </w:r>
      <w:r w:rsidR="00200E3D">
        <w:rPr>
          <w:rFonts w:ascii="仿宋" w:eastAsia="仿宋" w:hAnsi="仿宋"/>
          <w:sz w:val="32"/>
          <w:szCs w:val="32"/>
        </w:rPr>
        <w:t>5</w:t>
      </w:r>
    </w:p>
    <w:p w:rsidR="008B5BAA" w:rsidRDefault="00E9458D">
      <w:pPr>
        <w:widowControl/>
        <w:ind w:firstLineChars="200" w:firstLine="640"/>
        <w:jc w:val="left"/>
        <w:rPr>
          <w:rFonts w:ascii="仿宋" w:eastAsia="仿宋" w:hAnsi="仿宋"/>
          <w:sz w:val="32"/>
          <w:szCs w:val="32"/>
        </w:rPr>
      </w:pPr>
      <w:r>
        <w:rPr>
          <w:rFonts w:ascii="仿宋" w:eastAsia="仿宋" w:hAnsi="仿宋" w:hint="eastAsia"/>
          <w:sz w:val="32"/>
          <w:szCs w:val="32"/>
        </w:rPr>
        <w:t>十、预算绩效情况说明·························1</w:t>
      </w:r>
      <w:r w:rsidR="00200E3D">
        <w:rPr>
          <w:rFonts w:ascii="仿宋" w:eastAsia="仿宋" w:hAnsi="仿宋"/>
          <w:sz w:val="32"/>
          <w:szCs w:val="32"/>
        </w:rPr>
        <w:t>5</w:t>
      </w:r>
    </w:p>
    <w:p w:rsidR="008B5BAA" w:rsidRDefault="00E9458D">
      <w:pPr>
        <w:widowControl/>
        <w:ind w:firstLineChars="200" w:firstLine="640"/>
        <w:jc w:val="left"/>
        <w:rPr>
          <w:rFonts w:ascii="仿宋" w:eastAsia="仿宋" w:hAnsi="仿宋"/>
          <w:sz w:val="32"/>
          <w:szCs w:val="32"/>
        </w:rPr>
      </w:pPr>
      <w:r>
        <w:rPr>
          <w:rFonts w:ascii="仿宋" w:eastAsia="仿宋" w:hAnsi="仿宋" w:hint="eastAsia"/>
          <w:sz w:val="32"/>
          <w:szCs w:val="32"/>
        </w:rPr>
        <w:t>十一、其他重要事项的情况说明·················1</w:t>
      </w:r>
      <w:r w:rsidR="00200E3D">
        <w:rPr>
          <w:rFonts w:ascii="仿宋" w:eastAsia="仿宋" w:hAnsi="仿宋"/>
          <w:sz w:val="32"/>
          <w:szCs w:val="32"/>
        </w:rPr>
        <w:t>6</w:t>
      </w:r>
    </w:p>
    <w:p w:rsidR="008B5BAA" w:rsidRDefault="00E9458D">
      <w:pPr>
        <w:widowControl/>
        <w:jc w:val="left"/>
        <w:rPr>
          <w:rFonts w:ascii="仿宋" w:eastAsia="仿宋" w:hAnsi="仿宋"/>
          <w:sz w:val="32"/>
          <w:szCs w:val="32"/>
        </w:rPr>
      </w:pPr>
      <w:r>
        <w:rPr>
          <w:rFonts w:ascii="黑体" w:eastAsia="黑体" w:hAnsi="黑体" w:hint="eastAsia"/>
          <w:sz w:val="32"/>
          <w:szCs w:val="32"/>
        </w:rPr>
        <w:t>第三部分 名词解释·</w:t>
      </w:r>
      <w:r>
        <w:rPr>
          <w:rFonts w:ascii="仿宋" w:eastAsia="仿宋" w:hAnsi="仿宋" w:hint="eastAsia"/>
          <w:sz w:val="32"/>
          <w:szCs w:val="32"/>
        </w:rPr>
        <w:t>·······························18</w:t>
      </w:r>
    </w:p>
    <w:p w:rsidR="008B5BAA" w:rsidRDefault="00E9458D">
      <w:pPr>
        <w:widowControl/>
        <w:jc w:val="left"/>
        <w:rPr>
          <w:rFonts w:ascii="仿宋" w:eastAsia="仿宋" w:hAnsi="仿宋"/>
          <w:sz w:val="32"/>
          <w:szCs w:val="32"/>
        </w:rPr>
      </w:pPr>
      <w:r>
        <w:rPr>
          <w:rFonts w:ascii="黑体" w:eastAsia="黑体" w:hAnsi="黑体" w:hint="eastAsia"/>
          <w:sz w:val="32"/>
          <w:szCs w:val="32"/>
        </w:rPr>
        <w:t>第四部分 附件</w:t>
      </w:r>
      <w:r>
        <w:rPr>
          <w:rFonts w:ascii="黑体" w:eastAsia="黑体" w:hAnsi="黑体" w:hint="eastAsia"/>
          <w:sz w:val="32"/>
          <w:szCs w:val="32"/>
        </w:rPr>
        <w:tab/>
      </w:r>
      <w:r>
        <w:rPr>
          <w:rFonts w:ascii="仿宋" w:eastAsia="仿宋" w:hAnsi="仿宋" w:hint="eastAsia"/>
          <w:sz w:val="32"/>
          <w:szCs w:val="32"/>
        </w:rPr>
        <w:t>····································21</w:t>
      </w:r>
    </w:p>
    <w:p w:rsidR="008B5BAA" w:rsidRDefault="00A8406F" w:rsidP="00A8406F">
      <w:pPr>
        <w:widowControl/>
        <w:ind w:firstLineChars="250" w:firstLine="700"/>
        <w:jc w:val="left"/>
        <w:rPr>
          <w:rFonts w:ascii="仿宋" w:eastAsia="仿宋" w:hAnsi="仿宋"/>
          <w:sz w:val="32"/>
          <w:szCs w:val="32"/>
        </w:rPr>
      </w:pPr>
      <w:r w:rsidRPr="00A8406F">
        <w:rPr>
          <w:rFonts w:ascii="仿宋" w:eastAsia="仿宋" w:hAnsi="仿宋" w:hint="eastAsia"/>
          <w:spacing w:val="-20"/>
          <w:sz w:val="32"/>
          <w:szCs w:val="32"/>
        </w:rPr>
        <w:t>附件</w:t>
      </w:r>
      <w:r w:rsidR="00E9458D">
        <w:rPr>
          <w:rFonts w:ascii="仿宋" w:eastAsia="仿宋" w:hAnsi="仿宋" w:hint="eastAsia"/>
          <w:sz w:val="32"/>
          <w:szCs w:val="32"/>
        </w:rPr>
        <w:t>1 2020年部门整体支出绩效评价报告········21</w:t>
      </w:r>
    </w:p>
    <w:p w:rsidR="008B5BAA" w:rsidRPr="00A8406F" w:rsidRDefault="00E9458D" w:rsidP="00A8406F">
      <w:pPr>
        <w:widowControl/>
        <w:ind w:firstLineChars="250" w:firstLine="700"/>
        <w:jc w:val="left"/>
        <w:rPr>
          <w:rFonts w:ascii="仿宋" w:eastAsia="仿宋" w:hAnsi="仿宋"/>
          <w:spacing w:val="-20"/>
          <w:sz w:val="32"/>
          <w:szCs w:val="32"/>
        </w:rPr>
      </w:pPr>
      <w:r w:rsidRPr="00A8406F">
        <w:rPr>
          <w:rFonts w:ascii="仿宋" w:eastAsia="仿宋" w:hAnsi="仿宋" w:hint="eastAsia"/>
          <w:spacing w:val="-20"/>
          <w:sz w:val="32"/>
          <w:szCs w:val="32"/>
        </w:rPr>
        <w:t>附件</w:t>
      </w:r>
      <w:r w:rsidR="00A8406F">
        <w:rPr>
          <w:rFonts w:ascii="仿宋" w:eastAsia="仿宋" w:hAnsi="仿宋" w:hint="eastAsia"/>
          <w:spacing w:val="-20"/>
          <w:sz w:val="32"/>
          <w:szCs w:val="32"/>
        </w:rPr>
        <w:t>2</w:t>
      </w:r>
      <w:r w:rsidR="00A8406F">
        <w:rPr>
          <w:rFonts w:ascii="仿宋" w:eastAsia="仿宋" w:hAnsi="仿宋"/>
          <w:spacing w:val="-20"/>
          <w:sz w:val="32"/>
          <w:szCs w:val="32"/>
        </w:rPr>
        <w:t xml:space="preserve">  </w:t>
      </w:r>
      <w:r w:rsidRPr="00A8406F">
        <w:rPr>
          <w:rFonts w:ascii="仿宋" w:eastAsia="仿宋" w:hAnsi="仿宋" w:hint="eastAsia"/>
          <w:spacing w:val="-20"/>
          <w:sz w:val="32"/>
          <w:szCs w:val="32"/>
        </w:rPr>
        <w:t>2020</w:t>
      </w:r>
      <w:r w:rsidR="00A8406F">
        <w:rPr>
          <w:rFonts w:ascii="仿宋" w:eastAsia="仿宋" w:hAnsi="仿宋" w:hint="eastAsia"/>
          <w:spacing w:val="-20"/>
          <w:sz w:val="32"/>
          <w:szCs w:val="32"/>
        </w:rPr>
        <w:t>学生营养改善计划项目支出绩效评价报告··</w:t>
      </w:r>
      <w:r w:rsidRPr="00A8406F">
        <w:rPr>
          <w:rFonts w:ascii="仿宋" w:eastAsia="仿宋" w:hAnsi="仿宋" w:hint="eastAsia"/>
          <w:spacing w:val="-20"/>
          <w:sz w:val="32"/>
          <w:szCs w:val="32"/>
        </w:rPr>
        <w:t>·25</w:t>
      </w:r>
    </w:p>
    <w:p w:rsidR="008B5BAA" w:rsidRDefault="00E9458D">
      <w:pPr>
        <w:widowControl/>
        <w:jc w:val="left"/>
        <w:rPr>
          <w:rFonts w:ascii="仿宋" w:eastAsia="仿宋" w:hAnsi="仿宋"/>
          <w:sz w:val="32"/>
          <w:szCs w:val="32"/>
        </w:rPr>
      </w:pPr>
      <w:r>
        <w:rPr>
          <w:rFonts w:ascii="黑体" w:eastAsia="黑体" w:hAnsi="黑体" w:hint="eastAsia"/>
          <w:sz w:val="32"/>
          <w:szCs w:val="32"/>
        </w:rPr>
        <w:t>第五部分 附表</w:t>
      </w:r>
      <w:r>
        <w:rPr>
          <w:rFonts w:ascii="仿宋" w:eastAsia="仿宋" w:hAnsi="仿宋" w:hint="eastAsia"/>
          <w:sz w:val="32"/>
          <w:szCs w:val="32"/>
        </w:rPr>
        <w:tab/>
        <w:t>····································30</w:t>
      </w:r>
    </w:p>
    <w:p w:rsidR="008B5BAA" w:rsidRDefault="00E9458D">
      <w:pPr>
        <w:widowControl/>
        <w:ind w:firstLineChars="200" w:firstLine="640"/>
        <w:jc w:val="left"/>
        <w:rPr>
          <w:rFonts w:ascii="仿宋" w:eastAsia="仿宋" w:hAnsi="仿宋"/>
          <w:sz w:val="32"/>
          <w:szCs w:val="32"/>
        </w:rPr>
      </w:pPr>
      <w:r>
        <w:rPr>
          <w:rFonts w:ascii="仿宋" w:eastAsia="仿宋" w:hAnsi="仿宋" w:hint="eastAsia"/>
          <w:sz w:val="32"/>
          <w:szCs w:val="32"/>
        </w:rPr>
        <w:lastRenderedPageBreak/>
        <w:t>一、收入支出决算总表</w:t>
      </w:r>
    </w:p>
    <w:p w:rsidR="008B5BAA" w:rsidRDefault="00E9458D">
      <w:pPr>
        <w:widowControl/>
        <w:ind w:firstLineChars="200" w:firstLine="640"/>
        <w:jc w:val="left"/>
        <w:rPr>
          <w:rFonts w:ascii="仿宋" w:eastAsia="仿宋" w:hAnsi="仿宋"/>
          <w:sz w:val="32"/>
          <w:szCs w:val="32"/>
        </w:rPr>
      </w:pPr>
      <w:r>
        <w:rPr>
          <w:rFonts w:ascii="仿宋" w:eastAsia="仿宋" w:hAnsi="仿宋" w:hint="eastAsia"/>
          <w:sz w:val="32"/>
          <w:szCs w:val="32"/>
        </w:rPr>
        <w:t>二、收入总表</w:t>
      </w:r>
    </w:p>
    <w:p w:rsidR="008B5BAA" w:rsidRDefault="00E9458D">
      <w:pPr>
        <w:widowControl/>
        <w:ind w:firstLineChars="200" w:firstLine="640"/>
        <w:jc w:val="left"/>
        <w:rPr>
          <w:rFonts w:ascii="仿宋" w:eastAsia="仿宋" w:hAnsi="仿宋"/>
          <w:sz w:val="32"/>
          <w:szCs w:val="32"/>
        </w:rPr>
      </w:pPr>
      <w:r>
        <w:rPr>
          <w:rFonts w:ascii="仿宋" w:eastAsia="仿宋" w:hAnsi="仿宋" w:hint="eastAsia"/>
          <w:sz w:val="32"/>
          <w:szCs w:val="32"/>
        </w:rPr>
        <w:t>三、支出总表</w:t>
      </w:r>
    </w:p>
    <w:p w:rsidR="008B5BAA" w:rsidRDefault="00E9458D">
      <w:pPr>
        <w:widowControl/>
        <w:ind w:firstLineChars="200" w:firstLine="640"/>
        <w:jc w:val="left"/>
        <w:rPr>
          <w:rFonts w:ascii="仿宋" w:eastAsia="仿宋" w:hAnsi="仿宋"/>
          <w:sz w:val="32"/>
          <w:szCs w:val="32"/>
        </w:rPr>
      </w:pPr>
      <w:r>
        <w:rPr>
          <w:rFonts w:ascii="仿宋" w:eastAsia="仿宋" w:hAnsi="仿宋" w:hint="eastAsia"/>
          <w:sz w:val="32"/>
          <w:szCs w:val="32"/>
        </w:rPr>
        <w:t>四、财政拨款收入支出决算总表</w:t>
      </w:r>
    </w:p>
    <w:p w:rsidR="008B5BAA" w:rsidRDefault="00E9458D">
      <w:pPr>
        <w:widowControl/>
        <w:ind w:firstLineChars="200" w:firstLine="640"/>
        <w:jc w:val="left"/>
        <w:rPr>
          <w:rFonts w:ascii="仿宋" w:eastAsia="仿宋" w:hAnsi="仿宋"/>
          <w:sz w:val="32"/>
          <w:szCs w:val="32"/>
        </w:rPr>
      </w:pPr>
      <w:r>
        <w:rPr>
          <w:rFonts w:ascii="仿宋" w:eastAsia="仿宋" w:hAnsi="仿宋" w:hint="eastAsia"/>
          <w:sz w:val="32"/>
          <w:szCs w:val="32"/>
        </w:rPr>
        <w:t>五、财政拨款支出决算明细表</w:t>
      </w:r>
    </w:p>
    <w:p w:rsidR="008B5BAA" w:rsidRDefault="00E9458D">
      <w:pPr>
        <w:widowControl/>
        <w:ind w:firstLineChars="200" w:firstLine="640"/>
        <w:jc w:val="left"/>
        <w:rPr>
          <w:rFonts w:ascii="仿宋" w:eastAsia="仿宋" w:hAnsi="仿宋"/>
          <w:sz w:val="32"/>
          <w:szCs w:val="32"/>
        </w:rPr>
      </w:pPr>
      <w:r>
        <w:rPr>
          <w:rFonts w:ascii="仿宋" w:eastAsia="仿宋" w:hAnsi="仿宋" w:hint="eastAsia"/>
          <w:sz w:val="32"/>
          <w:szCs w:val="32"/>
        </w:rPr>
        <w:t>六、一般公共预算财政拨款支出决算表</w:t>
      </w:r>
    </w:p>
    <w:p w:rsidR="008B5BAA" w:rsidRDefault="00E9458D">
      <w:pPr>
        <w:widowControl/>
        <w:ind w:firstLineChars="200" w:firstLine="640"/>
        <w:jc w:val="left"/>
        <w:rPr>
          <w:rFonts w:ascii="仿宋" w:eastAsia="仿宋" w:hAnsi="仿宋"/>
          <w:sz w:val="32"/>
          <w:szCs w:val="32"/>
        </w:rPr>
      </w:pPr>
      <w:r>
        <w:rPr>
          <w:rFonts w:ascii="仿宋" w:eastAsia="仿宋" w:hAnsi="仿宋" w:hint="eastAsia"/>
          <w:sz w:val="32"/>
          <w:szCs w:val="32"/>
        </w:rPr>
        <w:t>七、一般公共预算财政拨款支出决算明细表</w:t>
      </w:r>
    </w:p>
    <w:p w:rsidR="008B5BAA" w:rsidRDefault="00E9458D">
      <w:pPr>
        <w:widowControl/>
        <w:ind w:firstLineChars="200" w:firstLine="640"/>
        <w:jc w:val="left"/>
        <w:rPr>
          <w:rFonts w:ascii="仿宋" w:eastAsia="仿宋" w:hAnsi="仿宋"/>
          <w:sz w:val="32"/>
          <w:szCs w:val="32"/>
        </w:rPr>
      </w:pPr>
      <w:r>
        <w:rPr>
          <w:rFonts w:ascii="仿宋" w:eastAsia="仿宋" w:hAnsi="仿宋" w:hint="eastAsia"/>
          <w:sz w:val="32"/>
          <w:szCs w:val="32"/>
        </w:rPr>
        <w:t>八、一般公共预算财政拨款基本支出决算表</w:t>
      </w:r>
    </w:p>
    <w:p w:rsidR="008B5BAA" w:rsidRDefault="00E9458D">
      <w:pPr>
        <w:widowControl/>
        <w:ind w:firstLineChars="200" w:firstLine="640"/>
        <w:jc w:val="left"/>
        <w:rPr>
          <w:rFonts w:ascii="仿宋" w:eastAsia="仿宋" w:hAnsi="仿宋"/>
          <w:sz w:val="32"/>
          <w:szCs w:val="32"/>
        </w:rPr>
      </w:pPr>
      <w:r>
        <w:rPr>
          <w:rFonts w:ascii="仿宋" w:eastAsia="仿宋" w:hAnsi="仿宋" w:hint="eastAsia"/>
          <w:sz w:val="32"/>
          <w:szCs w:val="32"/>
        </w:rPr>
        <w:t>九、一般公共预算财政拨款项目支出决算表</w:t>
      </w:r>
    </w:p>
    <w:p w:rsidR="008B5BAA" w:rsidRDefault="00E9458D">
      <w:pPr>
        <w:widowControl/>
        <w:ind w:firstLineChars="200" w:firstLine="640"/>
        <w:jc w:val="left"/>
        <w:rPr>
          <w:rFonts w:ascii="仿宋" w:eastAsia="仿宋" w:hAnsi="仿宋"/>
          <w:sz w:val="32"/>
          <w:szCs w:val="32"/>
        </w:rPr>
      </w:pPr>
      <w:r>
        <w:rPr>
          <w:rFonts w:ascii="仿宋" w:eastAsia="仿宋" w:hAnsi="仿宋" w:hint="eastAsia"/>
          <w:sz w:val="32"/>
          <w:szCs w:val="32"/>
        </w:rPr>
        <w:t>十、一般公共预算财政拨款“三公”经费支出决算表</w:t>
      </w:r>
    </w:p>
    <w:p w:rsidR="008B5BAA" w:rsidRDefault="00E9458D">
      <w:pPr>
        <w:widowControl/>
        <w:ind w:firstLineChars="200" w:firstLine="640"/>
        <w:jc w:val="left"/>
        <w:rPr>
          <w:rFonts w:ascii="仿宋" w:eastAsia="仿宋" w:hAnsi="仿宋"/>
          <w:sz w:val="32"/>
          <w:szCs w:val="32"/>
        </w:rPr>
      </w:pPr>
      <w:r>
        <w:rPr>
          <w:rFonts w:ascii="仿宋" w:eastAsia="仿宋" w:hAnsi="仿宋" w:hint="eastAsia"/>
          <w:sz w:val="32"/>
          <w:szCs w:val="32"/>
        </w:rPr>
        <w:t>十一、政府性基金预算财政拨款收入支出决算表</w:t>
      </w:r>
    </w:p>
    <w:p w:rsidR="008B5BAA" w:rsidRDefault="00E9458D">
      <w:pPr>
        <w:widowControl/>
        <w:ind w:firstLineChars="200" w:firstLine="640"/>
        <w:jc w:val="left"/>
        <w:rPr>
          <w:rFonts w:ascii="仿宋" w:eastAsia="仿宋" w:hAnsi="仿宋"/>
          <w:sz w:val="32"/>
          <w:szCs w:val="32"/>
        </w:rPr>
      </w:pPr>
      <w:r>
        <w:rPr>
          <w:rFonts w:ascii="仿宋" w:eastAsia="仿宋" w:hAnsi="仿宋" w:hint="eastAsia"/>
          <w:sz w:val="32"/>
          <w:szCs w:val="32"/>
        </w:rPr>
        <w:t>十二、政府性基金预算财政拨款“三公”经费支出决算表</w:t>
      </w:r>
    </w:p>
    <w:p w:rsidR="008B5BAA" w:rsidRDefault="00E9458D">
      <w:pPr>
        <w:widowControl/>
        <w:ind w:firstLineChars="200" w:firstLine="640"/>
        <w:jc w:val="left"/>
        <w:rPr>
          <w:rFonts w:ascii="仿宋" w:eastAsia="仿宋" w:hAnsi="仿宋"/>
          <w:sz w:val="32"/>
          <w:szCs w:val="32"/>
        </w:rPr>
      </w:pPr>
      <w:r>
        <w:rPr>
          <w:rFonts w:ascii="仿宋" w:eastAsia="仿宋" w:hAnsi="仿宋" w:hint="eastAsia"/>
          <w:sz w:val="32"/>
          <w:szCs w:val="32"/>
        </w:rPr>
        <w:t>十三、国有资本经营预算支出决算表</w:t>
      </w:r>
    </w:p>
    <w:p w:rsidR="008B5BAA" w:rsidRDefault="008B5BAA">
      <w:pPr>
        <w:widowControl/>
        <w:jc w:val="center"/>
        <w:rPr>
          <w:rFonts w:ascii="黑体" w:eastAsia="黑体" w:hAnsi="黑体"/>
          <w:sz w:val="48"/>
          <w:szCs w:val="48"/>
        </w:rPr>
      </w:pPr>
    </w:p>
    <w:p w:rsidR="008B5BAA" w:rsidRDefault="00E9458D">
      <w:pPr>
        <w:widowControl/>
        <w:jc w:val="center"/>
        <w:rPr>
          <w:rFonts w:ascii="黑体" w:eastAsia="黑体" w:hAnsi="黑体"/>
          <w:sz w:val="48"/>
          <w:szCs w:val="48"/>
        </w:rPr>
      </w:pPr>
      <w:r>
        <w:rPr>
          <w:rFonts w:ascii="黑体" w:eastAsia="黑体" w:hAnsi="黑体"/>
          <w:sz w:val="48"/>
          <w:szCs w:val="48"/>
        </w:rPr>
        <w:t> </w:t>
      </w:r>
    </w:p>
    <w:p w:rsidR="008B5BAA" w:rsidRDefault="00E9458D">
      <w:pPr>
        <w:widowControl/>
        <w:jc w:val="left"/>
        <w:rPr>
          <w:rFonts w:ascii="黑体" w:eastAsia="黑体" w:hAnsi="黑体"/>
          <w:sz w:val="48"/>
          <w:szCs w:val="48"/>
        </w:rPr>
      </w:pPr>
      <w:r>
        <w:rPr>
          <w:rFonts w:ascii="黑体" w:eastAsia="黑体" w:hAnsi="黑体"/>
          <w:sz w:val="48"/>
          <w:szCs w:val="48"/>
        </w:rPr>
        <w:br w:type="page"/>
      </w:r>
    </w:p>
    <w:p w:rsidR="008B5BAA" w:rsidRDefault="008B5BAA">
      <w:pPr>
        <w:widowControl/>
        <w:jc w:val="center"/>
        <w:rPr>
          <w:rFonts w:ascii="黑体" w:eastAsia="黑体" w:hAnsi="黑体"/>
          <w:sz w:val="48"/>
          <w:szCs w:val="48"/>
        </w:rPr>
      </w:pPr>
    </w:p>
    <w:p w:rsidR="008B5BAA" w:rsidRDefault="00E9458D">
      <w:pPr>
        <w:pStyle w:val="1"/>
        <w:jc w:val="center"/>
        <w:rPr>
          <w:rFonts w:ascii="黑体" w:eastAsia="黑体" w:hAnsi="黑体"/>
          <w:bCs w:val="0"/>
        </w:rPr>
      </w:pPr>
      <w:bookmarkStart w:id="16" w:name="_Toc19089861"/>
      <w:bookmarkStart w:id="17" w:name="_Toc15377196"/>
      <w:r>
        <w:rPr>
          <w:rFonts w:ascii="黑体" w:eastAsia="黑体" w:hAnsi="黑体" w:hint="eastAsia"/>
          <w:b w:val="0"/>
        </w:rPr>
        <w:t xml:space="preserve">第一部分 </w:t>
      </w:r>
      <w:r>
        <w:rPr>
          <w:rStyle w:val="10"/>
          <w:rFonts w:ascii="黑体" w:eastAsia="黑体" w:hAnsi="黑体" w:hint="eastAsia"/>
        </w:rPr>
        <w:t>部门概况</w:t>
      </w:r>
      <w:bookmarkEnd w:id="16"/>
      <w:bookmarkEnd w:id="17"/>
    </w:p>
    <w:p w:rsidR="008B5BAA" w:rsidRDefault="00E9458D">
      <w:pPr>
        <w:pStyle w:val="2"/>
        <w:rPr>
          <w:rStyle w:val="20"/>
          <w:rFonts w:ascii="仿宋" w:eastAsia="仿宋" w:hAnsi="仿宋"/>
        </w:rPr>
      </w:pPr>
      <w:bookmarkStart w:id="18" w:name="_Toc19089862"/>
      <w:bookmarkStart w:id="19" w:name="_Toc15377197"/>
      <w:r>
        <w:rPr>
          <w:rFonts w:ascii="黑体" w:eastAsia="黑体" w:hAnsi="黑体" w:hint="eastAsia"/>
          <w:b w:val="0"/>
        </w:rPr>
        <w:t>一、基</w:t>
      </w:r>
      <w:r>
        <w:rPr>
          <w:rStyle w:val="20"/>
          <w:rFonts w:ascii="黑体" w:eastAsia="黑体" w:hAnsi="黑体" w:hint="eastAsia"/>
        </w:rPr>
        <w:t>本职能及主要工作</w:t>
      </w:r>
      <w:bookmarkEnd w:id="18"/>
      <w:bookmarkEnd w:id="19"/>
    </w:p>
    <w:p w:rsidR="008B5BAA" w:rsidRDefault="00E9458D">
      <w:pPr>
        <w:pStyle w:val="a3"/>
        <w:adjustRightInd w:val="0"/>
        <w:snapToGrid w:val="0"/>
        <w:spacing w:beforeLines="0" w:line="540" w:lineRule="exact"/>
        <w:ind w:firstLineChars="200" w:firstLine="560"/>
        <w:outlineLvl w:val="2"/>
        <w:rPr>
          <w:rFonts w:ascii="楷体" w:eastAsia="楷体" w:hAnsi="楷体" w:cs="楷体"/>
          <w:bCs/>
          <w:sz w:val="28"/>
          <w:szCs w:val="28"/>
        </w:rPr>
      </w:pPr>
      <w:bookmarkStart w:id="20" w:name="_Toc15378445"/>
      <w:bookmarkStart w:id="21" w:name="_Toc15377198"/>
      <w:bookmarkStart w:id="22" w:name="_Toc15377204"/>
      <w:r>
        <w:rPr>
          <w:rFonts w:ascii="楷体" w:eastAsia="楷体" w:hAnsi="楷体" w:cs="楷体" w:hint="eastAsia"/>
          <w:bCs/>
          <w:sz w:val="28"/>
          <w:szCs w:val="28"/>
        </w:rPr>
        <w:t>（一）主要职能</w:t>
      </w:r>
    </w:p>
    <w:p w:rsidR="008B5BAA" w:rsidRDefault="00E9458D">
      <w:pPr>
        <w:snapToGrid w:val="0"/>
        <w:spacing w:line="54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贯彻执行党和国家关于教育改革和发展的各项方针、政策，拟订</w:t>
      </w:r>
      <w:r>
        <w:rPr>
          <w:rFonts w:ascii="仿宋" w:eastAsia="仿宋" w:hAnsi="仿宋" w:hint="eastAsia"/>
          <w:sz w:val="28"/>
          <w:szCs w:val="28"/>
        </w:rPr>
        <w:t>学校</w:t>
      </w:r>
      <w:r>
        <w:rPr>
          <w:rFonts w:ascii="仿宋" w:eastAsia="仿宋" w:hAnsi="仿宋"/>
          <w:sz w:val="28"/>
          <w:szCs w:val="28"/>
        </w:rPr>
        <w:t>教育事业发展规划和有关教育的规范性文件并组织实施；</w:t>
      </w:r>
      <w:r>
        <w:rPr>
          <w:rFonts w:ascii="仿宋" w:eastAsia="仿宋" w:hAnsi="仿宋" w:hint="eastAsia"/>
          <w:sz w:val="28"/>
          <w:szCs w:val="28"/>
        </w:rPr>
        <w:t>支持</w:t>
      </w:r>
      <w:r>
        <w:rPr>
          <w:rFonts w:ascii="仿宋" w:eastAsia="仿宋" w:hAnsi="仿宋"/>
          <w:sz w:val="28"/>
          <w:szCs w:val="28"/>
        </w:rPr>
        <w:t>学校的教育、教学体制改革。</w:t>
      </w:r>
    </w:p>
    <w:p w:rsidR="008B5BAA" w:rsidRDefault="00E9458D">
      <w:pPr>
        <w:snapToGrid w:val="0"/>
        <w:spacing w:line="540" w:lineRule="exact"/>
        <w:ind w:firstLineChars="200" w:firstLine="560"/>
        <w:rPr>
          <w:rFonts w:ascii="仿宋" w:eastAsia="仿宋" w:hAnsi="仿宋"/>
          <w:sz w:val="28"/>
          <w:szCs w:val="28"/>
        </w:rPr>
      </w:pPr>
      <w:r>
        <w:rPr>
          <w:rFonts w:ascii="仿宋" w:eastAsia="仿宋" w:hAnsi="仿宋" w:hint="eastAsia"/>
          <w:sz w:val="28"/>
          <w:szCs w:val="28"/>
        </w:rPr>
        <w:t>2．组织学校</w:t>
      </w:r>
      <w:r>
        <w:rPr>
          <w:rFonts w:ascii="仿宋" w:eastAsia="仿宋" w:hAnsi="仿宋"/>
          <w:sz w:val="28"/>
          <w:szCs w:val="28"/>
        </w:rPr>
        <w:t>教育经费的统筹管理</w:t>
      </w:r>
      <w:r>
        <w:rPr>
          <w:rFonts w:ascii="仿宋" w:eastAsia="仿宋" w:hAnsi="仿宋" w:hint="eastAsia"/>
          <w:sz w:val="28"/>
          <w:szCs w:val="28"/>
        </w:rPr>
        <w:t>、</w:t>
      </w:r>
      <w:r>
        <w:rPr>
          <w:rFonts w:ascii="仿宋" w:eastAsia="仿宋" w:hAnsi="仿宋"/>
          <w:sz w:val="28"/>
          <w:szCs w:val="28"/>
        </w:rPr>
        <w:t>筹措和使用；宣传贯彻执行国家和省市</w:t>
      </w:r>
      <w:r>
        <w:rPr>
          <w:rFonts w:ascii="仿宋" w:eastAsia="仿宋" w:hAnsi="仿宋" w:hint="eastAsia"/>
          <w:sz w:val="28"/>
          <w:szCs w:val="28"/>
        </w:rPr>
        <w:t>区</w:t>
      </w:r>
      <w:r>
        <w:rPr>
          <w:rFonts w:ascii="仿宋" w:eastAsia="仿宋" w:hAnsi="仿宋"/>
          <w:sz w:val="28"/>
          <w:szCs w:val="28"/>
        </w:rPr>
        <w:t>有关学生资助工作方针和政策，统筹管理</w:t>
      </w:r>
      <w:r>
        <w:rPr>
          <w:rFonts w:ascii="仿宋" w:eastAsia="仿宋" w:hAnsi="仿宋" w:hint="eastAsia"/>
          <w:sz w:val="28"/>
          <w:szCs w:val="28"/>
        </w:rPr>
        <w:t>片区</w:t>
      </w:r>
      <w:r>
        <w:rPr>
          <w:rFonts w:ascii="仿宋" w:eastAsia="仿宋" w:hAnsi="仿宋"/>
          <w:sz w:val="28"/>
          <w:szCs w:val="28"/>
        </w:rPr>
        <w:t>贫困家庭学生资助工作。</w:t>
      </w:r>
    </w:p>
    <w:p w:rsidR="008B5BAA" w:rsidRDefault="00E9458D">
      <w:pPr>
        <w:snapToGrid w:val="0"/>
        <w:spacing w:line="54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推进义务教育均衡发展和促进教育公平，负责义务教育的指导与协调</w:t>
      </w:r>
      <w:r>
        <w:rPr>
          <w:rFonts w:ascii="仿宋" w:eastAsia="仿宋" w:hAnsi="仿宋" w:hint="eastAsia"/>
          <w:sz w:val="28"/>
          <w:szCs w:val="28"/>
        </w:rPr>
        <w:t>，</w:t>
      </w:r>
      <w:r>
        <w:rPr>
          <w:rFonts w:ascii="仿宋" w:eastAsia="仿宋" w:hAnsi="仿宋"/>
          <w:sz w:val="28"/>
          <w:szCs w:val="28"/>
        </w:rPr>
        <w:t>全面实施素质教育</w:t>
      </w:r>
      <w:r>
        <w:rPr>
          <w:rFonts w:ascii="仿宋" w:eastAsia="仿宋" w:hAnsi="仿宋" w:hint="eastAsia"/>
          <w:sz w:val="28"/>
          <w:szCs w:val="28"/>
        </w:rPr>
        <w:t>。</w:t>
      </w:r>
    </w:p>
    <w:p w:rsidR="008B5BAA" w:rsidRDefault="00E9458D">
      <w:pPr>
        <w:snapToGrid w:val="0"/>
        <w:spacing w:line="540" w:lineRule="exact"/>
        <w:ind w:firstLineChars="200" w:firstLine="560"/>
        <w:rPr>
          <w:rFonts w:ascii="仿宋" w:eastAsia="仿宋" w:hAnsi="仿宋"/>
          <w:sz w:val="28"/>
          <w:szCs w:val="28"/>
        </w:rPr>
      </w:pPr>
      <w:r>
        <w:rPr>
          <w:rFonts w:ascii="仿宋" w:eastAsia="仿宋" w:hAnsi="仿宋" w:hint="eastAsia"/>
          <w:sz w:val="28"/>
          <w:szCs w:val="28"/>
        </w:rPr>
        <w:t>4．组织实施</w:t>
      </w:r>
      <w:r>
        <w:rPr>
          <w:rFonts w:ascii="仿宋" w:eastAsia="仿宋" w:hAnsi="仿宋"/>
          <w:sz w:val="28"/>
          <w:szCs w:val="28"/>
        </w:rPr>
        <w:t xml:space="preserve">基础教育发展水平、质量的监测工作。 </w:t>
      </w:r>
    </w:p>
    <w:p w:rsidR="008B5BAA" w:rsidRDefault="00E9458D">
      <w:pPr>
        <w:snapToGrid w:val="0"/>
        <w:spacing w:line="540" w:lineRule="exact"/>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统筹管理和协调</w:t>
      </w:r>
      <w:r>
        <w:rPr>
          <w:rFonts w:ascii="仿宋" w:eastAsia="仿宋" w:hAnsi="仿宋" w:hint="eastAsia"/>
          <w:sz w:val="28"/>
          <w:szCs w:val="28"/>
        </w:rPr>
        <w:t>全校</w:t>
      </w:r>
      <w:r>
        <w:rPr>
          <w:rFonts w:ascii="仿宋" w:eastAsia="仿宋" w:hAnsi="仿宋"/>
          <w:sz w:val="28"/>
          <w:szCs w:val="28"/>
        </w:rPr>
        <w:t>社会力量办学的教育工作。</w:t>
      </w:r>
    </w:p>
    <w:p w:rsidR="008B5BAA" w:rsidRDefault="00E9458D">
      <w:pPr>
        <w:snapToGrid w:val="0"/>
        <w:spacing w:line="540" w:lineRule="exact"/>
        <w:ind w:firstLineChars="200" w:firstLine="560"/>
        <w:rPr>
          <w:rFonts w:ascii="仿宋" w:eastAsia="仿宋" w:hAnsi="仿宋"/>
          <w:sz w:val="28"/>
          <w:szCs w:val="28"/>
        </w:rPr>
      </w:pPr>
      <w:r>
        <w:rPr>
          <w:rFonts w:ascii="仿宋" w:eastAsia="仿宋" w:hAnsi="仿宋" w:hint="eastAsia"/>
          <w:sz w:val="28"/>
          <w:szCs w:val="28"/>
        </w:rPr>
        <w:t>6．</w:t>
      </w:r>
      <w:r>
        <w:rPr>
          <w:rFonts w:ascii="仿宋" w:eastAsia="仿宋" w:hAnsi="仿宋"/>
          <w:sz w:val="28"/>
          <w:szCs w:val="28"/>
        </w:rPr>
        <w:t xml:space="preserve">指导学校的依法治校、安全、综合治理、档案、保密、计划生育工作。 </w:t>
      </w:r>
    </w:p>
    <w:p w:rsidR="008B5BAA" w:rsidRDefault="00E9458D">
      <w:pPr>
        <w:snapToGrid w:val="0"/>
        <w:spacing w:line="540" w:lineRule="exact"/>
        <w:ind w:firstLineChars="200" w:firstLine="560"/>
        <w:rPr>
          <w:rFonts w:ascii="仿宋" w:eastAsia="仿宋" w:hAnsi="仿宋"/>
          <w:sz w:val="28"/>
          <w:szCs w:val="28"/>
        </w:rPr>
      </w:pPr>
      <w:r>
        <w:rPr>
          <w:rFonts w:ascii="仿宋" w:eastAsia="仿宋" w:hAnsi="仿宋" w:hint="eastAsia"/>
          <w:sz w:val="28"/>
          <w:szCs w:val="28"/>
        </w:rPr>
        <w:t>7．</w:t>
      </w:r>
      <w:r>
        <w:rPr>
          <w:rFonts w:ascii="仿宋" w:eastAsia="仿宋" w:hAnsi="仿宋"/>
          <w:sz w:val="28"/>
          <w:szCs w:val="28"/>
        </w:rPr>
        <w:t xml:space="preserve">统筹管理和协调学校体育、卫生与艺术教育工作。 </w:t>
      </w:r>
    </w:p>
    <w:p w:rsidR="008B5BAA" w:rsidRDefault="00E9458D">
      <w:pPr>
        <w:snapToGrid w:val="0"/>
        <w:spacing w:line="540" w:lineRule="exact"/>
        <w:ind w:firstLineChars="200" w:firstLine="560"/>
        <w:rPr>
          <w:rFonts w:ascii="仿宋" w:eastAsia="仿宋" w:hAnsi="仿宋"/>
          <w:sz w:val="28"/>
          <w:szCs w:val="28"/>
        </w:rPr>
      </w:pPr>
      <w:r>
        <w:rPr>
          <w:rFonts w:ascii="仿宋" w:eastAsia="仿宋" w:hAnsi="仿宋" w:hint="eastAsia"/>
          <w:sz w:val="28"/>
          <w:szCs w:val="28"/>
        </w:rPr>
        <w:t>8．落实</w:t>
      </w:r>
      <w:r>
        <w:rPr>
          <w:rFonts w:ascii="仿宋" w:eastAsia="仿宋" w:hAnsi="仿宋"/>
          <w:sz w:val="28"/>
          <w:szCs w:val="28"/>
        </w:rPr>
        <w:t>教育系统人事制度改革工作，推行和实施校长、教师聘任制。</w:t>
      </w:r>
    </w:p>
    <w:p w:rsidR="008B5BAA" w:rsidRDefault="00E9458D">
      <w:pPr>
        <w:snapToGrid w:val="0"/>
        <w:spacing w:line="540" w:lineRule="exact"/>
        <w:ind w:firstLineChars="200" w:firstLine="560"/>
        <w:rPr>
          <w:rFonts w:ascii="仿宋" w:eastAsia="仿宋" w:hAnsi="仿宋"/>
          <w:sz w:val="28"/>
          <w:szCs w:val="28"/>
        </w:rPr>
      </w:pPr>
      <w:r>
        <w:rPr>
          <w:rFonts w:ascii="仿宋" w:eastAsia="仿宋" w:hAnsi="仿宋" w:hint="eastAsia"/>
          <w:sz w:val="28"/>
          <w:szCs w:val="28"/>
        </w:rPr>
        <w:t>9．抓好全校</w:t>
      </w:r>
      <w:r>
        <w:rPr>
          <w:rFonts w:ascii="仿宋" w:eastAsia="仿宋" w:hAnsi="仿宋"/>
          <w:sz w:val="28"/>
          <w:szCs w:val="28"/>
        </w:rPr>
        <w:t>教师工作；组织实施各级各类教师资格证书制度；统筹规划学校教师和管理人员队伍建设；负责</w:t>
      </w:r>
      <w:r>
        <w:rPr>
          <w:rFonts w:ascii="仿宋" w:eastAsia="仿宋" w:hAnsi="仿宋" w:hint="eastAsia"/>
          <w:sz w:val="28"/>
          <w:szCs w:val="28"/>
        </w:rPr>
        <w:t>学校</w:t>
      </w:r>
      <w:r>
        <w:rPr>
          <w:rFonts w:ascii="仿宋" w:eastAsia="仿宋" w:hAnsi="仿宋"/>
          <w:sz w:val="28"/>
          <w:szCs w:val="28"/>
        </w:rPr>
        <w:t>校长、教师的继续教育和课程改革新教材的培训工作；会同有关部门负责全</w:t>
      </w:r>
      <w:r>
        <w:rPr>
          <w:rFonts w:ascii="仿宋" w:eastAsia="仿宋" w:hAnsi="仿宋" w:hint="eastAsia"/>
          <w:sz w:val="28"/>
          <w:szCs w:val="28"/>
        </w:rPr>
        <w:t>校</w:t>
      </w:r>
      <w:r>
        <w:rPr>
          <w:rFonts w:ascii="仿宋" w:eastAsia="仿宋" w:hAnsi="仿宋"/>
          <w:sz w:val="28"/>
          <w:szCs w:val="28"/>
        </w:rPr>
        <w:t>中小学教师专业技术职务评审工作；</w:t>
      </w:r>
      <w:r>
        <w:rPr>
          <w:rFonts w:ascii="仿宋" w:eastAsia="仿宋" w:hAnsi="仿宋" w:hint="eastAsia"/>
          <w:sz w:val="28"/>
          <w:szCs w:val="28"/>
        </w:rPr>
        <w:t>做好学校</w:t>
      </w:r>
      <w:r>
        <w:rPr>
          <w:rFonts w:ascii="仿宋" w:eastAsia="仿宋" w:hAnsi="仿宋"/>
          <w:sz w:val="28"/>
          <w:szCs w:val="28"/>
        </w:rPr>
        <w:t xml:space="preserve">人才队伍建设。 </w:t>
      </w:r>
    </w:p>
    <w:p w:rsidR="008B5BAA" w:rsidRDefault="00E9458D">
      <w:pPr>
        <w:snapToGrid w:val="0"/>
        <w:spacing w:line="540" w:lineRule="exact"/>
        <w:ind w:firstLineChars="200" w:firstLine="560"/>
        <w:rPr>
          <w:rFonts w:ascii="仿宋" w:eastAsia="仿宋" w:hAnsi="仿宋"/>
          <w:sz w:val="28"/>
          <w:szCs w:val="28"/>
        </w:rPr>
      </w:pPr>
      <w:r>
        <w:rPr>
          <w:rFonts w:ascii="仿宋" w:eastAsia="仿宋" w:hAnsi="仿宋" w:hint="eastAsia"/>
          <w:sz w:val="28"/>
          <w:szCs w:val="28"/>
        </w:rPr>
        <w:lastRenderedPageBreak/>
        <w:t>10．</w:t>
      </w:r>
      <w:r>
        <w:rPr>
          <w:rFonts w:ascii="仿宋" w:eastAsia="仿宋" w:hAnsi="仿宋"/>
          <w:sz w:val="28"/>
          <w:szCs w:val="28"/>
        </w:rPr>
        <w:t>指导和管理</w:t>
      </w:r>
      <w:r>
        <w:rPr>
          <w:rFonts w:ascii="仿宋" w:eastAsia="仿宋" w:hAnsi="仿宋" w:hint="eastAsia"/>
          <w:sz w:val="28"/>
          <w:szCs w:val="28"/>
        </w:rPr>
        <w:t>学校</w:t>
      </w:r>
      <w:r>
        <w:rPr>
          <w:rFonts w:ascii="仿宋" w:eastAsia="仿宋" w:hAnsi="仿宋"/>
          <w:sz w:val="28"/>
          <w:szCs w:val="28"/>
        </w:rPr>
        <w:t>的科学研究工作，</w:t>
      </w:r>
      <w:r>
        <w:rPr>
          <w:rFonts w:ascii="仿宋" w:eastAsia="仿宋" w:hAnsi="仿宋" w:hint="eastAsia"/>
          <w:sz w:val="28"/>
          <w:szCs w:val="28"/>
        </w:rPr>
        <w:t>推进</w:t>
      </w:r>
      <w:r>
        <w:rPr>
          <w:rFonts w:ascii="仿宋" w:eastAsia="仿宋" w:hAnsi="仿宋"/>
          <w:sz w:val="28"/>
          <w:szCs w:val="28"/>
        </w:rPr>
        <w:t>科研成果转化和教育兴农工作。</w:t>
      </w:r>
    </w:p>
    <w:p w:rsidR="008B5BAA" w:rsidRDefault="00E9458D">
      <w:pPr>
        <w:snapToGrid w:val="0"/>
        <w:spacing w:line="540" w:lineRule="exact"/>
        <w:ind w:firstLineChars="200" w:firstLine="560"/>
        <w:rPr>
          <w:rFonts w:ascii="仿宋" w:eastAsia="仿宋" w:hAnsi="仿宋"/>
          <w:sz w:val="28"/>
          <w:szCs w:val="28"/>
        </w:rPr>
      </w:pPr>
      <w:r>
        <w:rPr>
          <w:rFonts w:ascii="仿宋" w:eastAsia="仿宋" w:hAnsi="仿宋" w:hint="eastAsia"/>
          <w:sz w:val="28"/>
          <w:szCs w:val="28"/>
        </w:rPr>
        <w:t>11．</w:t>
      </w:r>
      <w:r>
        <w:rPr>
          <w:rFonts w:ascii="仿宋" w:eastAsia="仿宋" w:hAnsi="仿宋"/>
          <w:sz w:val="28"/>
          <w:szCs w:val="28"/>
        </w:rPr>
        <w:t xml:space="preserve">组织教育方面的对外交流与合作、对外宣传。 </w:t>
      </w:r>
    </w:p>
    <w:p w:rsidR="008B5BAA" w:rsidRDefault="00E9458D">
      <w:pPr>
        <w:snapToGrid w:val="0"/>
        <w:spacing w:line="540" w:lineRule="exact"/>
        <w:ind w:firstLineChars="200" w:firstLine="560"/>
        <w:rPr>
          <w:rFonts w:ascii="仿宋" w:eastAsia="仿宋" w:hAnsi="仿宋"/>
          <w:sz w:val="28"/>
          <w:szCs w:val="28"/>
        </w:rPr>
      </w:pPr>
      <w:r>
        <w:rPr>
          <w:rFonts w:ascii="仿宋" w:eastAsia="仿宋" w:hAnsi="仿宋" w:hint="eastAsia"/>
          <w:sz w:val="28"/>
          <w:szCs w:val="28"/>
        </w:rPr>
        <w:t>12．强化</w:t>
      </w:r>
      <w:r>
        <w:rPr>
          <w:rFonts w:ascii="仿宋" w:eastAsia="仿宋" w:hAnsi="仿宋"/>
          <w:sz w:val="28"/>
          <w:szCs w:val="28"/>
        </w:rPr>
        <w:t>学校后勤保障、信息化建设以及教学仪器设备和图书资料装备工作；</w:t>
      </w:r>
      <w:r>
        <w:rPr>
          <w:rFonts w:ascii="仿宋" w:eastAsia="仿宋" w:hAnsi="仿宋" w:hint="eastAsia"/>
          <w:sz w:val="28"/>
          <w:szCs w:val="28"/>
        </w:rPr>
        <w:t>做好</w:t>
      </w:r>
      <w:r>
        <w:rPr>
          <w:rFonts w:ascii="仿宋" w:eastAsia="仿宋" w:hAnsi="仿宋"/>
          <w:sz w:val="28"/>
          <w:szCs w:val="28"/>
        </w:rPr>
        <w:t>教育信息统计、分析和发布；</w:t>
      </w:r>
      <w:r>
        <w:rPr>
          <w:rFonts w:ascii="仿宋" w:eastAsia="仿宋" w:hAnsi="仿宋" w:hint="eastAsia"/>
          <w:sz w:val="28"/>
          <w:szCs w:val="28"/>
        </w:rPr>
        <w:t>积极参加</w:t>
      </w:r>
      <w:r>
        <w:rPr>
          <w:rFonts w:ascii="仿宋" w:eastAsia="仿宋" w:hAnsi="仿宋"/>
          <w:sz w:val="28"/>
          <w:szCs w:val="28"/>
        </w:rPr>
        <w:t>有关的教育学会、协会工作。</w:t>
      </w:r>
    </w:p>
    <w:p w:rsidR="008B5BAA" w:rsidRDefault="00E9458D">
      <w:pPr>
        <w:pStyle w:val="a3"/>
        <w:adjustRightInd w:val="0"/>
        <w:snapToGrid w:val="0"/>
        <w:spacing w:beforeLines="0" w:line="540" w:lineRule="exact"/>
        <w:ind w:firstLineChars="200" w:firstLine="560"/>
        <w:rPr>
          <w:bCs/>
          <w:sz w:val="28"/>
          <w:szCs w:val="28"/>
        </w:rPr>
      </w:pPr>
      <w:r>
        <w:rPr>
          <w:rFonts w:ascii="仿宋" w:eastAsia="仿宋" w:hAnsi="仿宋" w:hint="eastAsia"/>
          <w:sz w:val="28"/>
          <w:szCs w:val="28"/>
        </w:rPr>
        <w:t>13．</w:t>
      </w:r>
      <w:r>
        <w:rPr>
          <w:rFonts w:ascii="仿宋" w:eastAsia="仿宋" w:hAnsi="仿宋"/>
          <w:sz w:val="28"/>
          <w:szCs w:val="28"/>
        </w:rPr>
        <w:t>贯彻执行国家语言文字工作的方针、政策，编制语言文字工作中长期规划；组织协调语言文字的规范和标准的监督检查；指导和组织推广普通话、推行规范汉字；开展普通话培训和测试工作。</w:t>
      </w:r>
    </w:p>
    <w:p w:rsidR="008B5BAA" w:rsidRDefault="00E9458D">
      <w:pPr>
        <w:pStyle w:val="a3"/>
        <w:adjustRightInd w:val="0"/>
        <w:snapToGrid w:val="0"/>
        <w:spacing w:beforeLines="0" w:line="540" w:lineRule="exact"/>
        <w:ind w:firstLineChars="200" w:firstLine="560"/>
        <w:outlineLvl w:val="2"/>
        <w:rPr>
          <w:rFonts w:ascii="楷体" w:eastAsia="楷体" w:hAnsi="楷体" w:cs="楷体"/>
          <w:bCs/>
          <w:sz w:val="28"/>
          <w:szCs w:val="28"/>
        </w:rPr>
      </w:pPr>
      <w:r>
        <w:rPr>
          <w:rFonts w:ascii="楷体" w:eastAsia="楷体" w:hAnsi="楷体" w:cs="楷体" w:hint="eastAsia"/>
          <w:bCs/>
          <w:sz w:val="28"/>
          <w:szCs w:val="28"/>
        </w:rPr>
        <w:t>（二）2020年重点工作完成情况</w:t>
      </w:r>
    </w:p>
    <w:p w:rsidR="008B5BAA" w:rsidRDefault="00E9458D">
      <w:pPr>
        <w:numPr>
          <w:ilvl w:val="0"/>
          <w:numId w:val="1"/>
        </w:numPr>
        <w:snapToGrid w:val="0"/>
        <w:spacing w:line="54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教育教学成绩稳中提升：全校非毕业班成绩均比2019年有提升，六年级学业水平检测中:科学、数学名列全区同类学校第一，语文、英语名列全区前列，综合考核名列全区同类学校第一。学校获全市义务教育质量奖。</w:t>
      </w:r>
    </w:p>
    <w:p w:rsidR="008B5BAA" w:rsidRDefault="00E9458D">
      <w:pPr>
        <w:numPr>
          <w:ilvl w:val="0"/>
          <w:numId w:val="1"/>
        </w:numPr>
        <w:snapToGrid w:val="0"/>
        <w:spacing w:line="54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德育工作和素质教育见成效：学校开展了一月一主题活动，加强对学生的行为习惯养成教育， 2020年德育工作被省、市、区评为先进集体，同时被区评为宣传工作先进单位。</w:t>
      </w:r>
    </w:p>
    <w:p w:rsidR="008B5BAA" w:rsidRDefault="00E9458D">
      <w:pPr>
        <w:snapToGrid w:val="0"/>
        <w:spacing w:line="54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3.教育科研有序推进：加强学科教研组建设，建立规范的集体备课制度。开展群文阅读研究。建立了学生实践活动基地。</w:t>
      </w:r>
    </w:p>
    <w:p w:rsidR="008B5BAA" w:rsidRDefault="00E9458D">
      <w:pPr>
        <w:snapToGrid w:val="0"/>
        <w:spacing w:line="54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4.教师队伍进一步加强：学校自主招娉了青年教师，加大教师培训力度，组织教师、校长参加国家、省、市、区级培训31人次，指导全体教师参加网络培训；多方协调达成东城教育集团、万达初中、北街小学等名校名师送教活动，提升了教师教育教学和科研能力。</w:t>
      </w:r>
    </w:p>
    <w:p w:rsidR="008B5BAA" w:rsidRDefault="00E9458D">
      <w:pPr>
        <w:snapToGrid w:val="0"/>
        <w:spacing w:line="540" w:lineRule="exact"/>
        <w:ind w:firstLineChars="200" w:firstLine="536"/>
        <w:rPr>
          <w:rFonts w:ascii="仿宋" w:eastAsia="仿宋" w:hAnsi="仿宋"/>
          <w:sz w:val="28"/>
          <w:szCs w:val="28"/>
        </w:rPr>
      </w:pPr>
      <w:r>
        <w:rPr>
          <w:rFonts w:ascii="仿宋" w:eastAsia="仿宋" w:hAnsi="仿宋" w:cs="仿宋" w:hint="eastAsia"/>
          <w:spacing w:val="-6"/>
          <w:sz w:val="28"/>
          <w:szCs w:val="28"/>
        </w:rPr>
        <w:t>5.深入开展“师德师风建设年”活动，持续推进“不忘初心、牢记使命”主题教育工作，认真落实“三重一大”集体决策制度，确保了学</w:t>
      </w:r>
      <w:r>
        <w:rPr>
          <w:rFonts w:ascii="仿宋" w:eastAsia="仿宋" w:hAnsi="仿宋" w:cs="仿宋" w:hint="eastAsia"/>
          <w:spacing w:val="-6"/>
          <w:sz w:val="28"/>
          <w:szCs w:val="28"/>
        </w:rPr>
        <w:lastRenderedPageBreak/>
        <w:t>校重大事项决策、重要干部任免、重要项目安排、大额资金的使用更加合理合</w:t>
      </w:r>
      <w:r>
        <w:rPr>
          <w:rFonts w:ascii="仿宋" w:eastAsia="仿宋" w:hAnsi="仿宋" w:hint="eastAsia"/>
          <w:sz w:val="28"/>
          <w:szCs w:val="28"/>
        </w:rPr>
        <w:t>规。</w:t>
      </w:r>
    </w:p>
    <w:p w:rsidR="008B5BAA" w:rsidRDefault="00E9458D">
      <w:pPr>
        <w:snapToGrid w:val="0"/>
        <w:spacing w:line="54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6.办学条件进一步改善：建立了住宿制，改装寝室、洗漱间、购置实木床，改建了食堂操作间及各功能室，添置了食堂设备设施，教室、楼道贴了地板砖，教室、寝室、围墙翻新粉水，安装了太阳能解决学生用热水，为师生创建了舒适的学习生活环境。</w:t>
      </w:r>
    </w:p>
    <w:p w:rsidR="008B5BAA" w:rsidRDefault="00E9458D">
      <w:pPr>
        <w:snapToGrid w:val="0"/>
        <w:spacing w:line="540" w:lineRule="exact"/>
        <w:ind w:firstLineChars="200" w:firstLine="536"/>
        <w:rPr>
          <w:rFonts w:ascii="仿宋" w:eastAsia="仿宋" w:hAnsi="仿宋" w:cs="仿宋"/>
          <w:spacing w:val="-6"/>
          <w:sz w:val="28"/>
          <w:szCs w:val="28"/>
        </w:rPr>
      </w:pPr>
      <w:r>
        <w:rPr>
          <w:rFonts w:ascii="仿宋" w:eastAsia="仿宋" w:hAnsi="仿宋" w:cs="仿宋" w:hint="eastAsia"/>
          <w:spacing w:val="-6"/>
          <w:sz w:val="28"/>
          <w:szCs w:val="28"/>
        </w:rPr>
        <w:t>7.脱贫攻坚扎实推进：精准识别贫困户，建立困难学生台账，按时完成困难寄宿生生活补助及幼儿三儿资金，减免精准扶贫户学生午餐费、保险费课后服务费，全体住校生的床上用品、校服及书包、学习用品。负责5个行政村（清河村、桂花城、石青村、松柏村、天峰村）的教育扶贫宣传，核实建档立卡护学生教育资助政策的落实情况，达到片区内建档立卡护学生全面享受教育扶贫政策。</w:t>
      </w:r>
    </w:p>
    <w:p w:rsidR="008B5BAA" w:rsidRDefault="00E9458D">
      <w:pPr>
        <w:snapToGrid w:val="0"/>
        <w:spacing w:line="540" w:lineRule="exact"/>
        <w:ind w:firstLineChars="200" w:firstLine="536"/>
        <w:rPr>
          <w:rFonts w:ascii="仿宋" w:eastAsia="仿宋" w:hAnsi="仿宋" w:cs="仿宋"/>
          <w:sz w:val="28"/>
          <w:szCs w:val="28"/>
        </w:rPr>
      </w:pPr>
      <w:r>
        <w:rPr>
          <w:rFonts w:ascii="仿宋" w:eastAsia="仿宋" w:hAnsi="仿宋" w:cs="仿宋" w:hint="eastAsia"/>
          <w:spacing w:val="-6"/>
          <w:sz w:val="28"/>
          <w:szCs w:val="28"/>
        </w:rPr>
        <w:t>8.安全管理工作进一步加强：全面落实安全工作“一岗双责”制，坚持校园及周边安全隐患整治长效机制，加强校园安全保卫，加强学生安全教育宣传，继续深入开展学生“平安度假”“平安回家”“全校教师暑假大走访”和暑假教师“义务巡河”活动，加强学校、社会、家庭安全网络建设，假期学生平安度假。被区评为安全工作先进集体。</w:t>
      </w:r>
    </w:p>
    <w:p w:rsidR="008B5BAA" w:rsidRDefault="00E9458D">
      <w:pPr>
        <w:pStyle w:val="2"/>
        <w:snapToGrid w:val="0"/>
        <w:spacing w:before="0" w:after="0" w:line="540" w:lineRule="exact"/>
        <w:ind w:firstLineChars="200" w:firstLine="560"/>
        <w:rPr>
          <w:rStyle w:val="20"/>
          <w:sz w:val="28"/>
          <w:szCs w:val="28"/>
        </w:rPr>
      </w:pPr>
      <w:r>
        <w:rPr>
          <w:rFonts w:ascii="黑体" w:eastAsia="黑体" w:hint="eastAsia"/>
          <w:b w:val="0"/>
          <w:sz w:val="28"/>
          <w:szCs w:val="28"/>
        </w:rPr>
        <w:t>二、</w:t>
      </w:r>
      <w:r>
        <w:rPr>
          <w:rFonts w:ascii="黑体" w:eastAsia="黑体" w:hAnsi="黑体" w:hint="eastAsia"/>
          <w:b w:val="0"/>
          <w:sz w:val="28"/>
          <w:szCs w:val="28"/>
        </w:rPr>
        <w:t>机</w:t>
      </w:r>
      <w:r>
        <w:rPr>
          <w:rStyle w:val="20"/>
          <w:rFonts w:ascii="黑体" w:eastAsia="黑体" w:hAnsi="黑体" w:hint="eastAsia"/>
          <w:sz w:val="28"/>
          <w:szCs w:val="28"/>
        </w:rPr>
        <w:t>构设置</w:t>
      </w:r>
    </w:p>
    <w:p w:rsidR="008B5BAA" w:rsidRDefault="00E9458D">
      <w:pPr>
        <w:pStyle w:val="a3"/>
        <w:adjustRightInd w:val="0"/>
        <w:snapToGrid w:val="0"/>
        <w:spacing w:beforeLines="0" w:line="540" w:lineRule="exact"/>
        <w:ind w:firstLineChars="200" w:firstLine="560"/>
        <w:rPr>
          <w:color w:val="000000" w:themeColor="text1"/>
          <w:sz w:val="28"/>
          <w:szCs w:val="28"/>
        </w:rPr>
      </w:pPr>
      <w:r>
        <w:rPr>
          <w:rFonts w:hint="eastAsia"/>
          <w:color w:val="000000" w:themeColor="text1"/>
          <w:sz w:val="28"/>
          <w:szCs w:val="28"/>
        </w:rPr>
        <w:t>广元市利州区清河小学属于区教育局下属二级单位，其中成立学校工会、廉勤委、教导处、总务处、安办、少先队大队等部门。</w:t>
      </w:r>
    </w:p>
    <w:p w:rsidR="008B5BAA" w:rsidRDefault="00E9458D">
      <w:pPr>
        <w:rPr>
          <w:rFonts w:ascii="黑体" w:eastAsia="黑体" w:hAnsi="黑体"/>
        </w:rPr>
      </w:pPr>
      <w:r>
        <w:rPr>
          <w:rFonts w:ascii="黑体" w:eastAsia="黑体" w:hAnsi="黑体" w:hint="eastAsia"/>
        </w:rPr>
        <w:br w:type="page"/>
      </w:r>
    </w:p>
    <w:p w:rsidR="008B5BAA" w:rsidRDefault="00E9458D">
      <w:pPr>
        <w:pStyle w:val="1"/>
        <w:ind w:right="440"/>
        <w:jc w:val="right"/>
        <w:rPr>
          <w:rFonts w:ascii="黑体" w:eastAsia="黑体" w:hAnsi="黑体"/>
          <w:b w:val="0"/>
          <w:bCs w:val="0"/>
        </w:rPr>
      </w:pPr>
      <w:bookmarkStart w:id="23" w:name="_Toc19089864"/>
      <w:bookmarkEnd w:id="20"/>
      <w:bookmarkEnd w:id="21"/>
      <w:r>
        <w:rPr>
          <w:rFonts w:ascii="黑体" w:eastAsia="黑体" w:hAnsi="黑体" w:hint="eastAsia"/>
          <w:b w:val="0"/>
        </w:rPr>
        <w:lastRenderedPageBreak/>
        <w:t>第二部分</w:t>
      </w:r>
      <w:r>
        <w:rPr>
          <w:rFonts w:ascii="黑体" w:eastAsia="黑体" w:hAnsi="黑体" w:hint="eastAsia"/>
        </w:rPr>
        <w:t xml:space="preserve"> </w:t>
      </w:r>
      <w:r>
        <w:rPr>
          <w:rStyle w:val="10"/>
          <w:rFonts w:ascii="黑体" w:eastAsia="黑体" w:hAnsi="黑体" w:hint="eastAsia"/>
        </w:rPr>
        <w:t>2020年度部门决算情况说明</w:t>
      </w:r>
      <w:bookmarkEnd w:id="22"/>
      <w:bookmarkEnd w:id="23"/>
    </w:p>
    <w:p w:rsidR="008B5BAA" w:rsidRDefault="00E9458D">
      <w:pPr>
        <w:pStyle w:val="ad"/>
        <w:numPr>
          <w:ilvl w:val="0"/>
          <w:numId w:val="2"/>
        </w:numPr>
        <w:spacing w:line="600" w:lineRule="exact"/>
        <w:ind w:firstLineChars="0"/>
        <w:outlineLvl w:val="1"/>
        <w:rPr>
          <w:rStyle w:val="20"/>
          <w:rFonts w:ascii="黑体" w:eastAsia="黑体" w:hAnsi="黑体"/>
          <w:b w:val="0"/>
        </w:rPr>
      </w:pPr>
      <w:bookmarkStart w:id="24" w:name="_Toc15377205"/>
      <w:bookmarkStart w:id="25" w:name="_Toc19089865"/>
      <w:r>
        <w:rPr>
          <w:rFonts w:ascii="黑体" w:eastAsia="黑体" w:hAnsi="黑体" w:hint="eastAsia"/>
          <w:sz w:val="32"/>
          <w:szCs w:val="32"/>
        </w:rPr>
        <w:t>收</w:t>
      </w:r>
      <w:r>
        <w:rPr>
          <w:rStyle w:val="20"/>
          <w:rFonts w:ascii="黑体" w:eastAsia="黑体" w:hAnsi="黑体" w:hint="eastAsia"/>
          <w:b w:val="0"/>
        </w:rPr>
        <w:t>入支出决算总体情况说明</w:t>
      </w:r>
      <w:bookmarkEnd w:id="24"/>
      <w:bookmarkEnd w:id="25"/>
    </w:p>
    <w:p w:rsidR="008B5BAA" w:rsidRDefault="00E9458D">
      <w:pPr>
        <w:spacing w:line="600" w:lineRule="exact"/>
        <w:ind w:firstLineChars="200" w:firstLine="640"/>
        <w:rPr>
          <w:rFonts w:ascii="仿宋" w:eastAsia="仿宋" w:hAnsi="仿宋"/>
          <w:sz w:val="32"/>
          <w:szCs w:val="32"/>
        </w:rPr>
      </w:pPr>
      <w:r>
        <w:rPr>
          <w:rFonts w:ascii="仿宋" w:eastAsia="仿宋" w:hAnsi="仿宋" w:hint="eastAsia"/>
          <w:sz w:val="32"/>
          <w:szCs w:val="32"/>
        </w:rPr>
        <w:t>2020年度利州区清河小学收入总计207.14万元，与2019年相比（206.95万元），收入总计增加0.19万元，增涨0.09%。收入主要变动原因是人员增加。</w:t>
      </w:r>
    </w:p>
    <w:p w:rsidR="008B5BAA" w:rsidRDefault="00E9458D">
      <w:pPr>
        <w:spacing w:line="600" w:lineRule="exact"/>
        <w:ind w:firstLineChars="200" w:firstLine="640"/>
        <w:rPr>
          <w:rFonts w:ascii="仿宋" w:eastAsia="仿宋" w:hAnsi="仿宋"/>
          <w:sz w:val="32"/>
          <w:szCs w:val="32"/>
        </w:rPr>
      </w:pPr>
      <w:r>
        <w:rPr>
          <w:rFonts w:ascii="仿宋" w:eastAsia="仿宋" w:hAnsi="仿宋" w:hint="eastAsia"/>
          <w:sz w:val="32"/>
          <w:szCs w:val="32"/>
        </w:rPr>
        <w:t>2020年度支出合计194.03万元，与2019年相比（204.86万元），支出减少10.83万元，降低5.29%。支出主要变动原因是一是人员减少，二是办公费用减少。</w:t>
      </w:r>
    </w:p>
    <w:p w:rsidR="008B5BAA" w:rsidRDefault="00E9458D">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8B5BAA" w:rsidRDefault="00E9458D">
      <w:pPr>
        <w:spacing w:line="600" w:lineRule="exact"/>
        <w:ind w:firstLineChars="200" w:firstLine="640"/>
        <w:jc w:val="left"/>
        <w:rPr>
          <w:rStyle w:val="20"/>
          <w:rFonts w:ascii="黑体" w:eastAsia="黑体" w:hAnsi="黑体"/>
          <w:b w:val="0"/>
        </w:rPr>
      </w:pPr>
      <w:r>
        <w:rPr>
          <w:rFonts w:ascii="仿宋_GB2312" w:eastAsia="仿宋_GB2312"/>
          <w:noProof/>
          <w:sz w:val="32"/>
          <w:szCs w:val="32"/>
        </w:rPr>
        <w:drawing>
          <wp:anchor distT="0" distB="0" distL="114300" distR="114300" simplePos="0" relativeHeight="251659264" behindDoc="1" locked="0" layoutInCell="1" allowOverlap="1">
            <wp:simplePos x="0" y="0"/>
            <wp:positionH relativeFrom="column">
              <wp:posOffset>63500</wp:posOffset>
            </wp:positionH>
            <wp:positionV relativeFrom="paragraph">
              <wp:posOffset>55245</wp:posOffset>
            </wp:positionV>
            <wp:extent cx="5118100" cy="2514600"/>
            <wp:effectExtent l="0" t="0" r="25400" b="19050"/>
            <wp:wrapTight wrapText="bothSides">
              <wp:wrapPolygon edited="0">
                <wp:start x="0" y="0"/>
                <wp:lineTo x="0" y="21600"/>
                <wp:lineTo x="21627" y="21600"/>
                <wp:lineTo x="21627" y="0"/>
                <wp:lineTo x="0" y="0"/>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bookmarkStart w:id="26" w:name="_Toc15377206"/>
      <w:r>
        <w:rPr>
          <w:rFonts w:ascii="黑体" w:eastAsia="黑体" w:hAnsi="黑体" w:hint="eastAsia"/>
          <w:sz w:val="32"/>
          <w:szCs w:val="32"/>
        </w:rPr>
        <w:t>二、收</w:t>
      </w:r>
      <w:r>
        <w:rPr>
          <w:rStyle w:val="20"/>
          <w:rFonts w:ascii="黑体" w:eastAsia="黑体" w:hAnsi="黑体" w:hint="eastAsia"/>
          <w:b w:val="0"/>
        </w:rPr>
        <w:t>入决算情况说明</w:t>
      </w:r>
      <w:bookmarkEnd w:id="26"/>
    </w:p>
    <w:p w:rsidR="008B5BAA" w:rsidRDefault="00E9458D">
      <w:pPr>
        <w:spacing w:line="600" w:lineRule="exact"/>
        <w:ind w:firstLineChars="200" w:firstLine="640"/>
        <w:outlineLvl w:val="1"/>
        <w:rPr>
          <w:rFonts w:ascii="仿宋" w:eastAsia="仿宋" w:hAnsi="仿宋"/>
          <w:sz w:val="32"/>
          <w:szCs w:val="32"/>
        </w:rPr>
      </w:pPr>
      <w:bookmarkStart w:id="27" w:name="_Toc19089866"/>
      <w:r>
        <w:rPr>
          <w:rFonts w:ascii="仿宋" w:eastAsia="仿宋" w:hAnsi="仿宋"/>
          <w:sz w:val="32"/>
          <w:szCs w:val="32"/>
        </w:rPr>
        <w:t>20</w:t>
      </w:r>
      <w:r>
        <w:rPr>
          <w:rFonts w:ascii="仿宋" w:eastAsia="仿宋" w:hAnsi="仿宋" w:hint="eastAsia"/>
          <w:sz w:val="32"/>
          <w:szCs w:val="32"/>
        </w:rPr>
        <w:t>20年本年收入合计207.14万元，其中：一般公共预算财政拨款收入207.10万元，占99.99%；政府性基金预算财政拨款收入0万元，占0.00</w:t>
      </w:r>
      <w:r>
        <w:rPr>
          <w:rFonts w:ascii="仿宋" w:eastAsia="仿宋" w:hAnsi="仿宋"/>
          <w:sz w:val="32"/>
          <w:szCs w:val="32"/>
        </w:rPr>
        <w:t>%</w:t>
      </w:r>
      <w:r>
        <w:rPr>
          <w:rFonts w:ascii="仿宋" w:eastAsia="仿宋" w:hAnsi="仿宋" w:hint="eastAsia"/>
          <w:sz w:val="32"/>
          <w:szCs w:val="32"/>
        </w:rPr>
        <w:t>；国有资本经营预算财政拨款收入0.00万元，占0.00</w:t>
      </w:r>
      <w:r>
        <w:rPr>
          <w:rFonts w:ascii="仿宋" w:eastAsia="仿宋" w:hAnsi="仿宋"/>
          <w:sz w:val="32"/>
          <w:szCs w:val="32"/>
        </w:rPr>
        <w:t>%</w:t>
      </w:r>
      <w:r>
        <w:rPr>
          <w:rFonts w:ascii="仿宋" w:eastAsia="仿宋" w:hAnsi="仿宋" w:hint="eastAsia"/>
          <w:sz w:val="32"/>
          <w:szCs w:val="32"/>
        </w:rPr>
        <w:t>；事业收入0.00万元，占0.00</w:t>
      </w:r>
      <w:r>
        <w:rPr>
          <w:rFonts w:ascii="仿宋" w:eastAsia="仿宋" w:hAnsi="仿宋"/>
          <w:sz w:val="32"/>
          <w:szCs w:val="32"/>
        </w:rPr>
        <w:t>%</w:t>
      </w:r>
      <w:r>
        <w:rPr>
          <w:rFonts w:ascii="仿宋" w:eastAsia="仿宋" w:hAnsi="仿宋" w:hint="eastAsia"/>
          <w:sz w:val="32"/>
          <w:szCs w:val="32"/>
        </w:rPr>
        <w:t>；经营收入0.00万元，占0.00</w:t>
      </w:r>
      <w:r>
        <w:rPr>
          <w:rFonts w:ascii="仿宋" w:eastAsia="仿宋" w:hAnsi="仿宋"/>
          <w:sz w:val="32"/>
          <w:szCs w:val="32"/>
        </w:rPr>
        <w:t>%</w:t>
      </w:r>
      <w:r>
        <w:rPr>
          <w:rFonts w:ascii="仿宋" w:eastAsia="仿宋" w:hAnsi="仿宋" w:hint="eastAsia"/>
          <w:sz w:val="32"/>
          <w:szCs w:val="32"/>
        </w:rPr>
        <w:t>；附属单位上缴收入0.00万</w:t>
      </w:r>
      <w:r>
        <w:rPr>
          <w:rFonts w:ascii="仿宋" w:eastAsia="仿宋" w:hAnsi="仿宋" w:hint="eastAsia"/>
          <w:sz w:val="32"/>
          <w:szCs w:val="32"/>
        </w:rPr>
        <w:lastRenderedPageBreak/>
        <w:t>元，占0.00</w:t>
      </w:r>
      <w:r>
        <w:rPr>
          <w:rFonts w:ascii="仿宋" w:eastAsia="仿宋" w:hAnsi="仿宋"/>
          <w:sz w:val="32"/>
          <w:szCs w:val="32"/>
        </w:rPr>
        <w:t>%</w:t>
      </w:r>
      <w:r>
        <w:rPr>
          <w:rFonts w:ascii="仿宋" w:eastAsia="仿宋" w:hAnsi="仿宋" w:hint="eastAsia"/>
          <w:sz w:val="32"/>
          <w:szCs w:val="32"/>
        </w:rPr>
        <w:t>；其他收入0.04万元，占0.01%。</w:t>
      </w:r>
      <w:bookmarkEnd w:id="27"/>
    </w:p>
    <w:p w:rsidR="008B5BAA" w:rsidRDefault="00E9458D">
      <w:pPr>
        <w:spacing w:line="600" w:lineRule="exact"/>
        <w:ind w:firstLineChars="200" w:firstLine="640"/>
        <w:rPr>
          <w:rFonts w:ascii="仿宋" w:eastAsia="仿宋" w:hAnsi="仿宋"/>
          <w:sz w:val="32"/>
          <w:szCs w:val="32"/>
        </w:rPr>
      </w:pPr>
      <w:r>
        <w:rPr>
          <w:rFonts w:ascii="仿宋" w:eastAsia="仿宋" w:hAnsi="仿宋" w:hint="eastAsia"/>
          <w:sz w:val="32"/>
          <w:szCs w:val="32"/>
        </w:rPr>
        <w:t>（图2：收入决算结构图）（饼状图）</w:t>
      </w:r>
    </w:p>
    <w:p w:rsidR="008B5BAA" w:rsidRDefault="00E9458D">
      <w:pPr>
        <w:spacing w:line="600" w:lineRule="exact"/>
        <w:ind w:firstLineChars="200" w:firstLine="640"/>
        <w:rPr>
          <w:rFonts w:ascii="仿宋_GB2312" w:eastAsia="仿宋_GB2312"/>
          <w:sz w:val="32"/>
          <w:szCs w:val="32"/>
        </w:rPr>
      </w:pPr>
      <w:r>
        <w:rPr>
          <w:rFonts w:ascii="仿宋_GB2312" w:eastAsia="仿宋_GB2312"/>
          <w:noProof/>
          <w:sz w:val="32"/>
          <w:szCs w:val="32"/>
        </w:rPr>
        <w:drawing>
          <wp:anchor distT="0" distB="0" distL="114300" distR="114300" simplePos="0" relativeHeight="251660288" behindDoc="0" locked="0" layoutInCell="1" allowOverlap="1">
            <wp:simplePos x="0" y="0"/>
            <wp:positionH relativeFrom="column">
              <wp:posOffset>216535</wp:posOffset>
            </wp:positionH>
            <wp:positionV relativeFrom="paragraph">
              <wp:posOffset>153670</wp:posOffset>
            </wp:positionV>
            <wp:extent cx="5274310" cy="3076575"/>
            <wp:effectExtent l="0" t="0" r="21590" b="952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8B5BAA" w:rsidRDefault="00E9458D">
      <w:pPr>
        <w:spacing w:line="600" w:lineRule="exact"/>
        <w:ind w:firstLineChars="200" w:firstLine="640"/>
        <w:outlineLvl w:val="1"/>
        <w:rPr>
          <w:rStyle w:val="20"/>
          <w:rFonts w:ascii="黑体" w:eastAsia="黑体" w:hAnsi="黑体"/>
          <w:b w:val="0"/>
        </w:rPr>
      </w:pPr>
      <w:bookmarkStart w:id="28" w:name="_Toc15377207"/>
      <w:bookmarkStart w:id="29" w:name="_Toc19089867"/>
      <w:r>
        <w:rPr>
          <w:rFonts w:ascii="黑体" w:eastAsia="黑体" w:hAnsi="黑体" w:hint="eastAsia"/>
          <w:sz w:val="32"/>
          <w:szCs w:val="32"/>
        </w:rPr>
        <w:t>三、支</w:t>
      </w:r>
      <w:r>
        <w:rPr>
          <w:rStyle w:val="20"/>
          <w:rFonts w:ascii="黑体" w:eastAsia="黑体" w:hAnsi="黑体" w:hint="eastAsia"/>
          <w:b w:val="0"/>
        </w:rPr>
        <w:t>出决算情况说明</w:t>
      </w:r>
      <w:bookmarkEnd w:id="28"/>
      <w:bookmarkEnd w:id="29"/>
    </w:p>
    <w:p w:rsidR="008B5BAA" w:rsidRDefault="00E9458D">
      <w:pPr>
        <w:spacing w:line="600" w:lineRule="exact"/>
        <w:ind w:firstLine="640"/>
        <w:rPr>
          <w:rFonts w:ascii="仿宋" w:eastAsia="仿宋" w:hAnsi="仿宋"/>
          <w:sz w:val="32"/>
          <w:szCs w:val="32"/>
          <w:shd w:val="pct10" w:color="auto" w:fill="FFFFFF"/>
        </w:rPr>
      </w:pPr>
      <w:r>
        <w:rPr>
          <w:rFonts w:ascii="仿宋" w:eastAsia="仿宋" w:hAnsi="仿宋"/>
          <w:sz w:val="32"/>
          <w:szCs w:val="32"/>
        </w:rPr>
        <w:t>20</w:t>
      </w:r>
      <w:r>
        <w:rPr>
          <w:rFonts w:ascii="仿宋" w:eastAsia="仿宋" w:hAnsi="仿宋" w:hint="eastAsia"/>
          <w:sz w:val="32"/>
          <w:szCs w:val="32"/>
        </w:rPr>
        <w:t>20年本年支出合计194.03万元，其中：基本支出159.35万元，占82.13%；项目支出34.66万元，占17.87%；上缴上级支出0.00万元，占0.00</w:t>
      </w:r>
      <w:r>
        <w:rPr>
          <w:rFonts w:ascii="仿宋" w:eastAsia="仿宋" w:hAnsi="仿宋"/>
          <w:sz w:val="32"/>
          <w:szCs w:val="32"/>
        </w:rPr>
        <w:t>%</w:t>
      </w:r>
      <w:r>
        <w:rPr>
          <w:rFonts w:ascii="仿宋" w:eastAsia="仿宋" w:hAnsi="仿宋" w:hint="eastAsia"/>
          <w:sz w:val="32"/>
          <w:szCs w:val="32"/>
        </w:rPr>
        <w:t>；经营支出0.00万元，占0.00</w:t>
      </w:r>
      <w:r>
        <w:rPr>
          <w:rFonts w:ascii="仿宋" w:eastAsia="仿宋" w:hAnsi="仿宋"/>
          <w:sz w:val="32"/>
          <w:szCs w:val="32"/>
        </w:rPr>
        <w:t>%</w:t>
      </w:r>
      <w:r>
        <w:rPr>
          <w:rFonts w:ascii="仿宋" w:eastAsia="仿宋" w:hAnsi="仿宋" w:hint="eastAsia"/>
          <w:sz w:val="32"/>
          <w:szCs w:val="32"/>
        </w:rPr>
        <w:t>；对附属单位补助支出0.00万元，占0.00</w:t>
      </w:r>
      <w:r>
        <w:rPr>
          <w:rFonts w:ascii="仿宋" w:eastAsia="仿宋" w:hAnsi="仿宋"/>
          <w:sz w:val="32"/>
          <w:szCs w:val="32"/>
        </w:rPr>
        <w:t>%</w:t>
      </w:r>
      <w:r>
        <w:rPr>
          <w:rFonts w:ascii="仿宋" w:eastAsia="仿宋" w:hAnsi="仿宋" w:hint="eastAsia"/>
          <w:sz w:val="32"/>
          <w:szCs w:val="32"/>
        </w:rPr>
        <w:t>。</w:t>
      </w:r>
    </w:p>
    <w:p w:rsidR="008B5BAA" w:rsidRDefault="00E9458D">
      <w:pPr>
        <w:spacing w:line="600" w:lineRule="exact"/>
        <w:ind w:firstLineChars="200" w:firstLine="640"/>
        <w:rPr>
          <w:rFonts w:ascii="仿宋" w:eastAsia="仿宋" w:hAnsi="仿宋"/>
          <w:sz w:val="32"/>
          <w:szCs w:val="32"/>
        </w:rPr>
      </w:pPr>
      <w:r>
        <w:rPr>
          <w:rFonts w:ascii="仿宋" w:eastAsia="仿宋" w:hAnsi="仿宋" w:hint="eastAsia"/>
          <w:sz w:val="32"/>
          <w:szCs w:val="32"/>
        </w:rPr>
        <w:t>（图3：支出决算结构图）（饼状图）</w:t>
      </w:r>
    </w:p>
    <w:p w:rsidR="008B5BAA" w:rsidRDefault="00E9458D">
      <w:pPr>
        <w:spacing w:line="600" w:lineRule="exact"/>
        <w:ind w:firstLineChars="200" w:firstLine="640"/>
        <w:rPr>
          <w:rFonts w:ascii="仿宋_GB2312" w:eastAsia="仿宋_GB2312"/>
          <w:sz w:val="32"/>
          <w:szCs w:val="32"/>
        </w:rPr>
      </w:pPr>
      <w:r>
        <w:rPr>
          <w:rFonts w:ascii="仿宋_GB2312" w:eastAsia="仿宋_GB2312"/>
          <w:noProof/>
          <w:sz w:val="32"/>
          <w:szCs w:val="32"/>
        </w:rPr>
        <w:lastRenderedPageBreak/>
        <w:drawing>
          <wp:anchor distT="0" distB="0" distL="114300" distR="114300" simplePos="0" relativeHeight="251661312" behindDoc="0" locked="0" layoutInCell="1" allowOverlap="1">
            <wp:simplePos x="0" y="0"/>
            <wp:positionH relativeFrom="column">
              <wp:posOffset>25400</wp:posOffset>
            </wp:positionH>
            <wp:positionV relativeFrom="paragraph">
              <wp:posOffset>31750</wp:posOffset>
            </wp:positionV>
            <wp:extent cx="5274310" cy="3076575"/>
            <wp:effectExtent l="0" t="0" r="21590" b="952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8B5BAA" w:rsidRDefault="00E9458D">
      <w:pPr>
        <w:spacing w:line="600" w:lineRule="exact"/>
        <w:ind w:firstLineChars="200" w:firstLine="640"/>
        <w:outlineLvl w:val="1"/>
        <w:rPr>
          <w:rStyle w:val="20"/>
          <w:rFonts w:ascii="黑体" w:eastAsia="黑体" w:hAnsi="黑体"/>
          <w:b w:val="0"/>
        </w:rPr>
      </w:pPr>
      <w:bookmarkStart w:id="30" w:name="_Toc19089868"/>
      <w:bookmarkStart w:id="31" w:name="_Toc15377208"/>
      <w:r>
        <w:rPr>
          <w:rFonts w:ascii="黑体" w:eastAsia="黑体" w:hAnsi="黑体" w:hint="eastAsia"/>
          <w:sz w:val="32"/>
          <w:szCs w:val="32"/>
        </w:rPr>
        <w:t>四、财</w:t>
      </w:r>
      <w:r>
        <w:rPr>
          <w:rStyle w:val="20"/>
          <w:rFonts w:ascii="黑体" w:eastAsia="黑体" w:hAnsi="黑体" w:hint="eastAsia"/>
          <w:b w:val="0"/>
        </w:rPr>
        <w:t>政拨款收入支出决算总体情况说明</w:t>
      </w:r>
      <w:bookmarkEnd w:id="30"/>
      <w:bookmarkEnd w:id="31"/>
    </w:p>
    <w:p w:rsidR="008B5BAA" w:rsidRDefault="00E9458D">
      <w:pPr>
        <w:spacing w:line="600" w:lineRule="exact"/>
        <w:ind w:firstLineChars="200" w:firstLine="640"/>
        <w:rPr>
          <w:rFonts w:ascii="仿宋" w:eastAsia="仿宋" w:hAnsi="仿宋"/>
          <w:sz w:val="32"/>
          <w:szCs w:val="32"/>
        </w:rPr>
      </w:pPr>
      <w:r>
        <w:rPr>
          <w:rFonts w:ascii="仿宋" w:eastAsia="仿宋" w:hAnsi="仿宋" w:hint="eastAsia"/>
          <w:sz w:val="32"/>
          <w:szCs w:val="32"/>
        </w:rPr>
        <w:t>2020年财政拨款收入总计207.10万元。与2019年相比（206.95万元），财政拨款收入总计增加0.15万元，增涨0.07%。</w:t>
      </w:r>
      <w:r>
        <w:rPr>
          <w:rFonts w:ascii="仿宋_GB2312" w:eastAsia="仿宋_GB2312" w:hint="eastAsia"/>
          <w:kern w:val="0"/>
          <w:sz w:val="32"/>
          <w:szCs w:val="32"/>
        </w:rPr>
        <w:t>主要变动原因</w:t>
      </w:r>
      <w:r>
        <w:rPr>
          <w:rFonts w:ascii="仿宋" w:eastAsia="仿宋" w:hAnsi="仿宋" w:hint="eastAsia"/>
          <w:sz w:val="32"/>
          <w:szCs w:val="32"/>
        </w:rPr>
        <w:t>是人员增加。</w:t>
      </w:r>
    </w:p>
    <w:p w:rsidR="008B5BAA" w:rsidRDefault="00E9458D">
      <w:pPr>
        <w:spacing w:line="600" w:lineRule="exact"/>
        <w:ind w:firstLineChars="200" w:firstLine="640"/>
        <w:rPr>
          <w:rFonts w:ascii="仿宋" w:eastAsia="仿宋" w:hAnsi="仿宋"/>
          <w:sz w:val="32"/>
          <w:szCs w:val="32"/>
        </w:rPr>
      </w:pPr>
      <w:r>
        <w:rPr>
          <w:rFonts w:ascii="仿宋" w:eastAsia="仿宋" w:hAnsi="仿宋" w:hint="eastAsia"/>
          <w:sz w:val="32"/>
          <w:szCs w:val="32"/>
        </w:rPr>
        <w:t>2020年财政拨款支出总计194.03万元。与201</w:t>
      </w:r>
      <w:r>
        <w:rPr>
          <w:rFonts w:ascii="仿宋" w:eastAsia="仿宋" w:hAnsi="仿宋"/>
          <w:sz w:val="32"/>
          <w:szCs w:val="32"/>
        </w:rPr>
        <w:t>9</w:t>
      </w:r>
      <w:r>
        <w:rPr>
          <w:rFonts w:ascii="仿宋" w:eastAsia="仿宋" w:hAnsi="仿宋" w:hint="eastAsia"/>
          <w:sz w:val="32"/>
          <w:szCs w:val="32"/>
        </w:rPr>
        <w:t>年相比（204.86万元），财政拨款支出总计减少10.83万元，降低5.29%。</w:t>
      </w:r>
      <w:r>
        <w:rPr>
          <w:rFonts w:ascii="仿宋_GB2312" w:eastAsia="仿宋_GB2312" w:hint="eastAsia"/>
          <w:kern w:val="0"/>
          <w:sz w:val="32"/>
          <w:szCs w:val="32"/>
        </w:rPr>
        <w:t>主要变动原因是</w:t>
      </w:r>
      <w:r>
        <w:rPr>
          <w:rFonts w:ascii="仿宋" w:eastAsia="仿宋" w:hAnsi="仿宋" w:hint="eastAsia"/>
          <w:sz w:val="32"/>
          <w:szCs w:val="32"/>
        </w:rPr>
        <w:t>一是人员减少，二是办公费用减少。（图4：财政拨款收、支决算总计变动情况）（柱状图）</w:t>
      </w:r>
    </w:p>
    <w:p w:rsidR="008B5BAA" w:rsidRDefault="00E9458D">
      <w:pPr>
        <w:spacing w:line="600" w:lineRule="exact"/>
        <w:ind w:firstLine="640"/>
        <w:rPr>
          <w:rFonts w:ascii="仿宋" w:eastAsia="仿宋" w:hAnsi="仿宋"/>
          <w:b/>
          <w:sz w:val="32"/>
          <w:szCs w:val="32"/>
        </w:rPr>
      </w:pPr>
      <w:r>
        <w:rPr>
          <w:rFonts w:ascii="仿宋" w:eastAsia="仿宋" w:hAnsi="仿宋" w:hint="eastAsia"/>
          <w:b/>
          <w:noProof/>
          <w:sz w:val="32"/>
          <w:szCs w:val="32"/>
        </w:rPr>
        <w:lastRenderedPageBreak/>
        <w:drawing>
          <wp:anchor distT="0" distB="0" distL="114300" distR="114300" simplePos="0" relativeHeight="251662336" behindDoc="0" locked="0" layoutInCell="1" allowOverlap="1">
            <wp:simplePos x="0" y="0"/>
            <wp:positionH relativeFrom="column">
              <wp:posOffset>101600</wp:posOffset>
            </wp:positionH>
            <wp:positionV relativeFrom="paragraph">
              <wp:posOffset>146050</wp:posOffset>
            </wp:positionV>
            <wp:extent cx="5274310" cy="3076575"/>
            <wp:effectExtent l="0" t="0" r="21590" b="952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8B5BAA" w:rsidRDefault="00E9458D">
      <w:pPr>
        <w:spacing w:line="600" w:lineRule="exact"/>
        <w:ind w:firstLine="640"/>
        <w:rPr>
          <w:rFonts w:ascii="仿宋" w:eastAsia="仿宋" w:hAnsi="仿宋"/>
          <w:b/>
          <w:sz w:val="32"/>
          <w:szCs w:val="32"/>
        </w:rPr>
      </w:pPr>
      <w:r>
        <w:rPr>
          <w:rFonts w:ascii="仿宋" w:eastAsia="仿宋" w:hAnsi="仿宋" w:hint="eastAsia"/>
          <w:b/>
          <w:sz w:val="32"/>
          <w:szCs w:val="32"/>
        </w:rPr>
        <w:t>（除国有资本经营预算外，数据来源于财决</w:t>
      </w:r>
      <w:r>
        <w:rPr>
          <w:rFonts w:ascii="仿宋" w:eastAsia="仿宋" w:hAnsi="仿宋"/>
          <w:b/>
          <w:sz w:val="32"/>
          <w:szCs w:val="32"/>
        </w:rPr>
        <w:t>Z01-1</w:t>
      </w:r>
      <w:r>
        <w:rPr>
          <w:rFonts w:ascii="仿宋" w:eastAsia="仿宋" w:hAnsi="仿宋" w:hint="eastAsia"/>
          <w:b/>
          <w:sz w:val="32"/>
          <w:szCs w:val="32"/>
        </w:rPr>
        <w:t>表，口径为“总计”数+国有资本经营预算）</w:t>
      </w:r>
    </w:p>
    <w:p w:rsidR="008B5BAA" w:rsidRDefault="00E9458D">
      <w:pPr>
        <w:spacing w:line="600" w:lineRule="exact"/>
        <w:ind w:firstLineChars="200" w:firstLine="640"/>
        <w:outlineLvl w:val="1"/>
        <w:rPr>
          <w:rStyle w:val="20"/>
          <w:rFonts w:ascii="黑体" w:eastAsia="黑体" w:hAnsi="黑体"/>
          <w:b w:val="0"/>
        </w:rPr>
      </w:pPr>
      <w:bookmarkStart w:id="32" w:name="_Toc15377209"/>
      <w:bookmarkStart w:id="33" w:name="_Toc19089869"/>
      <w:r>
        <w:rPr>
          <w:rFonts w:ascii="黑体" w:eastAsia="黑体" w:hAnsi="黑体" w:hint="eastAsia"/>
          <w:sz w:val="32"/>
          <w:szCs w:val="32"/>
        </w:rPr>
        <w:t>五、</w:t>
      </w:r>
      <w:r>
        <w:rPr>
          <w:rFonts w:ascii="黑体" w:eastAsia="黑体" w:hAnsi="黑体" w:hint="eastAsia"/>
          <w:b/>
          <w:sz w:val="32"/>
          <w:szCs w:val="32"/>
        </w:rPr>
        <w:t>一</w:t>
      </w:r>
      <w:r>
        <w:rPr>
          <w:rStyle w:val="20"/>
          <w:rFonts w:ascii="黑体" w:eastAsia="黑体" w:hAnsi="黑体" w:hint="eastAsia"/>
          <w:b w:val="0"/>
        </w:rPr>
        <w:t>般公共预算财政拨款支出决算情况说明</w:t>
      </w:r>
      <w:bookmarkEnd w:id="32"/>
      <w:bookmarkEnd w:id="33"/>
    </w:p>
    <w:p w:rsidR="008B5BAA" w:rsidRDefault="00E9458D">
      <w:pPr>
        <w:spacing w:line="600" w:lineRule="exact"/>
        <w:ind w:firstLineChars="200" w:firstLine="643"/>
        <w:outlineLvl w:val="2"/>
        <w:rPr>
          <w:rFonts w:ascii="仿宋" w:eastAsia="仿宋" w:hAnsi="仿宋"/>
          <w:b/>
          <w:sz w:val="32"/>
          <w:szCs w:val="32"/>
        </w:rPr>
      </w:pPr>
      <w:bookmarkStart w:id="34" w:name="_Toc15377210"/>
      <w:r>
        <w:rPr>
          <w:rFonts w:ascii="仿宋" w:eastAsia="仿宋" w:hAnsi="仿宋" w:hint="eastAsia"/>
          <w:b/>
          <w:sz w:val="32"/>
          <w:szCs w:val="32"/>
        </w:rPr>
        <w:t>（一）一般公共预算财政拨款支出决算总体情况</w:t>
      </w:r>
      <w:bookmarkEnd w:id="34"/>
    </w:p>
    <w:p w:rsidR="008B5BAA" w:rsidRDefault="00E9458D">
      <w:pPr>
        <w:spacing w:line="600" w:lineRule="exact"/>
        <w:ind w:firstLineChars="200" w:firstLine="643"/>
        <w:rPr>
          <w:rFonts w:ascii="仿宋" w:eastAsia="仿宋" w:hAnsi="仿宋"/>
          <w:sz w:val="32"/>
          <w:szCs w:val="32"/>
        </w:rPr>
      </w:pPr>
      <w:r>
        <w:rPr>
          <w:rFonts w:ascii="仿宋" w:eastAsia="仿宋" w:hAnsi="仿宋" w:hint="eastAsia"/>
          <w:b/>
          <w:noProof/>
          <w:sz w:val="32"/>
          <w:szCs w:val="32"/>
        </w:rPr>
        <w:drawing>
          <wp:anchor distT="0" distB="0" distL="114300" distR="114300" simplePos="0" relativeHeight="251663360" behindDoc="0" locked="0" layoutInCell="1" allowOverlap="1">
            <wp:simplePos x="0" y="0"/>
            <wp:positionH relativeFrom="column">
              <wp:posOffset>1993900</wp:posOffset>
            </wp:positionH>
            <wp:positionV relativeFrom="paragraph">
              <wp:posOffset>1949450</wp:posOffset>
            </wp:positionV>
            <wp:extent cx="3257550" cy="1822450"/>
            <wp:effectExtent l="0" t="0" r="19050" b="2540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ascii="仿宋" w:eastAsia="仿宋" w:hAnsi="仿宋"/>
          <w:sz w:val="32"/>
          <w:szCs w:val="32"/>
        </w:rPr>
        <w:t>20</w:t>
      </w:r>
      <w:r>
        <w:rPr>
          <w:rFonts w:ascii="仿宋" w:eastAsia="仿宋" w:hAnsi="仿宋" w:hint="eastAsia"/>
          <w:sz w:val="32"/>
          <w:szCs w:val="32"/>
        </w:rPr>
        <w:t>20年一般公共预算财政拨款支出193.99万元，占本年支出合计（194.03</w:t>
      </w:r>
      <w:r>
        <w:rPr>
          <w:rFonts w:ascii="仿宋" w:eastAsia="仿宋" w:hAnsi="仿宋"/>
          <w:sz w:val="32"/>
          <w:szCs w:val="32"/>
        </w:rPr>
        <w:t>万元</w:t>
      </w:r>
      <w:r>
        <w:rPr>
          <w:rFonts w:ascii="仿宋" w:eastAsia="仿宋" w:hAnsi="仿宋" w:hint="eastAsia"/>
          <w:sz w:val="32"/>
          <w:szCs w:val="32"/>
        </w:rPr>
        <w:t>）的99.98</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19年相比204.86万元），一般公共预算财政拨款支出减少10.87万元，降低5.31</w:t>
      </w:r>
      <w:r>
        <w:rPr>
          <w:rFonts w:ascii="仿宋" w:eastAsia="仿宋" w:hAnsi="仿宋"/>
          <w:sz w:val="32"/>
          <w:szCs w:val="32"/>
        </w:rPr>
        <w:t>%</w:t>
      </w:r>
      <w:r>
        <w:rPr>
          <w:rFonts w:ascii="仿宋" w:eastAsia="仿宋" w:hAnsi="仿宋" w:hint="eastAsia"/>
          <w:sz w:val="32"/>
          <w:szCs w:val="32"/>
        </w:rPr>
        <w:t>。</w:t>
      </w:r>
      <w:r>
        <w:rPr>
          <w:rFonts w:ascii="仿宋_GB2312" w:eastAsia="仿宋_GB2312" w:hint="eastAsia"/>
          <w:kern w:val="0"/>
          <w:sz w:val="32"/>
          <w:szCs w:val="32"/>
        </w:rPr>
        <w:t>主要变动原因</w:t>
      </w:r>
      <w:r>
        <w:rPr>
          <w:rFonts w:ascii="仿宋" w:eastAsia="仿宋" w:hAnsi="仿宋" w:hint="eastAsia"/>
          <w:sz w:val="32"/>
          <w:szCs w:val="32"/>
        </w:rPr>
        <w:t>一是人员减少，二是办公费用减少。</w:t>
      </w:r>
    </w:p>
    <w:p w:rsidR="008B5BAA" w:rsidRDefault="00E9458D">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（图5：一般公共预算财政拨款支出决算变动情况）（柱状图）</w:t>
      </w:r>
    </w:p>
    <w:p w:rsidR="008B5BAA" w:rsidRDefault="00E9458D">
      <w:pPr>
        <w:spacing w:line="600" w:lineRule="exact"/>
        <w:ind w:firstLineChars="200" w:firstLine="643"/>
        <w:outlineLvl w:val="2"/>
        <w:rPr>
          <w:rFonts w:ascii="仿宋" w:eastAsia="仿宋" w:hAnsi="仿宋"/>
          <w:b/>
          <w:sz w:val="32"/>
          <w:szCs w:val="32"/>
        </w:rPr>
      </w:pPr>
      <w:bookmarkStart w:id="35" w:name="_Toc15377211"/>
      <w:r>
        <w:rPr>
          <w:rFonts w:ascii="仿宋" w:eastAsia="仿宋" w:hAnsi="仿宋" w:hint="eastAsia"/>
          <w:b/>
          <w:sz w:val="32"/>
          <w:szCs w:val="32"/>
        </w:rPr>
        <w:t>（二）一般公共预算财政拨款支出决算结构情况</w:t>
      </w:r>
      <w:bookmarkEnd w:id="35"/>
    </w:p>
    <w:p w:rsidR="008B5BAA" w:rsidRDefault="00E9458D">
      <w:pPr>
        <w:spacing w:line="600" w:lineRule="exact"/>
        <w:ind w:firstLine="640"/>
        <w:rPr>
          <w:rFonts w:ascii="仿宋" w:eastAsia="仿宋" w:hAnsi="仿宋"/>
          <w:sz w:val="32"/>
          <w:szCs w:val="32"/>
        </w:rPr>
      </w:pPr>
      <w:r>
        <w:rPr>
          <w:rFonts w:ascii="仿宋" w:eastAsia="仿宋" w:hAnsi="仿宋"/>
          <w:sz w:val="32"/>
          <w:szCs w:val="32"/>
        </w:rPr>
        <w:lastRenderedPageBreak/>
        <w:t>20</w:t>
      </w:r>
      <w:r>
        <w:rPr>
          <w:rFonts w:ascii="仿宋" w:eastAsia="仿宋" w:hAnsi="仿宋" w:hint="eastAsia"/>
          <w:sz w:val="32"/>
          <w:szCs w:val="32"/>
        </w:rPr>
        <w:t>20年一般公共预算财政拨款支出194.03元，主要用于以下方面</w:t>
      </w:r>
      <w:r>
        <w:rPr>
          <w:rFonts w:ascii="仿宋" w:eastAsia="仿宋" w:hAnsi="仿宋"/>
          <w:sz w:val="32"/>
          <w:szCs w:val="32"/>
        </w:rPr>
        <w:t>:</w:t>
      </w:r>
      <w:r>
        <w:rPr>
          <w:rFonts w:ascii="仿宋" w:eastAsia="仿宋" w:hAnsi="仿宋" w:hint="eastAsia"/>
          <w:b/>
          <w:sz w:val="32"/>
          <w:szCs w:val="32"/>
        </w:rPr>
        <w:t>一般公共服务（类）</w:t>
      </w:r>
      <w:r>
        <w:rPr>
          <w:rFonts w:ascii="仿宋" w:eastAsia="仿宋" w:hAnsi="仿宋" w:hint="eastAsia"/>
          <w:sz w:val="32"/>
          <w:szCs w:val="32"/>
        </w:rPr>
        <w:t>支出0.00万元，占0.00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教育支出（类）</w:t>
      </w:r>
      <w:r>
        <w:rPr>
          <w:rFonts w:ascii="仿宋" w:eastAsia="仿宋" w:hAnsi="仿宋" w:hint="eastAsia"/>
          <w:sz w:val="32"/>
          <w:szCs w:val="32"/>
        </w:rPr>
        <w:t>170.96万元，占88.11%；</w:t>
      </w:r>
      <w:r>
        <w:rPr>
          <w:rFonts w:ascii="仿宋" w:eastAsia="仿宋" w:hAnsi="仿宋" w:hint="eastAsia"/>
          <w:b/>
          <w:sz w:val="32"/>
          <w:szCs w:val="32"/>
        </w:rPr>
        <w:t>科学技术（类）</w:t>
      </w:r>
      <w:r>
        <w:rPr>
          <w:rFonts w:ascii="仿宋" w:eastAsia="仿宋" w:hAnsi="仿宋" w:hint="eastAsia"/>
          <w:sz w:val="32"/>
          <w:szCs w:val="32"/>
        </w:rPr>
        <w:t>支出0.00万元，占0.00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社会保障和就业（类）</w:t>
      </w:r>
      <w:r>
        <w:rPr>
          <w:rFonts w:ascii="仿宋" w:eastAsia="仿宋" w:hAnsi="仿宋" w:hint="eastAsia"/>
          <w:sz w:val="32"/>
          <w:szCs w:val="32"/>
        </w:rPr>
        <w:t>支出16.33万元，占8.42</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卫生健康（类）</w:t>
      </w:r>
      <w:r>
        <w:rPr>
          <w:rFonts w:ascii="仿宋" w:eastAsia="仿宋" w:hAnsi="仿宋" w:hint="eastAsia"/>
          <w:sz w:val="32"/>
          <w:szCs w:val="32"/>
        </w:rPr>
        <w:t>支出6.74万元，占3.47%；</w:t>
      </w:r>
      <w:r>
        <w:rPr>
          <w:rFonts w:ascii="仿宋" w:eastAsia="仿宋" w:hAnsi="仿宋" w:hint="eastAsia"/>
          <w:b/>
          <w:sz w:val="32"/>
          <w:szCs w:val="32"/>
        </w:rPr>
        <w:t>农林水（类）</w:t>
      </w:r>
      <w:r>
        <w:rPr>
          <w:rFonts w:ascii="仿宋" w:eastAsia="仿宋" w:hAnsi="仿宋" w:hint="eastAsia"/>
          <w:sz w:val="32"/>
          <w:szCs w:val="32"/>
        </w:rPr>
        <w:t>支出0.00万元，占0.00%；</w:t>
      </w:r>
      <w:r>
        <w:rPr>
          <w:rFonts w:ascii="仿宋" w:eastAsia="仿宋" w:hAnsi="仿宋" w:hint="eastAsia"/>
          <w:b/>
          <w:sz w:val="32"/>
          <w:szCs w:val="32"/>
        </w:rPr>
        <w:t>住房保障(类)</w:t>
      </w:r>
      <w:r>
        <w:rPr>
          <w:rFonts w:ascii="仿宋" w:eastAsia="仿宋" w:hAnsi="仿宋" w:hint="eastAsia"/>
          <w:sz w:val="32"/>
          <w:szCs w:val="32"/>
        </w:rPr>
        <w:t>支出0.00万元，占0.00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其它支出（类）</w:t>
      </w:r>
      <w:r>
        <w:rPr>
          <w:rFonts w:ascii="仿宋" w:eastAsia="仿宋" w:hAnsi="仿宋" w:hint="eastAsia"/>
          <w:sz w:val="32"/>
          <w:szCs w:val="32"/>
        </w:rPr>
        <w:t>支出0.00万元，占0.00%。</w:t>
      </w:r>
    </w:p>
    <w:p w:rsidR="008B5BAA" w:rsidRDefault="00E9458D">
      <w:pPr>
        <w:spacing w:line="600" w:lineRule="exact"/>
        <w:ind w:firstLineChars="200" w:firstLine="640"/>
        <w:rPr>
          <w:rFonts w:ascii="仿宋" w:eastAsia="仿宋" w:hAnsi="仿宋"/>
          <w:sz w:val="32"/>
          <w:szCs w:val="32"/>
        </w:rPr>
      </w:pPr>
      <w:r>
        <w:rPr>
          <w:rFonts w:ascii="仿宋" w:eastAsia="仿宋" w:hAnsi="仿宋"/>
          <w:noProof/>
          <w:sz w:val="32"/>
          <w:szCs w:val="32"/>
        </w:rPr>
        <w:drawing>
          <wp:anchor distT="0" distB="0" distL="114300" distR="114300" simplePos="0" relativeHeight="251664384" behindDoc="0" locked="0" layoutInCell="1" allowOverlap="1">
            <wp:simplePos x="0" y="0"/>
            <wp:positionH relativeFrom="column">
              <wp:posOffset>-158750</wp:posOffset>
            </wp:positionH>
            <wp:positionV relativeFrom="paragraph">
              <wp:posOffset>527050</wp:posOffset>
            </wp:positionV>
            <wp:extent cx="5556250" cy="3308350"/>
            <wp:effectExtent l="0" t="0" r="25400" b="2540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仿宋" w:eastAsia="仿宋" w:hAnsi="仿宋" w:hint="eastAsia"/>
          <w:sz w:val="32"/>
          <w:szCs w:val="32"/>
        </w:rPr>
        <w:t>（图6：一般公共预算财政拨款支出决算结构）（饼状图）</w:t>
      </w:r>
    </w:p>
    <w:p w:rsidR="008B5BAA" w:rsidRDefault="008B5BAA">
      <w:pPr>
        <w:spacing w:line="600" w:lineRule="exact"/>
        <w:rPr>
          <w:rFonts w:ascii="仿宋" w:eastAsia="仿宋" w:hAnsi="仿宋"/>
          <w:sz w:val="32"/>
          <w:szCs w:val="32"/>
        </w:rPr>
      </w:pPr>
    </w:p>
    <w:p w:rsidR="008B5BAA" w:rsidRDefault="00E9458D">
      <w:pPr>
        <w:spacing w:line="600" w:lineRule="exact"/>
        <w:ind w:firstLineChars="200" w:firstLine="643"/>
        <w:outlineLvl w:val="2"/>
        <w:rPr>
          <w:rFonts w:ascii="仿宋" w:eastAsia="仿宋" w:hAnsi="仿宋"/>
          <w:b/>
          <w:sz w:val="32"/>
          <w:szCs w:val="32"/>
        </w:rPr>
      </w:pPr>
      <w:bookmarkStart w:id="36" w:name="_Toc15377212"/>
      <w:r>
        <w:rPr>
          <w:rFonts w:ascii="仿宋" w:eastAsia="仿宋" w:hAnsi="仿宋" w:hint="eastAsia"/>
          <w:b/>
          <w:sz w:val="32"/>
          <w:szCs w:val="32"/>
        </w:rPr>
        <w:t>（三）一般公共预算财政拨款支出决算具体情况</w:t>
      </w:r>
      <w:bookmarkEnd w:id="36"/>
    </w:p>
    <w:p w:rsidR="008B5BAA" w:rsidRDefault="00E9458D">
      <w:pPr>
        <w:spacing w:line="600" w:lineRule="exact"/>
        <w:ind w:firstLineChars="200" w:firstLine="643"/>
        <w:outlineLvl w:val="2"/>
        <w:rPr>
          <w:rFonts w:ascii="仿宋" w:eastAsia="仿宋" w:hAnsi="仿宋"/>
          <w:sz w:val="32"/>
          <w:szCs w:val="32"/>
        </w:rPr>
      </w:pPr>
      <w:bookmarkStart w:id="37" w:name="_Toc15377444"/>
      <w:bookmarkStart w:id="38" w:name="_Toc15378460"/>
      <w:bookmarkStart w:id="39" w:name="_Toc15377213"/>
      <w:r>
        <w:rPr>
          <w:rFonts w:ascii="仿宋" w:eastAsia="仿宋" w:hAnsi="仿宋" w:hint="eastAsia"/>
          <w:b/>
          <w:sz w:val="32"/>
          <w:szCs w:val="32"/>
        </w:rPr>
        <w:t>2020年一般公共预算支出决算数为193.99万元</w:t>
      </w:r>
      <w:r>
        <w:rPr>
          <w:rFonts w:ascii="仿宋" w:eastAsia="仿宋" w:hAnsi="仿宋" w:hint="eastAsia"/>
          <w:sz w:val="32"/>
          <w:szCs w:val="32"/>
        </w:rPr>
        <w:t>，</w:t>
      </w:r>
      <w:r>
        <w:rPr>
          <w:rStyle w:val="ab"/>
          <w:rFonts w:ascii="仿宋" w:eastAsia="仿宋" w:hAnsi="仿宋" w:hint="eastAsia"/>
          <w:bCs/>
          <w:sz w:val="32"/>
          <w:szCs w:val="32"/>
        </w:rPr>
        <w:t>完成预算100.00</w:t>
      </w:r>
      <w:r>
        <w:rPr>
          <w:rStyle w:val="ab"/>
          <w:rFonts w:ascii="仿宋" w:eastAsia="仿宋" w:hAnsi="仿宋"/>
          <w:bCs/>
          <w:sz w:val="32"/>
          <w:szCs w:val="32"/>
        </w:rPr>
        <w:t>%</w:t>
      </w:r>
      <w:r>
        <w:rPr>
          <w:rStyle w:val="ab"/>
          <w:rFonts w:ascii="仿宋" w:eastAsia="仿宋" w:hAnsi="仿宋" w:hint="eastAsia"/>
          <w:bCs/>
          <w:sz w:val="32"/>
          <w:szCs w:val="32"/>
        </w:rPr>
        <w:t>。其中：</w:t>
      </w:r>
      <w:bookmarkEnd w:id="37"/>
      <w:bookmarkEnd w:id="38"/>
      <w:bookmarkEnd w:id="39"/>
    </w:p>
    <w:p w:rsidR="008B5BAA" w:rsidRDefault="00E9458D">
      <w:pPr>
        <w:spacing w:line="600" w:lineRule="exact"/>
        <w:ind w:firstLineChars="200" w:firstLine="643"/>
        <w:rPr>
          <w:rFonts w:ascii="仿宋" w:eastAsia="仿宋" w:hAnsi="仿宋"/>
          <w:b/>
          <w:sz w:val="32"/>
          <w:szCs w:val="32"/>
        </w:rPr>
      </w:pPr>
      <w:r>
        <w:rPr>
          <w:rStyle w:val="ab"/>
          <w:rFonts w:ascii="仿宋" w:eastAsia="仿宋" w:hAnsi="仿宋"/>
          <w:bCs/>
          <w:sz w:val="32"/>
          <w:szCs w:val="32"/>
        </w:rPr>
        <w:t>1.</w:t>
      </w:r>
      <w:r>
        <w:rPr>
          <w:rFonts w:ascii="仿宋" w:eastAsia="仿宋" w:hAnsi="仿宋"/>
          <w:bCs/>
          <w:sz w:val="32"/>
          <w:szCs w:val="32"/>
        </w:rPr>
        <w:t xml:space="preserve"> </w:t>
      </w:r>
      <w:r>
        <w:rPr>
          <w:rStyle w:val="ab"/>
          <w:rFonts w:ascii="仿宋" w:eastAsia="仿宋" w:hAnsi="仿宋"/>
          <w:bCs/>
          <w:sz w:val="32"/>
          <w:szCs w:val="32"/>
        </w:rPr>
        <w:t>教育支出</w:t>
      </w:r>
      <w:r>
        <w:rPr>
          <w:rStyle w:val="ab"/>
          <w:rFonts w:ascii="仿宋" w:eastAsia="仿宋" w:hAnsi="仿宋" w:hint="eastAsia"/>
          <w:bCs/>
          <w:sz w:val="32"/>
          <w:szCs w:val="32"/>
        </w:rPr>
        <w:t>（类）普通教育（款）学前教育（项）</w:t>
      </w:r>
      <w:r>
        <w:rPr>
          <w:rStyle w:val="ab"/>
          <w:rFonts w:ascii="仿宋" w:eastAsia="仿宋" w:hAnsi="仿宋"/>
          <w:bCs/>
          <w:sz w:val="32"/>
          <w:szCs w:val="32"/>
        </w:rPr>
        <w:t>:</w:t>
      </w:r>
      <w:r>
        <w:rPr>
          <w:rStyle w:val="ab"/>
          <w:rFonts w:ascii="仿宋" w:eastAsia="仿宋" w:hAnsi="仿宋"/>
          <w:b w:val="0"/>
          <w:bCs/>
          <w:sz w:val="32"/>
          <w:szCs w:val="32"/>
        </w:rPr>
        <w:t xml:space="preserve"> </w:t>
      </w:r>
      <w:r>
        <w:rPr>
          <w:rStyle w:val="ab"/>
          <w:rFonts w:ascii="仿宋" w:eastAsia="仿宋" w:hAnsi="仿宋" w:hint="eastAsia"/>
          <w:b w:val="0"/>
          <w:bCs/>
          <w:sz w:val="32"/>
          <w:szCs w:val="32"/>
        </w:rPr>
        <w:t>支</w:t>
      </w:r>
      <w:r>
        <w:rPr>
          <w:rStyle w:val="ab"/>
          <w:rFonts w:ascii="仿宋" w:eastAsia="仿宋" w:hAnsi="仿宋" w:hint="eastAsia"/>
          <w:b w:val="0"/>
          <w:bCs/>
          <w:sz w:val="32"/>
          <w:szCs w:val="32"/>
        </w:rPr>
        <w:lastRenderedPageBreak/>
        <w:t>出决算为1.46万元，完成预算100.00</w:t>
      </w:r>
      <w:r>
        <w:rPr>
          <w:rStyle w:val="ab"/>
          <w:rFonts w:ascii="仿宋" w:eastAsia="仿宋" w:hAnsi="仿宋"/>
          <w:b w:val="0"/>
          <w:bCs/>
          <w:sz w:val="32"/>
          <w:szCs w:val="32"/>
        </w:rPr>
        <w:t>%</w:t>
      </w:r>
      <w:r>
        <w:rPr>
          <w:rStyle w:val="ab"/>
          <w:rFonts w:ascii="仿宋" w:eastAsia="仿宋" w:hAnsi="仿宋" w:hint="eastAsia"/>
          <w:b w:val="0"/>
          <w:bCs/>
          <w:sz w:val="32"/>
          <w:szCs w:val="32"/>
        </w:rPr>
        <w:t>。</w:t>
      </w:r>
    </w:p>
    <w:p w:rsidR="008B5BAA" w:rsidRDefault="00E9458D">
      <w:pPr>
        <w:spacing w:line="600" w:lineRule="exact"/>
        <w:ind w:firstLineChars="200" w:firstLine="643"/>
        <w:rPr>
          <w:rFonts w:ascii="仿宋" w:eastAsia="仿宋" w:hAnsi="仿宋"/>
          <w:b/>
          <w:color w:val="000000" w:themeColor="text1"/>
          <w:sz w:val="32"/>
          <w:szCs w:val="32"/>
        </w:rPr>
      </w:pPr>
      <w:r>
        <w:rPr>
          <w:rStyle w:val="ab"/>
          <w:rFonts w:ascii="仿宋" w:eastAsia="仿宋" w:hAnsi="仿宋"/>
          <w:bCs/>
          <w:sz w:val="32"/>
          <w:szCs w:val="32"/>
        </w:rPr>
        <w:t>2.</w:t>
      </w:r>
      <w:r>
        <w:rPr>
          <w:rFonts w:ascii="仿宋" w:eastAsia="仿宋" w:hAnsi="仿宋"/>
          <w:bCs/>
          <w:sz w:val="32"/>
          <w:szCs w:val="32"/>
        </w:rPr>
        <w:t xml:space="preserve"> </w:t>
      </w:r>
      <w:r>
        <w:rPr>
          <w:rStyle w:val="ab"/>
          <w:rFonts w:ascii="仿宋" w:eastAsia="仿宋" w:hAnsi="仿宋"/>
          <w:bCs/>
          <w:sz w:val="32"/>
          <w:szCs w:val="32"/>
        </w:rPr>
        <w:t>教育支出</w:t>
      </w:r>
      <w:r>
        <w:rPr>
          <w:rStyle w:val="ab"/>
          <w:rFonts w:ascii="仿宋" w:eastAsia="仿宋" w:hAnsi="仿宋" w:hint="eastAsia"/>
          <w:bCs/>
          <w:sz w:val="32"/>
          <w:szCs w:val="32"/>
        </w:rPr>
        <w:t>（类）普通教育（款）小学教育（项）</w:t>
      </w:r>
      <w:r>
        <w:rPr>
          <w:rStyle w:val="ab"/>
          <w:rFonts w:ascii="仿宋" w:eastAsia="仿宋" w:hAnsi="仿宋"/>
          <w:bCs/>
          <w:sz w:val="32"/>
          <w:szCs w:val="32"/>
        </w:rPr>
        <w:t>:</w:t>
      </w:r>
      <w:r>
        <w:rPr>
          <w:rStyle w:val="ab"/>
          <w:rFonts w:ascii="仿宋" w:eastAsia="仿宋" w:hAnsi="仿宋"/>
          <w:b w:val="0"/>
          <w:bCs/>
          <w:sz w:val="32"/>
          <w:szCs w:val="32"/>
        </w:rPr>
        <w:t xml:space="preserve"> </w:t>
      </w:r>
      <w:r>
        <w:rPr>
          <w:rStyle w:val="ab"/>
          <w:rFonts w:ascii="仿宋" w:eastAsia="仿宋" w:hAnsi="仿宋" w:hint="eastAsia"/>
          <w:b w:val="0"/>
          <w:bCs/>
          <w:sz w:val="32"/>
          <w:szCs w:val="32"/>
        </w:rPr>
        <w:t>支出决算为159.43万元，完成预算100.00</w:t>
      </w:r>
      <w:r>
        <w:rPr>
          <w:rStyle w:val="ab"/>
          <w:rFonts w:ascii="仿宋" w:eastAsia="仿宋" w:hAnsi="仿宋"/>
          <w:b w:val="0"/>
          <w:bCs/>
          <w:sz w:val="32"/>
          <w:szCs w:val="32"/>
        </w:rPr>
        <w:t>%</w:t>
      </w:r>
      <w:r>
        <w:rPr>
          <w:rStyle w:val="ab"/>
          <w:rFonts w:ascii="仿宋" w:eastAsia="仿宋" w:hAnsi="仿宋" w:hint="eastAsia"/>
          <w:b w:val="0"/>
          <w:bCs/>
          <w:color w:val="000000" w:themeColor="text1"/>
          <w:sz w:val="32"/>
          <w:szCs w:val="32"/>
        </w:rPr>
        <w:t>。</w:t>
      </w:r>
    </w:p>
    <w:p w:rsidR="008B5BAA" w:rsidRDefault="00E9458D">
      <w:pPr>
        <w:spacing w:line="600" w:lineRule="exact"/>
        <w:ind w:firstLineChars="200" w:firstLine="643"/>
        <w:rPr>
          <w:rStyle w:val="ab"/>
          <w:rFonts w:ascii="仿宋" w:eastAsia="仿宋" w:hAnsi="仿宋"/>
          <w:b w:val="0"/>
          <w:bCs/>
          <w:color w:val="000000" w:themeColor="text1"/>
          <w:sz w:val="32"/>
          <w:szCs w:val="32"/>
        </w:rPr>
      </w:pPr>
      <w:r>
        <w:rPr>
          <w:rStyle w:val="ab"/>
          <w:rFonts w:ascii="仿宋" w:eastAsia="仿宋" w:hAnsi="仿宋" w:hint="eastAsia"/>
          <w:bCs/>
          <w:color w:val="000000" w:themeColor="text1"/>
          <w:sz w:val="32"/>
          <w:szCs w:val="32"/>
        </w:rPr>
        <w:t>3</w:t>
      </w:r>
      <w:r>
        <w:rPr>
          <w:rStyle w:val="ab"/>
          <w:rFonts w:ascii="仿宋" w:eastAsia="仿宋" w:hAnsi="仿宋"/>
          <w:bCs/>
          <w:color w:val="000000" w:themeColor="text1"/>
          <w:sz w:val="32"/>
          <w:szCs w:val="32"/>
        </w:rPr>
        <w:t>.</w:t>
      </w:r>
      <w:r>
        <w:rPr>
          <w:rFonts w:ascii="仿宋" w:eastAsia="仿宋" w:hAnsi="仿宋"/>
          <w:bCs/>
          <w:color w:val="000000" w:themeColor="text1"/>
          <w:sz w:val="32"/>
          <w:szCs w:val="32"/>
        </w:rPr>
        <w:t xml:space="preserve"> </w:t>
      </w:r>
      <w:r>
        <w:rPr>
          <w:rFonts w:ascii="仿宋" w:eastAsia="仿宋" w:hAnsi="仿宋"/>
          <w:b/>
          <w:bCs/>
          <w:color w:val="000000" w:themeColor="text1"/>
          <w:sz w:val="32"/>
          <w:szCs w:val="32"/>
        </w:rPr>
        <w:t>社会保障和就业支出</w:t>
      </w:r>
      <w:r>
        <w:rPr>
          <w:rStyle w:val="ab"/>
          <w:rFonts w:ascii="仿宋" w:eastAsia="仿宋" w:hAnsi="仿宋" w:hint="eastAsia"/>
          <w:bCs/>
          <w:color w:val="000000" w:themeColor="text1"/>
          <w:sz w:val="32"/>
          <w:szCs w:val="32"/>
        </w:rPr>
        <w:t>（类）行政事业单位离退休（款）机关事业单位基本养老保险缴费支出（项）</w:t>
      </w:r>
      <w:r>
        <w:rPr>
          <w:rStyle w:val="ab"/>
          <w:rFonts w:ascii="仿宋" w:eastAsia="仿宋" w:hAnsi="仿宋"/>
          <w:bCs/>
          <w:color w:val="000000" w:themeColor="text1"/>
          <w:sz w:val="32"/>
          <w:szCs w:val="32"/>
        </w:rPr>
        <w:t>:</w:t>
      </w:r>
      <w:r>
        <w:rPr>
          <w:rStyle w:val="ab"/>
          <w:rFonts w:ascii="仿宋" w:eastAsia="仿宋" w:hAnsi="仿宋"/>
          <w:b w:val="0"/>
          <w:bCs/>
          <w:color w:val="000000" w:themeColor="text1"/>
          <w:sz w:val="32"/>
          <w:szCs w:val="32"/>
        </w:rPr>
        <w:t xml:space="preserve"> </w:t>
      </w:r>
      <w:r>
        <w:rPr>
          <w:rStyle w:val="ab"/>
          <w:rFonts w:ascii="仿宋" w:eastAsia="仿宋" w:hAnsi="仿宋" w:hint="eastAsia"/>
          <w:b w:val="0"/>
          <w:bCs/>
          <w:color w:val="000000" w:themeColor="text1"/>
          <w:sz w:val="32"/>
          <w:szCs w:val="32"/>
        </w:rPr>
        <w:t>支出决算为</w:t>
      </w:r>
      <w:r>
        <w:rPr>
          <w:rStyle w:val="ab"/>
          <w:rFonts w:ascii="仿宋" w:eastAsia="仿宋" w:hAnsi="仿宋" w:hint="eastAsia"/>
          <w:b w:val="0"/>
          <w:bCs/>
          <w:sz w:val="32"/>
          <w:szCs w:val="32"/>
        </w:rPr>
        <w:t>15.07</w:t>
      </w:r>
      <w:r>
        <w:rPr>
          <w:rStyle w:val="ab"/>
          <w:rFonts w:ascii="仿宋" w:eastAsia="仿宋" w:hAnsi="仿宋" w:hint="eastAsia"/>
          <w:b w:val="0"/>
          <w:bCs/>
          <w:color w:val="000000" w:themeColor="text1"/>
          <w:sz w:val="32"/>
          <w:szCs w:val="32"/>
        </w:rPr>
        <w:t>万元，完成预算</w:t>
      </w:r>
      <w:r>
        <w:rPr>
          <w:rStyle w:val="ab"/>
          <w:rFonts w:ascii="仿宋" w:eastAsia="仿宋" w:hAnsi="仿宋" w:hint="eastAsia"/>
          <w:b w:val="0"/>
          <w:bCs/>
          <w:sz w:val="32"/>
          <w:szCs w:val="32"/>
        </w:rPr>
        <w:t>100</w:t>
      </w:r>
      <w:r>
        <w:rPr>
          <w:rStyle w:val="ab"/>
          <w:rFonts w:ascii="仿宋" w:eastAsia="仿宋" w:hAnsi="仿宋"/>
          <w:b w:val="0"/>
          <w:bCs/>
          <w:sz w:val="32"/>
          <w:szCs w:val="32"/>
        </w:rPr>
        <w:t>%</w:t>
      </w:r>
      <w:r>
        <w:rPr>
          <w:rStyle w:val="ab"/>
          <w:rFonts w:ascii="仿宋" w:eastAsia="仿宋" w:hAnsi="仿宋" w:hint="eastAsia"/>
          <w:b w:val="0"/>
          <w:bCs/>
          <w:color w:val="000000" w:themeColor="text1"/>
          <w:sz w:val="32"/>
          <w:szCs w:val="32"/>
        </w:rPr>
        <w:t>。</w:t>
      </w:r>
    </w:p>
    <w:p w:rsidR="008B5BAA" w:rsidRDefault="00E9458D">
      <w:pPr>
        <w:spacing w:line="600" w:lineRule="exact"/>
        <w:ind w:firstLineChars="200" w:firstLine="643"/>
        <w:rPr>
          <w:rStyle w:val="ab"/>
          <w:rFonts w:ascii="仿宋" w:eastAsia="仿宋" w:hAnsi="仿宋"/>
          <w:b w:val="0"/>
          <w:bCs/>
          <w:color w:val="000000" w:themeColor="text1"/>
          <w:sz w:val="32"/>
          <w:szCs w:val="32"/>
        </w:rPr>
      </w:pPr>
      <w:r>
        <w:rPr>
          <w:rStyle w:val="ab"/>
          <w:rFonts w:ascii="仿宋" w:eastAsia="仿宋" w:hAnsi="仿宋" w:hint="eastAsia"/>
          <w:bCs/>
          <w:color w:val="000000" w:themeColor="text1"/>
          <w:sz w:val="32"/>
          <w:szCs w:val="32"/>
        </w:rPr>
        <w:t>4</w:t>
      </w:r>
      <w:r>
        <w:rPr>
          <w:rStyle w:val="ab"/>
          <w:rFonts w:ascii="仿宋" w:eastAsia="仿宋" w:hAnsi="仿宋"/>
          <w:bCs/>
          <w:color w:val="000000" w:themeColor="text1"/>
          <w:sz w:val="32"/>
          <w:szCs w:val="32"/>
        </w:rPr>
        <w:t>.</w:t>
      </w:r>
      <w:r>
        <w:rPr>
          <w:rFonts w:ascii="仿宋" w:eastAsia="仿宋" w:hAnsi="仿宋"/>
          <w:bCs/>
          <w:color w:val="000000" w:themeColor="text1"/>
          <w:sz w:val="32"/>
          <w:szCs w:val="32"/>
        </w:rPr>
        <w:t xml:space="preserve"> </w:t>
      </w:r>
      <w:r>
        <w:rPr>
          <w:rFonts w:ascii="仿宋" w:eastAsia="仿宋" w:hAnsi="仿宋"/>
          <w:b/>
          <w:bCs/>
          <w:color w:val="000000" w:themeColor="text1"/>
          <w:sz w:val="32"/>
          <w:szCs w:val="32"/>
        </w:rPr>
        <w:t>社会保障和就业支出</w:t>
      </w:r>
      <w:r>
        <w:rPr>
          <w:rStyle w:val="ab"/>
          <w:rFonts w:ascii="仿宋" w:eastAsia="仿宋" w:hAnsi="仿宋" w:hint="eastAsia"/>
          <w:bCs/>
          <w:color w:val="000000" w:themeColor="text1"/>
          <w:sz w:val="32"/>
          <w:szCs w:val="32"/>
        </w:rPr>
        <w:t>（类）其他社会保障和就业支出（款）其他社会保障和就业支出（项）</w:t>
      </w:r>
      <w:r>
        <w:rPr>
          <w:rStyle w:val="ab"/>
          <w:rFonts w:ascii="仿宋" w:eastAsia="仿宋" w:hAnsi="仿宋"/>
          <w:bCs/>
          <w:color w:val="000000" w:themeColor="text1"/>
          <w:sz w:val="32"/>
          <w:szCs w:val="32"/>
        </w:rPr>
        <w:t>:</w:t>
      </w:r>
      <w:r>
        <w:rPr>
          <w:rStyle w:val="ab"/>
          <w:rFonts w:ascii="仿宋" w:eastAsia="仿宋" w:hAnsi="仿宋"/>
          <w:b w:val="0"/>
          <w:bCs/>
          <w:color w:val="000000" w:themeColor="text1"/>
          <w:sz w:val="32"/>
          <w:szCs w:val="32"/>
        </w:rPr>
        <w:t xml:space="preserve"> </w:t>
      </w:r>
      <w:r>
        <w:rPr>
          <w:rStyle w:val="ab"/>
          <w:rFonts w:ascii="仿宋" w:eastAsia="仿宋" w:hAnsi="仿宋" w:hint="eastAsia"/>
          <w:b w:val="0"/>
          <w:bCs/>
          <w:color w:val="000000" w:themeColor="text1"/>
          <w:sz w:val="32"/>
          <w:szCs w:val="32"/>
        </w:rPr>
        <w:t>支出决算为</w:t>
      </w:r>
      <w:r>
        <w:rPr>
          <w:rStyle w:val="ab"/>
          <w:rFonts w:ascii="仿宋" w:eastAsia="仿宋" w:hAnsi="仿宋" w:hint="eastAsia"/>
          <w:b w:val="0"/>
          <w:bCs/>
          <w:sz w:val="32"/>
          <w:szCs w:val="32"/>
        </w:rPr>
        <w:t>1.26</w:t>
      </w:r>
      <w:r>
        <w:rPr>
          <w:rStyle w:val="ab"/>
          <w:rFonts w:ascii="仿宋" w:eastAsia="仿宋" w:hAnsi="仿宋" w:hint="eastAsia"/>
          <w:b w:val="0"/>
          <w:bCs/>
          <w:color w:val="000000" w:themeColor="text1"/>
          <w:sz w:val="32"/>
          <w:szCs w:val="32"/>
        </w:rPr>
        <w:t>万元，完成预算</w:t>
      </w:r>
      <w:r>
        <w:rPr>
          <w:rStyle w:val="ab"/>
          <w:rFonts w:ascii="仿宋" w:eastAsia="仿宋" w:hAnsi="仿宋" w:hint="eastAsia"/>
          <w:b w:val="0"/>
          <w:bCs/>
          <w:sz w:val="32"/>
          <w:szCs w:val="32"/>
        </w:rPr>
        <w:t>100</w:t>
      </w:r>
      <w:r>
        <w:rPr>
          <w:rStyle w:val="ab"/>
          <w:rFonts w:ascii="仿宋" w:eastAsia="仿宋" w:hAnsi="仿宋"/>
          <w:b w:val="0"/>
          <w:bCs/>
          <w:color w:val="000000" w:themeColor="text1"/>
          <w:sz w:val="32"/>
          <w:szCs w:val="32"/>
        </w:rPr>
        <w:t>%</w:t>
      </w:r>
      <w:r>
        <w:rPr>
          <w:rStyle w:val="ab"/>
          <w:rFonts w:ascii="仿宋" w:eastAsia="仿宋" w:hAnsi="仿宋" w:hint="eastAsia"/>
          <w:b w:val="0"/>
          <w:bCs/>
          <w:color w:val="000000" w:themeColor="text1"/>
          <w:sz w:val="32"/>
          <w:szCs w:val="32"/>
        </w:rPr>
        <w:t>。</w:t>
      </w:r>
    </w:p>
    <w:p w:rsidR="008B5BAA" w:rsidRDefault="00E9458D">
      <w:pPr>
        <w:spacing w:line="600" w:lineRule="exact"/>
        <w:ind w:firstLineChars="200" w:firstLine="643"/>
        <w:rPr>
          <w:rStyle w:val="ab"/>
          <w:rFonts w:ascii="仿宋" w:eastAsia="仿宋" w:hAnsi="仿宋"/>
          <w:b w:val="0"/>
          <w:bCs/>
          <w:color w:val="000000" w:themeColor="text1"/>
          <w:sz w:val="32"/>
          <w:szCs w:val="32"/>
        </w:rPr>
      </w:pPr>
      <w:r>
        <w:rPr>
          <w:rStyle w:val="ab"/>
          <w:rFonts w:ascii="仿宋" w:eastAsia="仿宋" w:hAnsi="仿宋" w:hint="eastAsia"/>
          <w:bCs/>
          <w:color w:val="000000" w:themeColor="text1"/>
          <w:sz w:val="32"/>
          <w:szCs w:val="32"/>
        </w:rPr>
        <w:t>5</w:t>
      </w:r>
      <w:r>
        <w:rPr>
          <w:rStyle w:val="ab"/>
          <w:rFonts w:ascii="仿宋" w:eastAsia="仿宋" w:hAnsi="仿宋"/>
          <w:bCs/>
          <w:color w:val="000000" w:themeColor="text1"/>
          <w:sz w:val="32"/>
          <w:szCs w:val="32"/>
        </w:rPr>
        <w:t>.</w:t>
      </w:r>
      <w:r>
        <w:rPr>
          <w:rFonts w:ascii="仿宋" w:eastAsia="仿宋" w:hAnsi="仿宋"/>
          <w:bCs/>
          <w:color w:val="000000" w:themeColor="text1"/>
          <w:sz w:val="32"/>
          <w:szCs w:val="32"/>
        </w:rPr>
        <w:t xml:space="preserve"> </w:t>
      </w:r>
      <w:r>
        <w:rPr>
          <w:rFonts w:ascii="仿宋" w:eastAsia="仿宋" w:hAnsi="仿宋" w:hint="eastAsia"/>
          <w:b/>
          <w:bCs/>
          <w:color w:val="000000" w:themeColor="text1"/>
          <w:sz w:val="32"/>
          <w:szCs w:val="32"/>
        </w:rPr>
        <w:t>卫生健康支出</w:t>
      </w:r>
      <w:r>
        <w:rPr>
          <w:rStyle w:val="ab"/>
          <w:rFonts w:ascii="仿宋" w:eastAsia="仿宋" w:hAnsi="仿宋" w:hint="eastAsia"/>
          <w:bCs/>
          <w:color w:val="000000" w:themeColor="text1"/>
          <w:sz w:val="32"/>
          <w:szCs w:val="32"/>
        </w:rPr>
        <w:t>（类）行政事业单位医疗（款）行政单位医疗（项）</w:t>
      </w:r>
      <w:r>
        <w:rPr>
          <w:rStyle w:val="ab"/>
          <w:rFonts w:ascii="仿宋" w:eastAsia="仿宋" w:hAnsi="仿宋"/>
          <w:bCs/>
          <w:color w:val="000000" w:themeColor="text1"/>
          <w:sz w:val="32"/>
          <w:szCs w:val="32"/>
        </w:rPr>
        <w:t>:</w:t>
      </w:r>
      <w:r>
        <w:rPr>
          <w:rStyle w:val="ab"/>
          <w:rFonts w:ascii="仿宋" w:eastAsia="仿宋" w:hAnsi="仿宋"/>
          <w:b w:val="0"/>
          <w:bCs/>
          <w:color w:val="000000" w:themeColor="text1"/>
          <w:sz w:val="32"/>
          <w:szCs w:val="32"/>
        </w:rPr>
        <w:t xml:space="preserve"> </w:t>
      </w:r>
      <w:r>
        <w:rPr>
          <w:rStyle w:val="ab"/>
          <w:rFonts w:ascii="仿宋" w:eastAsia="仿宋" w:hAnsi="仿宋" w:hint="eastAsia"/>
          <w:b w:val="0"/>
          <w:bCs/>
          <w:color w:val="000000" w:themeColor="text1"/>
          <w:sz w:val="32"/>
          <w:szCs w:val="32"/>
        </w:rPr>
        <w:t>支出决算为</w:t>
      </w:r>
      <w:r>
        <w:rPr>
          <w:rStyle w:val="ab"/>
          <w:rFonts w:ascii="仿宋" w:eastAsia="仿宋" w:hAnsi="仿宋" w:hint="eastAsia"/>
          <w:b w:val="0"/>
          <w:bCs/>
          <w:sz w:val="32"/>
          <w:szCs w:val="32"/>
        </w:rPr>
        <w:t>6.74</w:t>
      </w:r>
      <w:r>
        <w:rPr>
          <w:rStyle w:val="ab"/>
          <w:rFonts w:ascii="仿宋" w:eastAsia="仿宋" w:hAnsi="仿宋" w:hint="eastAsia"/>
          <w:b w:val="0"/>
          <w:bCs/>
          <w:color w:val="000000" w:themeColor="text1"/>
          <w:sz w:val="32"/>
          <w:szCs w:val="32"/>
        </w:rPr>
        <w:t>万元，完成预算</w:t>
      </w:r>
      <w:r>
        <w:rPr>
          <w:rStyle w:val="ab"/>
          <w:rFonts w:ascii="仿宋" w:eastAsia="仿宋" w:hAnsi="仿宋" w:hint="eastAsia"/>
          <w:b w:val="0"/>
          <w:bCs/>
          <w:sz w:val="32"/>
          <w:szCs w:val="32"/>
        </w:rPr>
        <w:t>100</w:t>
      </w:r>
      <w:r>
        <w:rPr>
          <w:rStyle w:val="ab"/>
          <w:rFonts w:ascii="仿宋" w:eastAsia="仿宋" w:hAnsi="仿宋"/>
          <w:b w:val="0"/>
          <w:bCs/>
          <w:sz w:val="32"/>
          <w:szCs w:val="32"/>
        </w:rPr>
        <w:t>%</w:t>
      </w:r>
      <w:r>
        <w:rPr>
          <w:rStyle w:val="ab"/>
          <w:rFonts w:ascii="仿宋" w:eastAsia="仿宋" w:hAnsi="仿宋" w:hint="eastAsia"/>
          <w:b w:val="0"/>
          <w:bCs/>
          <w:color w:val="000000" w:themeColor="text1"/>
          <w:sz w:val="32"/>
          <w:szCs w:val="32"/>
        </w:rPr>
        <w:t>。</w:t>
      </w:r>
    </w:p>
    <w:p w:rsidR="008B5BAA" w:rsidRDefault="00E9458D">
      <w:pPr>
        <w:spacing w:line="600" w:lineRule="exact"/>
        <w:ind w:firstLine="640"/>
        <w:rPr>
          <w:rFonts w:ascii="仿宋" w:eastAsia="仿宋" w:hAnsi="仿宋"/>
          <w:b/>
          <w:sz w:val="32"/>
          <w:szCs w:val="32"/>
        </w:rPr>
      </w:pPr>
      <w:r>
        <w:rPr>
          <w:rFonts w:ascii="仿宋" w:eastAsia="仿宋" w:hAnsi="仿宋" w:hint="eastAsia"/>
          <w:b/>
          <w:sz w:val="32"/>
          <w:szCs w:val="32"/>
        </w:rPr>
        <w:t>（数据来源财决</w:t>
      </w:r>
      <w:r>
        <w:rPr>
          <w:rFonts w:ascii="仿宋" w:eastAsia="仿宋" w:hAnsi="仿宋"/>
          <w:b/>
          <w:sz w:val="32"/>
          <w:szCs w:val="32"/>
        </w:rPr>
        <w:t>08</w:t>
      </w:r>
      <w:r>
        <w:rPr>
          <w:rFonts w:ascii="仿宋" w:eastAsia="仿宋" w:hAnsi="仿宋" w:hint="eastAsia"/>
          <w:b/>
          <w:sz w:val="32"/>
          <w:szCs w:val="32"/>
        </w:rPr>
        <w:t>表，罗列全部功能分类科目至项级。上述“预算”口径为调整预算数。增减变动原因为决算数</w:t>
      </w:r>
      <w:r>
        <w:rPr>
          <w:rFonts w:ascii="仿宋" w:eastAsia="仿宋" w:hAnsi="仿宋"/>
          <w:b/>
          <w:sz w:val="32"/>
          <w:szCs w:val="32"/>
        </w:rPr>
        <w:t>&lt;</w:t>
      </w:r>
      <w:r>
        <w:rPr>
          <w:rFonts w:ascii="仿宋" w:eastAsia="仿宋" w:hAnsi="仿宋" w:hint="eastAsia"/>
          <w:b/>
          <w:sz w:val="32"/>
          <w:szCs w:val="32"/>
        </w:rPr>
        <w:t>项级</w:t>
      </w:r>
      <w:r>
        <w:rPr>
          <w:rFonts w:ascii="仿宋" w:eastAsia="仿宋" w:hAnsi="仿宋"/>
          <w:b/>
          <w:sz w:val="32"/>
          <w:szCs w:val="32"/>
        </w:rPr>
        <w:t>&gt;</w:t>
      </w:r>
      <w:r>
        <w:rPr>
          <w:rFonts w:ascii="仿宋" w:eastAsia="仿宋" w:hAnsi="仿宋" w:hint="eastAsia"/>
          <w:b/>
          <w:sz w:val="32"/>
          <w:szCs w:val="32"/>
        </w:rPr>
        <w:t>和调整预算数</w:t>
      </w:r>
      <w:r>
        <w:rPr>
          <w:rFonts w:ascii="仿宋" w:eastAsia="仿宋" w:hAnsi="仿宋"/>
          <w:b/>
          <w:sz w:val="32"/>
          <w:szCs w:val="32"/>
        </w:rPr>
        <w:t>&lt;</w:t>
      </w:r>
      <w:r>
        <w:rPr>
          <w:rFonts w:ascii="仿宋" w:eastAsia="仿宋" w:hAnsi="仿宋" w:hint="eastAsia"/>
          <w:b/>
          <w:sz w:val="32"/>
          <w:szCs w:val="32"/>
        </w:rPr>
        <w:t>项级</w:t>
      </w:r>
      <w:r>
        <w:rPr>
          <w:rFonts w:ascii="仿宋" w:eastAsia="仿宋" w:hAnsi="仿宋"/>
          <w:b/>
          <w:sz w:val="32"/>
          <w:szCs w:val="32"/>
        </w:rPr>
        <w:t>&gt;</w:t>
      </w:r>
      <w:r>
        <w:rPr>
          <w:rFonts w:ascii="仿宋" w:eastAsia="仿宋" w:hAnsi="仿宋" w:hint="eastAsia"/>
          <w:b/>
          <w:sz w:val="32"/>
          <w:szCs w:val="32"/>
        </w:rPr>
        <w:t>比较，与预算数持平可以不写原因。）</w:t>
      </w:r>
    </w:p>
    <w:p w:rsidR="008B5BAA" w:rsidRDefault="00E9458D">
      <w:pPr>
        <w:spacing w:line="600" w:lineRule="exact"/>
        <w:ind w:firstLine="640"/>
        <w:rPr>
          <w:rFonts w:ascii="仿宋" w:eastAsia="仿宋" w:hAnsi="仿宋"/>
          <w:sz w:val="32"/>
          <w:szCs w:val="32"/>
        </w:rPr>
      </w:pPr>
      <w:r>
        <w:rPr>
          <w:rFonts w:ascii="仿宋" w:eastAsia="仿宋" w:hAnsi="仿宋" w:hint="eastAsia"/>
          <w:sz w:val="32"/>
          <w:szCs w:val="32"/>
        </w:rPr>
        <w:t>（图7：一般公共预算财政拨款支出完成比例情况图）</w:t>
      </w:r>
    </w:p>
    <w:p w:rsidR="008B5BAA" w:rsidRDefault="00E9458D">
      <w:pPr>
        <w:spacing w:line="600" w:lineRule="exact"/>
        <w:ind w:firstLine="640"/>
        <w:rPr>
          <w:rStyle w:val="20"/>
        </w:rPr>
      </w:pPr>
      <w:r>
        <w:rPr>
          <w:rFonts w:ascii="仿宋" w:eastAsia="仿宋" w:hAnsi="仿宋"/>
          <w:noProof/>
          <w:sz w:val="32"/>
          <w:szCs w:val="32"/>
        </w:rPr>
        <w:lastRenderedPageBreak/>
        <w:drawing>
          <wp:anchor distT="0" distB="0" distL="114300" distR="114300" simplePos="0" relativeHeight="251666432" behindDoc="0" locked="0" layoutInCell="1" allowOverlap="1">
            <wp:simplePos x="0" y="0"/>
            <wp:positionH relativeFrom="column">
              <wp:posOffset>-368300</wp:posOffset>
            </wp:positionH>
            <wp:positionV relativeFrom="paragraph">
              <wp:posOffset>127000</wp:posOffset>
            </wp:positionV>
            <wp:extent cx="6191250" cy="3689350"/>
            <wp:effectExtent l="0" t="0" r="19050" b="2540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bookmarkStart w:id="40"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0"/>
          <w:rFonts w:ascii="黑体" w:eastAsia="黑体" w:hAnsi="黑体" w:hint="eastAsia"/>
          <w:b w:val="0"/>
        </w:rPr>
        <w:t>般公共预算财政拨款基本支出决算情况说明</w:t>
      </w:r>
      <w:bookmarkEnd w:id="40"/>
      <w:r>
        <w:rPr>
          <w:rStyle w:val="20"/>
          <w:rFonts w:ascii="黑体" w:eastAsia="黑体" w:hAnsi="黑体"/>
          <w:b w:val="0"/>
        </w:rPr>
        <w:tab/>
      </w:r>
    </w:p>
    <w:p w:rsidR="008B5BAA" w:rsidRDefault="00E9458D">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20年一般公共预算财政拨款基本支出193.99万元，其中：</w:t>
      </w:r>
    </w:p>
    <w:p w:rsidR="008B5BAA" w:rsidRDefault="00E9458D">
      <w:pPr>
        <w:spacing w:line="600" w:lineRule="exact"/>
        <w:ind w:firstLine="645"/>
        <w:rPr>
          <w:rFonts w:ascii="仿宋" w:eastAsia="仿宋" w:hAnsi="仿宋"/>
          <w:sz w:val="32"/>
          <w:szCs w:val="32"/>
        </w:rPr>
      </w:pPr>
      <w:r>
        <w:rPr>
          <w:rFonts w:ascii="仿宋" w:eastAsia="仿宋" w:hAnsi="仿宋" w:hint="eastAsia"/>
          <w:sz w:val="32"/>
          <w:szCs w:val="32"/>
        </w:rPr>
        <w:t>人员经费127.97万元，主要包括：基本工资28.53万元、津贴补贴11.04万元、奖金0.00万元、伙食补助费0.00万元、绩效工资27.65万元、机关事业单位基本养老保险缴费15.07万元、职业年金缴费0.00万元、职工基本医疗保险缴费6.74万元、其他社会保障缴费1.26万元、住房公积金8.38万元、其他工资福利支出19.50万元、离休费0.00万元、退休费0.00万元、抚恤金0.00万元、生活补助9.80万元、助学金0.00万元、奖励金0.00万元等。</w:t>
      </w:r>
      <w:r>
        <w:rPr>
          <w:rFonts w:ascii="仿宋" w:eastAsia="仿宋" w:hAnsi="仿宋"/>
          <w:sz w:val="32"/>
          <w:szCs w:val="32"/>
        </w:rPr>
        <w:br/>
      </w:r>
      <w:r>
        <w:rPr>
          <w:rFonts w:ascii="仿宋" w:eastAsia="仿宋" w:hAnsi="仿宋" w:hint="eastAsia"/>
          <w:sz w:val="32"/>
          <w:szCs w:val="32"/>
        </w:rPr>
        <w:t xml:space="preserve">　　公用经费31.35万元，主要包括：办公费8.50万元、印刷费0.31万元、咨询费0.00万元、手续费0.00万元、</w:t>
      </w:r>
      <w:r>
        <w:rPr>
          <w:rFonts w:ascii="仿宋" w:eastAsia="仿宋" w:hAnsi="仿宋" w:hint="eastAsia"/>
          <w:sz w:val="32"/>
          <w:szCs w:val="32"/>
        </w:rPr>
        <w:lastRenderedPageBreak/>
        <w:t>水费0.10万元、电费0.944万元、邮电费0.00万元、物业管理费0.00万元、差旅费3.14万元、因公出国（境）费用0.00万元、维修（护）费0.73万元、租赁费1.44万元、会议费0.00万元、培训费0.80万元、公务接待费0.00万元、劳务费16.83万元、专用材料费0.00万元、委托业务费0.00万元、工会经费0.00万元、福利费0.00万元、公务用车运行维护费0.00万元、其他交通费0.00万元、税金及附加费用0.00万元、其他商品和服务支出0.00万元,办公设备购置2.71万元等。</w:t>
      </w:r>
    </w:p>
    <w:p w:rsidR="008B5BAA" w:rsidRDefault="00E9458D">
      <w:pPr>
        <w:spacing w:line="600" w:lineRule="exact"/>
        <w:ind w:firstLine="640"/>
        <w:rPr>
          <w:rFonts w:ascii="仿宋" w:eastAsia="仿宋" w:hAnsi="仿宋"/>
          <w:b/>
          <w:sz w:val="32"/>
          <w:szCs w:val="32"/>
        </w:rPr>
      </w:pPr>
      <w:r>
        <w:rPr>
          <w:rFonts w:ascii="仿宋" w:eastAsia="仿宋" w:hAnsi="仿宋" w:hint="eastAsia"/>
          <w:b/>
          <w:sz w:val="32"/>
          <w:szCs w:val="32"/>
        </w:rPr>
        <w:t>（数据来源财决</w:t>
      </w:r>
      <w:r>
        <w:rPr>
          <w:rFonts w:ascii="仿宋" w:eastAsia="仿宋" w:hAnsi="仿宋"/>
          <w:b/>
          <w:sz w:val="32"/>
          <w:szCs w:val="32"/>
        </w:rPr>
        <w:t>0</w:t>
      </w:r>
      <w:r>
        <w:rPr>
          <w:rFonts w:ascii="仿宋" w:eastAsia="仿宋" w:hAnsi="仿宋" w:hint="eastAsia"/>
          <w:b/>
          <w:sz w:val="32"/>
          <w:szCs w:val="32"/>
        </w:rPr>
        <w:t>7表，根据本部门实际支出情况罗列全部经济分类科目。）</w:t>
      </w:r>
    </w:p>
    <w:p w:rsidR="008B5BAA" w:rsidRDefault="00E9458D">
      <w:pPr>
        <w:spacing w:line="600" w:lineRule="exact"/>
        <w:ind w:firstLine="640"/>
        <w:outlineLvl w:val="1"/>
        <w:rPr>
          <w:rStyle w:val="20"/>
          <w:rFonts w:ascii="黑体" w:eastAsia="黑体" w:hAnsi="黑体"/>
          <w:b w:val="0"/>
        </w:rPr>
      </w:pPr>
      <w:bookmarkStart w:id="41" w:name="_Toc15377215"/>
      <w:bookmarkStart w:id="42" w:name="_Toc19089870"/>
      <w:r>
        <w:rPr>
          <w:rFonts w:ascii="黑体" w:eastAsia="黑体" w:hint="eastAsia"/>
          <w:sz w:val="32"/>
          <w:szCs w:val="32"/>
        </w:rPr>
        <w:t>七、</w:t>
      </w:r>
      <w:r>
        <w:rPr>
          <w:rStyle w:val="20"/>
          <w:rFonts w:ascii="黑体" w:eastAsia="黑体" w:hAnsi="黑体" w:hint="eastAsia"/>
        </w:rPr>
        <w:t>“</w:t>
      </w:r>
      <w:r>
        <w:rPr>
          <w:rStyle w:val="20"/>
          <w:rFonts w:ascii="黑体" w:eastAsia="黑体" w:hAnsi="黑体" w:hint="eastAsia"/>
          <w:b w:val="0"/>
        </w:rPr>
        <w:t>三公”经费财政拨款支出决算情况说明</w:t>
      </w:r>
      <w:bookmarkEnd w:id="41"/>
      <w:bookmarkEnd w:id="42"/>
    </w:p>
    <w:p w:rsidR="008B5BAA" w:rsidRDefault="00E9458D">
      <w:pPr>
        <w:spacing w:line="600" w:lineRule="exact"/>
        <w:ind w:firstLine="640"/>
        <w:outlineLvl w:val="2"/>
        <w:rPr>
          <w:rFonts w:ascii="仿宋" w:eastAsia="仿宋" w:hAnsi="仿宋"/>
          <w:b/>
          <w:sz w:val="32"/>
          <w:szCs w:val="32"/>
        </w:rPr>
      </w:pPr>
      <w:bookmarkStart w:id="43" w:name="_Toc15377216"/>
      <w:r>
        <w:rPr>
          <w:rFonts w:ascii="仿宋" w:eastAsia="仿宋" w:hAnsi="仿宋" w:hint="eastAsia"/>
          <w:b/>
          <w:sz w:val="32"/>
          <w:szCs w:val="32"/>
        </w:rPr>
        <w:t>（一）“三公”经费财政拨款支出决算总体情况说明</w:t>
      </w:r>
      <w:bookmarkEnd w:id="43"/>
    </w:p>
    <w:p w:rsidR="008B5BAA" w:rsidRDefault="00E9458D">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20年“三公”经费财政拨款支出决算为0.00万元，完成预算100</w:t>
      </w:r>
      <w:r>
        <w:rPr>
          <w:rFonts w:ascii="仿宋" w:eastAsia="仿宋" w:hAnsi="仿宋"/>
          <w:sz w:val="32"/>
          <w:szCs w:val="32"/>
        </w:rPr>
        <w:t>%</w:t>
      </w:r>
      <w:r>
        <w:rPr>
          <w:rFonts w:ascii="仿宋" w:eastAsia="仿宋" w:hAnsi="仿宋" w:hint="eastAsia"/>
          <w:sz w:val="32"/>
          <w:szCs w:val="32"/>
        </w:rPr>
        <w:t>，决算数与预算数持平的主要原因是合理安排</w:t>
      </w:r>
      <w:r>
        <w:rPr>
          <w:rFonts w:ascii="仿宋" w:eastAsia="仿宋" w:hAnsi="仿宋"/>
          <w:noProof/>
          <w:sz w:val="32"/>
          <w:szCs w:val="32"/>
        </w:rPr>
        <w:drawing>
          <wp:anchor distT="0" distB="0" distL="114300" distR="114300" simplePos="0" relativeHeight="251665408" behindDoc="0" locked="0" layoutInCell="1" allowOverlap="1">
            <wp:simplePos x="0" y="0"/>
            <wp:positionH relativeFrom="column">
              <wp:posOffset>82550</wp:posOffset>
            </wp:positionH>
            <wp:positionV relativeFrom="paragraph">
              <wp:posOffset>438785</wp:posOffset>
            </wp:positionV>
            <wp:extent cx="5073650" cy="2635250"/>
            <wp:effectExtent l="0" t="0" r="12700" b="1270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ascii="仿宋" w:eastAsia="仿宋" w:hAnsi="仿宋" w:hint="eastAsia"/>
          <w:sz w:val="32"/>
          <w:szCs w:val="32"/>
        </w:rPr>
        <w:t>预算,严格控制因公出国、出境事项和公务接待事项。</w:t>
      </w:r>
    </w:p>
    <w:p w:rsidR="008B5BAA" w:rsidRDefault="00E9458D">
      <w:pPr>
        <w:spacing w:line="600" w:lineRule="exact"/>
        <w:ind w:firstLine="640"/>
        <w:outlineLvl w:val="2"/>
        <w:rPr>
          <w:rFonts w:ascii="仿宋" w:eastAsia="仿宋" w:hAnsi="仿宋"/>
          <w:b/>
          <w:sz w:val="32"/>
          <w:szCs w:val="32"/>
        </w:rPr>
      </w:pPr>
      <w:bookmarkStart w:id="44" w:name="_Toc15377217"/>
      <w:r>
        <w:rPr>
          <w:rFonts w:ascii="仿宋" w:eastAsia="仿宋" w:hAnsi="仿宋" w:hint="eastAsia"/>
          <w:b/>
          <w:sz w:val="32"/>
          <w:szCs w:val="32"/>
        </w:rPr>
        <w:lastRenderedPageBreak/>
        <w:t>（二）“三公”经费财政拨款支出决算具体情况说明</w:t>
      </w:r>
      <w:bookmarkEnd w:id="44"/>
    </w:p>
    <w:p w:rsidR="008B5BAA" w:rsidRDefault="00E9458D">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20年“三公”经费财政拨款支出决算中，因公出国（境）费支出决算0.00万元，占0.00</w:t>
      </w:r>
      <w:r>
        <w:rPr>
          <w:rFonts w:ascii="仿宋" w:eastAsia="仿宋" w:hAnsi="仿宋"/>
          <w:sz w:val="32"/>
          <w:szCs w:val="32"/>
        </w:rPr>
        <w:t>%</w:t>
      </w:r>
      <w:r>
        <w:rPr>
          <w:rFonts w:ascii="仿宋" w:eastAsia="仿宋" w:hAnsi="仿宋" w:hint="eastAsia"/>
          <w:sz w:val="32"/>
          <w:szCs w:val="32"/>
        </w:rPr>
        <w:t>；公务用车购置及运行维护费支出决算0.00万元，占0.00</w:t>
      </w:r>
      <w:r>
        <w:rPr>
          <w:rFonts w:ascii="仿宋" w:eastAsia="仿宋" w:hAnsi="仿宋"/>
          <w:sz w:val="32"/>
          <w:szCs w:val="32"/>
        </w:rPr>
        <w:t>%</w:t>
      </w:r>
      <w:r>
        <w:rPr>
          <w:rFonts w:ascii="仿宋" w:eastAsia="仿宋" w:hAnsi="仿宋" w:hint="eastAsia"/>
          <w:sz w:val="32"/>
          <w:szCs w:val="32"/>
        </w:rPr>
        <w:t>；公务接待费支出决算0.00万元，占100.00</w:t>
      </w:r>
      <w:r>
        <w:rPr>
          <w:rFonts w:ascii="仿宋" w:eastAsia="仿宋" w:hAnsi="仿宋"/>
          <w:sz w:val="32"/>
          <w:szCs w:val="32"/>
        </w:rPr>
        <w:t>%</w:t>
      </w:r>
      <w:r>
        <w:rPr>
          <w:rFonts w:ascii="仿宋" w:eastAsia="仿宋" w:hAnsi="仿宋" w:hint="eastAsia"/>
          <w:sz w:val="32"/>
          <w:szCs w:val="32"/>
        </w:rPr>
        <w:t>。具体情况如下：</w:t>
      </w:r>
    </w:p>
    <w:p w:rsidR="008B5BAA" w:rsidRDefault="00E9458D">
      <w:pPr>
        <w:spacing w:line="600" w:lineRule="exact"/>
        <w:ind w:firstLine="640"/>
        <w:rPr>
          <w:rFonts w:ascii="仿宋" w:eastAsia="仿宋" w:hAnsi="仿宋"/>
          <w:sz w:val="32"/>
          <w:szCs w:val="32"/>
        </w:rPr>
      </w:pPr>
      <w:r>
        <w:rPr>
          <w:rFonts w:ascii="仿宋" w:eastAsia="仿宋" w:hAnsi="仿宋" w:hint="eastAsia"/>
          <w:sz w:val="32"/>
          <w:szCs w:val="32"/>
        </w:rPr>
        <w:t>（图8：“三公”经费财政拨款支出结构）（饼状图）</w:t>
      </w:r>
    </w:p>
    <w:p w:rsidR="008B5BAA" w:rsidRDefault="00E9458D">
      <w:pPr>
        <w:spacing w:line="600" w:lineRule="exact"/>
        <w:ind w:firstLine="640"/>
        <w:rPr>
          <w:rFonts w:ascii="仿宋_GB2312" w:eastAsia="仿宋_GB2312"/>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0.00万元，</w:t>
      </w:r>
      <w:r>
        <w:rPr>
          <w:rStyle w:val="ab"/>
          <w:rFonts w:ascii="仿宋" w:eastAsia="仿宋" w:hAnsi="仿宋" w:hint="eastAsia"/>
          <w:b w:val="0"/>
          <w:bCs/>
          <w:sz w:val="32"/>
          <w:szCs w:val="32"/>
        </w:rPr>
        <w:t>完成预算0.00</w:t>
      </w:r>
      <w:r>
        <w:rPr>
          <w:rStyle w:val="ab"/>
          <w:rFonts w:ascii="仿宋" w:eastAsia="仿宋" w:hAnsi="仿宋"/>
          <w:b w:val="0"/>
          <w:bCs/>
          <w:sz w:val="32"/>
          <w:szCs w:val="32"/>
        </w:rPr>
        <w:t>%</w:t>
      </w:r>
      <w:r>
        <w:rPr>
          <w:rStyle w:val="ab"/>
          <w:rFonts w:ascii="仿宋" w:eastAsia="仿宋" w:hAnsi="仿宋" w:hint="eastAsia"/>
          <w:b w:val="0"/>
          <w:bCs/>
          <w:sz w:val="32"/>
          <w:szCs w:val="32"/>
        </w:rPr>
        <w:t>。</w:t>
      </w:r>
      <w:r>
        <w:rPr>
          <w:rFonts w:ascii="仿宋_GB2312" w:eastAsia="仿宋_GB2312" w:hint="eastAsia"/>
          <w:sz w:val="32"/>
          <w:szCs w:val="32"/>
        </w:rPr>
        <w:t>全年安排因公出国（境）团组0次，出国（境）0人。</w:t>
      </w:r>
    </w:p>
    <w:p w:rsidR="008B5BAA" w:rsidRDefault="00E9458D">
      <w:pPr>
        <w:spacing w:line="600" w:lineRule="exact"/>
        <w:ind w:firstLine="640"/>
        <w:rPr>
          <w:rFonts w:ascii="仿宋_GB2312" w:eastAsia="仿宋_GB2312"/>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p>
    <w:p w:rsidR="008B5BAA" w:rsidRDefault="00E9458D">
      <w:pPr>
        <w:spacing w:line="600" w:lineRule="exact"/>
        <w:ind w:firstLine="640"/>
        <w:rPr>
          <w:rFonts w:ascii="仿宋_GB2312" w:eastAsia="仿宋_GB2312"/>
          <w:sz w:val="32"/>
          <w:szCs w:val="32"/>
        </w:rPr>
      </w:pPr>
      <w:r>
        <w:rPr>
          <w:rFonts w:ascii="仿宋_GB2312" w:eastAsia="仿宋_GB2312" w:hint="eastAsia"/>
          <w:sz w:val="32"/>
          <w:szCs w:val="32"/>
        </w:rPr>
        <w:t>2016年公务用车改革后，我校无公务用车。2020年度无公务用车购置及运行维护费开支。</w:t>
      </w:r>
    </w:p>
    <w:p w:rsidR="008B5BAA" w:rsidRDefault="00E9458D">
      <w:pPr>
        <w:numPr>
          <w:ilvl w:val="0"/>
          <w:numId w:val="1"/>
        </w:numPr>
        <w:spacing w:line="600" w:lineRule="exact"/>
        <w:ind w:firstLineChars="200" w:firstLine="643"/>
        <w:rPr>
          <w:rFonts w:ascii="仿宋_GB2312" w:eastAsia="仿宋_GB2312"/>
          <w:b/>
          <w:sz w:val="32"/>
          <w:szCs w:val="32"/>
        </w:rPr>
      </w:pPr>
      <w:r>
        <w:rPr>
          <w:rFonts w:ascii="仿宋_GB2312" w:eastAsia="仿宋_GB2312" w:hint="eastAsia"/>
          <w:b/>
          <w:sz w:val="32"/>
          <w:szCs w:val="32"/>
        </w:rPr>
        <w:t>公务接待费支出</w:t>
      </w:r>
    </w:p>
    <w:p w:rsidR="008B5BAA" w:rsidRDefault="00E9458D">
      <w:pPr>
        <w:spacing w:line="600" w:lineRule="exact"/>
        <w:ind w:firstLineChars="200" w:firstLine="640"/>
        <w:rPr>
          <w:rFonts w:ascii="仿宋_GB2312" w:eastAsia="仿宋_GB2312"/>
          <w:sz w:val="32"/>
          <w:szCs w:val="32"/>
        </w:rPr>
      </w:pPr>
      <w:r>
        <w:rPr>
          <w:rFonts w:ascii="仿宋_GB2312" w:eastAsia="仿宋_GB2312" w:hint="eastAsia"/>
          <w:sz w:val="32"/>
          <w:szCs w:val="32"/>
        </w:rPr>
        <w:t>学校公务接待费支出0万元，</w:t>
      </w:r>
      <w:r>
        <w:rPr>
          <w:rStyle w:val="ab"/>
          <w:rFonts w:ascii="仿宋" w:eastAsia="仿宋" w:hAnsi="仿宋" w:hint="eastAsia"/>
          <w:b w:val="0"/>
          <w:bCs/>
          <w:sz w:val="32"/>
          <w:szCs w:val="32"/>
        </w:rPr>
        <w:t>完成预算100</w:t>
      </w:r>
      <w:r>
        <w:rPr>
          <w:rStyle w:val="ab"/>
          <w:rFonts w:ascii="仿宋" w:eastAsia="仿宋" w:hAnsi="仿宋"/>
          <w:b w:val="0"/>
          <w:bCs/>
          <w:sz w:val="32"/>
          <w:szCs w:val="32"/>
        </w:rPr>
        <w:t>%</w:t>
      </w:r>
      <w:r>
        <w:rPr>
          <w:rStyle w:val="ab"/>
          <w:rFonts w:ascii="仿宋" w:eastAsia="仿宋" w:hAnsi="仿宋" w:hint="eastAsia"/>
          <w:b w:val="0"/>
          <w:bCs/>
          <w:sz w:val="32"/>
          <w:szCs w:val="32"/>
        </w:rPr>
        <w:t>。</w:t>
      </w:r>
    </w:p>
    <w:p w:rsidR="008B5BAA" w:rsidRDefault="00E9458D">
      <w:pPr>
        <w:spacing w:line="600" w:lineRule="exact"/>
        <w:ind w:firstLine="640"/>
        <w:outlineLvl w:val="1"/>
        <w:rPr>
          <w:rStyle w:val="20"/>
          <w:rFonts w:ascii="黑体" w:eastAsia="黑体" w:hAnsi="黑体"/>
        </w:rPr>
      </w:pPr>
      <w:bookmarkStart w:id="45" w:name="_Toc19089871"/>
      <w:bookmarkStart w:id="46" w:name="_Toc15377218"/>
      <w:r>
        <w:rPr>
          <w:rFonts w:ascii="黑体" w:eastAsia="黑体" w:hint="eastAsia"/>
          <w:sz w:val="32"/>
          <w:szCs w:val="32"/>
        </w:rPr>
        <w:t>八、</w:t>
      </w:r>
      <w:r>
        <w:rPr>
          <w:rStyle w:val="20"/>
          <w:rFonts w:ascii="黑体" w:eastAsia="黑体" w:hAnsi="黑体" w:hint="eastAsia"/>
          <w:b w:val="0"/>
        </w:rPr>
        <w:t>政府性基金预算支出决算情况说明</w:t>
      </w:r>
      <w:bookmarkEnd w:id="45"/>
      <w:bookmarkEnd w:id="46"/>
    </w:p>
    <w:p w:rsidR="008B5BAA" w:rsidRDefault="00E9458D">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20年政府性基金预算拨款支出199.35万元，完成预算100.00%。</w:t>
      </w:r>
    </w:p>
    <w:p w:rsidR="008B5BAA" w:rsidRDefault="00E9458D">
      <w:pPr>
        <w:numPr>
          <w:ilvl w:val="0"/>
          <w:numId w:val="3"/>
        </w:numPr>
        <w:spacing w:line="600" w:lineRule="exact"/>
        <w:ind w:firstLine="640"/>
        <w:outlineLvl w:val="1"/>
        <w:rPr>
          <w:rStyle w:val="20"/>
          <w:rFonts w:ascii="黑体" w:eastAsia="黑体" w:hAnsi="黑体"/>
          <w:b w:val="0"/>
        </w:rPr>
      </w:pPr>
      <w:bookmarkStart w:id="47" w:name="_Toc19089872"/>
      <w:bookmarkStart w:id="48" w:name="_Toc15377219"/>
      <w:r>
        <w:rPr>
          <w:rStyle w:val="20"/>
          <w:rFonts w:ascii="黑体" w:eastAsia="黑体" w:hAnsi="黑体" w:hint="eastAsia"/>
          <w:b w:val="0"/>
        </w:rPr>
        <w:t>国有资本经营预算支出决算情况说明</w:t>
      </w:r>
      <w:bookmarkEnd w:id="47"/>
      <w:bookmarkEnd w:id="48"/>
    </w:p>
    <w:p w:rsidR="008B5BAA" w:rsidRDefault="00E9458D">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20年国有资本经营预算拨款支出0.00万元。</w:t>
      </w:r>
    </w:p>
    <w:p w:rsidR="008B5BAA" w:rsidRDefault="00E9458D">
      <w:pPr>
        <w:pStyle w:val="ad"/>
        <w:numPr>
          <w:ilvl w:val="0"/>
          <w:numId w:val="4"/>
        </w:numPr>
        <w:spacing w:line="580" w:lineRule="exact"/>
        <w:ind w:firstLineChars="0"/>
        <w:rPr>
          <w:rStyle w:val="20"/>
          <w:rFonts w:ascii="黑体" w:eastAsia="黑体" w:hAnsi="黑体"/>
          <w:b w:val="0"/>
        </w:rPr>
      </w:pPr>
      <w:bookmarkStart w:id="49" w:name="_Toc19089873"/>
      <w:r>
        <w:rPr>
          <w:rStyle w:val="20"/>
          <w:rFonts w:ascii="黑体" w:eastAsia="黑体" w:hAnsi="黑体" w:hint="eastAsia"/>
          <w:b w:val="0"/>
        </w:rPr>
        <w:t>预算绩效情况说明</w:t>
      </w:r>
      <w:bookmarkEnd w:id="49"/>
    </w:p>
    <w:p w:rsidR="008B5BAA" w:rsidRDefault="00E9458D">
      <w:pPr>
        <w:spacing w:line="580" w:lineRule="exact"/>
        <w:ind w:firstLineChars="200" w:firstLine="560"/>
        <w:rPr>
          <w:rFonts w:ascii="仿宋" w:eastAsia="仿宋" w:hAnsi="仿宋" w:cs="楷体_GB2312"/>
          <w:sz w:val="28"/>
          <w:szCs w:val="28"/>
        </w:rPr>
      </w:pPr>
      <w:r>
        <w:rPr>
          <w:rFonts w:ascii="仿宋" w:eastAsia="仿宋" w:hAnsi="仿宋" w:cs="楷体_GB2312" w:hint="eastAsia"/>
          <w:sz w:val="28"/>
          <w:szCs w:val="28"/>
        </w:rPr>
        <w:t>预算绩效管理工作开展情况</w:t>
      </w:r>
    </w:p>
    <w:p w:rsidR="008B5BAA" w:rsidRDefault="00E9458D">
      <w:pPr>
        <w:snapToGrid w:val="0"/>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本部门按要求对2020年部门整体支出开展绩效自评，从评价情况来看教育系统整体支出绩效评价自评结果良好，全年基本支出保障了部分的正常运行和日常工作的正常开展，项目支出保障了重点工作</w:t>
      </w:r>
      <w:r>
        <w:rPr>
          <w:rFonts w:ascii="仿宋_GB2312" w:eastAsia="仿宋_GB2312" w:hAnsi="仿宋_GB2312" w:cs="仿宋_GB2312" w:hint="eastAsia"/>
          <w:color w:val="000000" w:themeColor="text1"/>
          <w:sz w:val="28"/>
          <w:szCs w:val="28"/>
        </w:rPr>
        <w:lastRenderedPageBreak/>
        <w:t>的开展，各项支出均达到了预期的绩效管理目标。</w:t>
      </w:r>
    </w:p>
    <w:p w:rsidR="008B5BAA" w:rsidRDefault="00E9458D">
      <w:pPr>
        <w:snapToGrid w:val="0"/>
        <w:spacing w:line="540" w:lineRule="exact"/>
        <w:ind w:firstLineChars="200" w:firstLine="560"/>
        <w:rPr>
          <w:rFonts w:ascii="华文仿宋" w:eastAsia="华文仿宋" w:hAnsi="华文仿宋"/>
          <w:color w:val="000000" w:themeColor="text1"/>
          <w:sz w:val="28"/>
          <w:szCs w:val="28"/>
        </w:rPr>
      </w:pPr>
      <w:r>
        <w:rPr>
          <w:rFonts w:ascii="仿宋_GB2312" w:eastAsia="仿宋_GB2312" w:hint="eastAsia"/>
          <w:color w:val="000000" w:themeColor="text1"/>
          <w:sz w:val="28"/>
          <w:szCs w:val="28"/>
        </w:rPr>
        <w:t>存在的问题：</w:t>
      </w:r>
      <w:r>
        <w:rPr>
          <w:rFonts w:ascii="仿宋_GB2312" w:eastAsia="仿宋_GB2312" w:hAnsi="宋体" w:cs="仿宋_GB2312" w:hint="eastAsia"/>
          <w:color w:val="000000" w:themeColor="text1"/>
          <w:sz w:val="28"/>
          <w:szCs w:val="28"/>
        </w:rPr>
        <w:t>一是绩效评价管理工作制度建设有待进一步加强，绩效管理缺乏系统性；二是</w:t>
      </w:r>
      <w:r>
        <w:rPr>
          <w:rFonts w:ascii="华文仿宋" w:eastAsia="华文仿宋" w:hAnsi="华文仿宋" w:hint="eastAsia"/>
          <w:color w:val="000000" w:themeColor="text1"/>
          <w:sz w:val="28"/>
          <w:szCs w:val="28"/>
        </w:rPr>
        <w:t>缺乏绩效评价专业人才，系统现有评价工作人员的知识体系和业务技能还需进一步提高，以适应绩效评价工作相关要求。</w:t>
      </w:r>
    </w:p>
    <w:p w:rsidR="008B5BAA" w:rsidRDefault="00E9458D">
      <w:pPr>
        <w:snapToGrid w:val="0"/>
        <w:spacing w:line="540" w:lineRule="exact"/>
        <w:ind w:firstLineChars="200" w:firstLine="560"/>
        <w:rPr>
          <w:rFonts w:ascii="华文仿宋" w:eastAsia="华文仿宋" w:hAnsi="华文仿宋"/>
          <w:color w:val="000000" w:themeColor="text1"/>
          <w:sz w:val="28"/>
          <w:szCs w:val="28"/>
        </w:rPr>
      </w:pPr>
      <w:r>
        <w:rPr>
          <w:rFonts w:ascii="仿宋_GB2312" w:eastAsia="仿宋_GB2312" w:hint="eastAsia"/>
          <w:color w:val="000000" w:themeColor="text1"/>
          <w:sz w:val="28"/>
          <w:szCs w:val="28"/>
        </w:rPr>
        <w:t>下一步改进措施：</w:t>
      </w:r>
      <w:r>
        <w:rPr>
          <w:rStyle w:val="ab"/>
          <w:rFonts w:ascii="仿宋_GB2312" w:eastAsia="仿宋_GB2312" w:hAnsi="宋体" w:cs="仿宋_GB2312" w:hint="eastAsia"/>
          <w:b w:val="0"/>
          <w:color w:val="000000" w:themeColor="text1"/>
          <w:sz w:val="28"/>
          <w:szCs w:val="28"/>
        </w:rPr>
        <w:t>一是</w:t>
      </w:r>
      <w:r>
        <w:rPr>
          <w:rFonts w:ascii="仿宋_GB2312" w:eastAsia="仿宋_GB2312" w:hAnsi="宋体" w:cs="仿宋_GB2312" w:hint="eastAsia"/>
          <w:color w:val="000000" w:themeColor="text1"/>
          <w:sz w:val="28"/>
          <w:szCs w:val="28"/>
        </w:rPr>
        <w:t>进一步加强绩效评价管理制度建设；二是建立有效的绩效管理体系；</w:t>
      </w:r>
      <w:r>
        <w:rPr>
          <w:rStyle w:val="ab"/>
          <w:rFonts w:ascii="仿宋_GB2312" w:eastAsia="仿宋_GB2312" w:hAnsi="宋体" w:cs="仿宋_GB2312" w:hint="eastAsia"/>
          <w:b w:val="0"/>
          <w:color w:val="000000" w:themeColor="text1"/>
          <w:sz w:val="28"/>
          <w:szCs w:val="28"/>
        </w:rPr>
        <w:t>三是</w:t>
      </w:r>
      <w:r>
        <w:rPr>
          <w:rFonts w:ascii="仿宋_GB2312" w:eastAsia="仿宋_GB2312" w:hAnsi="宋体" w:cs="仿宋_GB2312" w:hint="eastAsia"/>
          <w:color w:val="000000" w:themeColor="text1"/>
          <w:sz w:val="28"/>
          <w:szCs w:val="28"/>
        </w:rPr>
        <w:t>强化绩效管理数据分析，强化绩效管理数据运用；四是强化绩效评价专业技能的培训；</w:t>
      </w:r>
      <w:r>
        <w:rPr>
          <w:rFonts w:ascii="华文仿宋" w:eastAsia="华文仿宋" w:hAnsi="华文仿宋" w:hint="eastAsia"/>
          <w:color w:val="000000" w:themeColor="text1"/>
          <w:sz w:val="28"/>
          <w:szCs w:val="28"/>
        </w:rPr>
        <w:t>五是探索与预算编制相结合的财政绩效管理，奖绩效评价逐步从事后评价延伸至事前、事中评价。</w:t>
      </w:r>
    </w:p>
    <w:p w:rsidR="008B5BAA" w:rsidRDefault="00E9458D">
      <w:pPr>
        <w:snapToGrid w:val="0"/>
        <w:spacing w:line="540" w:lineRule="exact"/>
        <w:ind w:firstLineChars="200" w:firstLine="560"/>
        <w:outlineLvl w:val="1"/>
        <w:rPr>
          <w:rStyle w:val="20"/>
          <w:rFonts w:ascii="黑体" w:eastAsia="黑体" w:hAnsi="黑体"/>
          <w:b w:val="0"/>
          <w:bCs w:val="0"/>
          <w:color w:val="000000" w:themeColor="text1"/>
          <w:sz w:val="28"/>
          <w:szCs w:val="28"/>
        </w:rPr>
      </w:pPr>
      <w:r>
        <w:rPr>
          <w:rFonts w:ascii="黑体" w:eastAsia="黑体" w:hAnsi="黑体" w:hint="eastAsia"/>
          <w:color w:val="000000" w:themeColor="text1"/>
          <w:sz w:val="28"/>
          <w:szCs w:val="28"/>
        </w:rPr>
        <w:t>十</w:t>
      </w:r>
      <w:r>
        <w:rPr>
          <w:rStyle w:val="20"/>
          <w:rFonts w:ascii="黑体" w:eastAsia="黑体" w:hAnsi="黑体" w:hint="eastAsia"/>
          <w:b w:val="0"/>
          <w:bCs w:val="0"/>
          <w:color w:val="000000" w:themeColor="text1"/>
          <w:sz w:val="28"/>
          <w:szCs w:val="28"/>
        </w:rPr>
        <w:t>一、其他重要事项的情况说明</w:t>
      </w:r>
    </w:p>
    <w:p w:rsidR="008B5BAA" w:rsidRDefault="00E9458D">
      <w:pPr>
        <w:snapToGrid w:val="0"/>
        <w:spacing w:line="540" w:lineRule="exact"/>
        <w:ind w:firstLineChars="200" w:firstLine="560"/>
        <w:outlineLvl w:val="2"/>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（一）机关运行经费支出情况</w:t>
      </w:r>
    </w:p>
    <w:p w:rsidR="00200E3D" w:rsidRDefault="00E9458D">
      <w:pPr>
        <w:snapToGrid w:val="0"/>
        <w:spacing w:line="540" w:lineRule="exact"/>
        <w:ind w:firstLineChars="200" w:firstLine="560"/>
        <w:rPr>
          <w:rFonts w:ascii="仿宋" w:eastAsia="仿宋" w:hAnsi="仿宋"/>
          <w:color w:val="000000" w:themeColor="text1"/>
          <w:sz w:val="28"/>
          <w:szCs w:val="28"/>
        </w:rPr>
      </w:pPr>
      <w:r>
        <w:rPr>
          <w:rFonts w:ascii="仿宋_GB2312" w:eastAsia="仿宋_GB2312"/>
          <w:color w:val="000000" w:themeColor="text1"/>
          <w:sz w:val="28"/>
          <w:szCs w:val="28"/>
        </w:rPr>
        <w:t>20</w:t>
      </w:r>
      <w:r>
        <w:rPr>
          <w:rFonts w:ascii="仿宋_GB2312" w:eastAsia="仿宋_GB2312" w:hint="eastAsia"/>
          <w:color w:val="000000" w:themeColor="text1"/>
          <w:sz w:val="28"/>
          <w:szCs w:val="28"/>
        </w:rPr>
        <w:t>20年，利州区清河小学运行经费支出</w:t>
      </w:r>
      <w:r>
        <w:rPr>
          <w:rFonts w:ascii="仿宋" w:eastAsia="仿宋" w:hAnsi="仿宋" w:cs="仿宋_GB2312" w:hint="eastAsia"/>
          <w:color w:val="000000" w:themeColor="text1"/>
          <w:sz w:val="28"/>
          <w:szCs w:val="28"/>
        </w:rPr>
        <w:t>0</w:t>
      </w:r>
      <w:r>
        <w:rPr>
          <w:rFonts w:ascii="仿宋_GB2312" w:eastAsia="仿宋_GB2312" w:hint="eastAsia"/>
          <w:color w:val="000000" w:themeColor="text1"/>
          <w:sz w:val="28"/>
          <w:szCs w:val="28"/>
        </w:rPr>
        <w:t>万元</w:t>
      </w:r>
      <w:r w:rsidR="00200E3D">
        <w:rPr>
          <w:rFonts w:ascii="仿宋_GB2312" w:eastAsia="仿宋_GB2312" w:hint="eastAsia"/>
          <w:color w:val="000000" w:themeColor="text1"/>
          <w:sz w:val="28"/>
          <w:szCs w:val="28"/>
        </w:rPr>
        <w:t>。</w:t>
      </w:r>
      <w:r>
        <w:rPr>
          <w:rFonts w:ascii="仿宋" w:eastAsia="仿宋" w:hAnsi="仿宋"/>
          <w:color w:val="000000" w:themeColor="text1"/>
          <w:sz w:val="28"/>
          <w:szCs w:val="28"/>
        </w:rPr>
        <w:t xml:space="preserve"> </w:t>
      </w:r>
    </w:p>
    <w:p w:rsidR="008B5BAA" w:rsidRDefault="00200E3D">
      <w:pPr>
        <w:snapToGrid w:val="0"/>
        <w:spacing w:line="540" w:lineRule="exact"/>
        <w:ind w:firstLineChars="200" w:firstLine="560"/>
        <w:rPr>
          <w:rFonts w:ascii="仿宋" w:eastAsia="仿宋" w:hAnsi="仿宋"/>
          <w:color w:val="000000" w:themeColor="text1"/>
          <w:sz w:val="28"/>
          <w:szCs w:val="28"/>
        </w:rPr>
      </w:pPr>
      <w:r w:rsidRPr="00200E3D">
        <w:rPr>
          <w:rFonts w:ascii="仿宋" w:eastAsia="仿宋" w:hAnsi="仿宋" w:hint="eastAsia"/>
          <w:color w:val="000000" w:themeColor="text1"/>
          <w:sz w:val="28"/>
          <w:szCs w:val="28"/>
        </w:rPr>
        <w:t>（数据来源财决CS05表）</w:t>
      </w:r>
    </w:p>
    <w:p w:rsidR="008B5BAA" w:rsidRDefault="00E9458D">
      <w:pPr>
        <w:snapToGrid w:val="0"/>
        <w:spacing w:line="540" w:lineRule="exact"/>
        <w:ind w:firstLineChars="200" w:firstLine="560"/>
        <w:outlineLvl w:val="2"/>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（二）政府采购支出情况</w:t>
      </w:r>
    </w:p>
    <w:p w:rsidR="008B5BAA" w:rsidRDefault="00E9458D">
      <w:pPr>
        <w:snapToGrid w:val="0"/>
        <w:spacing w:line="54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20</w:t>
      </w:r>
      <w:r>
        <w:rPr>
          <w:rFonts w:ascii="仿宋_GB2312" w:eastAsia="仿宋_GB2312" w:hint="eastAsia"/>
          <w:color w:val="000000" w:themeColor="text1"/>
          <w:sz w:val="28"/>
          <w:szCs w:val="28"/>
        </w:rPr>
        <w:t>20年，利州区清河小学采购支出总额0.00万元，其中：政府采购货物支出0.00万元、政府采购工程支出0.00万元、政府采购服务支出0.00万元。</w:t>
      </w:r>
    </w:p>
    <w:p w:rsidR="00200E3D" w:rsidRPr="00200E3D" w:rsidRDefault="00200E3D" w:rsidP="00200E3D">
      <w:pPr>
        <w:snapToGrid w:val="0"/>
        <w:spacing w:line="720" w:lineRule="exact"/>
        <w:ind w:firstLineChars="200" w:firstLine="640"/>
        <w:rPr>
          <w:rFonts w:ascii="仿宋_GB2312" w:eastAsia="仿宋_GB2312" w:hint="eastAsia"/>
          <w:sz w:val="32"/>
          <w:szCs w:val="32"/>
        </w:rPr>
      </w:pPr>
      <w:r>
        <w:rPr>
          <w:rFonts w:ascii="仿宋_GB2312" w:eastAsia="仿宋_GB2312" w:hint="eastAsia"/>
          <w:sz w:val="32"/>
          <w:szCs w:val="32"/>
        </w:rPr>
        <w:t>（数据来源财决CS06表）</w:t>
      </w:r>
    </w:p>
    <w:p w:rsidR="008B5BAA" w:rsidRDefault="00E9458D">
      <w:pPr>
        <w:snapToGrid w:val="0"/>
        <w:spacing w:line="540" w:lineRule="exact"/>
        <w:ind w:firstLineChars="200" w:firstLine="560"/>
        <w:outlineLvl w:val="2"/>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（三）国有资产占有使用情况</w:t>
      </w:r>
    </w:p>
    <w:p w:rsidR="00200E3D" w:rsidRDefault="00E9458D">
      <w:pPr>
        <w:autoSpaceDE w:val="0"/>
        <w:autoSpaceDN w:val="0"/>
        <w:adjustRightInd w:val="0"/>
        <w:snapToGrid w:val="0"/>
        <w:spacing w:line="540" w:lineRule="exact"/>
        <w:ind w:firstLineChars="200" w:firstLine="560"/>
        <w:jc w:val="left"/>
        <w:outlineLvl w:val="2"/>
        <w:rPr>
          <w:rFonts w:ascii="仿宋_GB2312" w:eastAsia="仿宋_GB2312"/>
          <w:color w:val="000000" w:themeColor="text1"/>
          <w:sz w:val="28"/>
          <w:szCs w:val="28"/>
        </w:rPr>
      </w:pPr>
      <w:r>
        <w:rPr>
          <w:rFonts w:ascii="仿宋_GB2312" w:eastAsia="仿宋_GB2312" w:hint="eastAsia"/>
          <w:color w:val="000000" w:themeColor="text1"/>
          <w:sz w:val="28"/>
          <w:szCs w:val="28"/>
        </w:rPr>
        <w:t>截至</w:t>
      </w:r>
      <w:r>
        <w:rPr>
          <w:rFonts w:ascii="仿宋_GB2312" w:eastAsia="仿宋_GB2312"/>
          <w:color w:val="000000" w:themeColor="text1"/>
          <w:sz w:val="28"/>
          <w:szCs w:val="28"/>
        </w:rPr>
        <w:t>20</w:t>
      </w:r>
      <w:r>
        <w:rPr>
          <w:rFonts w:ascii="仿宋_GB2312" w:eastAsia="仿宋_GB2312" w:hint="eastAsia"/>
          <w:color w:val="000000" w:themeColor="text1"/>
          <w:sz w:val="28"/>
          <w:szCs w:val="28"/>
        </w:rPr>
        <w:t>20年</w:t>
      </w:r>
      <w:r>
        <w:rPr>
          <w:rFonts w:ascii="仿宋_GB2312" w:eastAsia="仿宋_GB2312"/>
          <w:color w:val="000000" w:themeColor="text1"/>
          <w:sz w:val="28"/>
          <w:szCs w:val="28"/>
        </w:rPr>
        <w:t>12</w:t>
      </w:r>
      <w:r>
        <w:rPr>
          <w:rFonts w:ascii="仿宋_GB2312" w:eastAsia="仿宋_GB2312" w:hint="eastAsia"/>
          <w:color w:val="000000" w:themeColor="text1"/>
          <w:sz w:val="28"/>
          <w:szCs w:val="28"/>
        </w:rPr>
        <w:t>月</w:t>
      </w:r>
      <w:r>
        <w:rPr>
          <w:rFonts w:ascii="仿宋_GB2312" w:eastAsia="仿宋_GB2312"/>
          <w:color w:val="000000" w:themeColor="text1"/>
          <w:sz w:val="28"/>
          <w:szCs w:val="28"/>
        </w:rPr>
        <w:t>31</w:t>
      </w:r>
      <w:r>
        <w:rPr>
          <w:rFonts w:ascii="仿宋_GB2312" w:eastAsia="仿宋_GB2312" w:hint="eastAsia"/>
          <w:color w:val="000000" w:themeColor="text1"/>
          <w:sz w:val="28"/>
          <w:szCs w:val="28"/>
        </w:rPr>
        <w:t>日，利州区清河小学共有车辆0辆，单价</w:t>
      </w:r>
      <w:r>
        <w:rPr>
          <w:rFonts w:ascii="仿宋_GB2312" w:eastAsia="仿宋_GB2312"/>
          <w:color w:val="000000" w:themeColor="text1"/>
          <w:sz w:val="28"/>
          <w:szCs w:val="28"/>
        </w:rPr>
        <w:t>50</w:t>
      </w:r>
      <w:r>
        <w:rPr>
          <w:rFonts w:ascii="仿宋_GB2312" w:eastAsia="仿宋_GB2312" w:hint="eastAsia"/>
          <w:color w:val="000000" w:themeColor="text1"/>
          <w:sz w:val="28"/>
          <w:szCs w:val="28"/>
        </w:rPr>
        <w:t>万元以上通用设备0台（套），单价</w:t>
      </w:r>
      <w:r>
        <w:rPr>
          <w:rFonts w:ascii="仿宋_GB2312" w:eastAsia="仿宋_GB2312"/>
          <w:color w:val="000000" w:themeColor="text1"/>
          <w:sz w:val="28"/>
          <w:szCs w:val="28"/>
        </w:rPr>
        <w:t>100</w:t>
      </w:r>
      <w:r>
        <w:rPr>
          <w:rFonts w:ascii="仿宋_GB2312" w:eastAsia="仿宋_GB2312" w:hint="eastAsia"/>
          <w:color w:val="000000" w:themeColor="text1"/>
          <w:sz w:val="28"/>
          <w:szCs w:val="28"/>
        </w:rPr>
        <w:t>万元以上专用设备0台（套）。</w:t>
      </w:r>
    </w:p>
    <w:p w:rsidR="008B5BAA" w:rsidRDefault="00200E3D">
      <w:pPr>
        <w:autoSpaceDE w:val="0"/>
        <w:autoSpaceDN w:val="0"/>
        <w:adjustRightInd w:val="0"/>
        <w:snapToGrid w:val="0"/>
        <w:spacing w:line="540" w:lineRule="exact"/>
        <w:ind w:firstLineChars="200" w:firstLine="640"/>
        <w:jc w:val="left"/>
        <w:outlineLvl w:val="2"/>
        <w:rPr>
          <w:rFonts w:ascii="仿宋_GB2312" w:eastAsia="仿宋_GB2312"/>
          <w:color w:val="000000" w:themeColor="text1"/>
          <w:sz w:val="28"/>
          <w:szCs w:val="28"/>
        </w:rPr>
      </w:pPr>
      <w:r>
        <w:rPr>
          <w:rFonts w:ascii="仿宋_GB2312" w:eastAsia="仿宋_GB2312" w:hint="eastAsia"/>
          <w:sz w:val="32"/>
          <w:szCs w:val="32"/>
        </w:rPr>
        <w:t>（数据来源财决CS05表，按部门决算报表填报数据罗列车辆情况。）</w:t>
      </w:r>
    </w:p>
    <w:p w:rsidR="008B5BAA" w:rsidRDefault="00E9458D">
      <w:pPr>
        <w:rPr>
          <w:rFonts w:ascii="仿宋_GB2312" w:eastAsia="仿宋_GB2312"/>
          <w:sz w:val="32"/>
          <w:szCs w:val="32"/>
        </w:rPr>
      </w:pPr>
      <w:r>
        <w:rPr>
          <w:rFonts w:ascii="仿宋_GB2312" w:eastAsia="仿宋_GB2312" w:hint="eastAsia"/>
          <w:sz w:val="32"/>
          <w:szCs w:val="32"/>
        </w:rPr>
        <w:br w:type="page"/>
      </w:r>
    </w:p>
    <w:p w:rsidR="008B5BAA" w:rsidRDefault="00E9458D">
      <w:pPr>
        <w:numPr>
          <w:ilvl w:val="0"/>
          <w:numId w:val="5"/>
        </w:numPr>
        <w:spacing w:line="600" w:lineRule="exact"/>
        <w:ind w:firstLineChars="150" w:firstLine="660"/>
        <w:jc w:val="center"/>
        <w:outlineLvl w:val="0"/>
        <w:rPr>
          <w:rFonts w:ascii="方正小标宋简体" w:eastAsia="方正小标宋简体" w:hAnsi="方正小标宋简体" w:cs="方正小标宋简体"/>
          <w:bCs/>
          <w:kern w:val="44"/>
          <w:sz w:val="44"/>
          <w:szCs w:val="44"/>
        </w:rPr>
      </w:pPr>
      <w:r>
        <w:rPr>
          <w:rFonts w:ascii="方正小标宋简体" w:eastAsia="方正小标宋简体" w:hAnsi="方正小标宋简体" w:cs="方正小标宋简体" w:hint="eastAsia"/>
          <w:bCs/>
          <w:sz w:val="44"/>
          <w:szCs w:val="44"/>
        </w:rPr>
        <w:lastRenderedPageBreak/>
        <w:t>名</w:t>
      </w:r>
      <w:r>
        <w:rPr>
          <w:rStyle w:val="10"/>
          <w:rFonts w:ascii="方正小标宋简体" w:eastAsia="方正小标宋简体" w:hAnsi="方正小标宋简体" w:cs="方正小标宋简体" w:hint="eastAsia"/>
          <w:b w:val="0"/>
        </w:rPr>
        <w:t>词解释</w:t>
      </w:r>
    </w:p>
    <w:p w:rsidR="008B5BAA" w:rsidRDefault="008B5BAA">
      <w:pPr>
        <w:pStyle w:val="Default"/>
        <w:snapToGrid w:val="0"/>
        <w:spacing w:line="520" w:lineRule="exact"/>
        <w:ind w:firstLineChars="200" w:firstLine="560"/>
        <w:rPr>
          <w:rFonts w:ascii="仿宋_GB2312" w:eastAsia="仿宋_GB2312"/>
          <w:color w:val="auto"/>
          <w:sz w:val="28"/>
          <w:szCs w:val="28"/>
        </w:rPr>
      </w:pPr>
    </w:p>
    <w:p w:rsidR="008B5BAA" w:rsidRDefault="00E9458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1.财政拨款收入：指单位从同级财政部门取得的财政预算资金。</w:t>
      </w:r>
    </w:p>
    <w:p w:rsidR="008B5BAA" w:rsidRDefault="00E9458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2.事业收入：指事业单位开展专业业务活动及辅助活动取得的收入。</w:t>
      </w:r>
    </w:p>
    <w:p w:rsidR="008B5BAA" w:rsidRDefault="00E9458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3.经营收入：指事业单位在专业业务活动及其辅助活动之外开展非独立核算经营活动取得的收入。。</w:t>
      </w:r>
    </w:p>
    <w:p w:rsidR="008B5BAA" w:rsidRDefault="00E9458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4.其他收入：指单位取得的除上述收入以外的各项收入。主要是学前教育保育教育费收入、银行存款利息收入等。 </w:t>
      </w:r>
    </w:p>
    <w:p w:rsidR="008B5BAA" w:rsidRDefault="00E9458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8B5BAA" w:rsidRDefault="00E9458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6.年初结转和结余：指以前年度尚未完成、结转到本年按有关规定继续使用的资金。 </w:t>
      </w:r>
    </w:p>
    <w:p w:rsidR="008B5BAA" w:rsidRDefault="00E9458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7.结余分配：指事业单位按照事业单位会计制度的规定从非财政补助结余中分配的事业基金和职工福利基金等。</w:t>
      </w:r>
    </w:p>
    <w:p w:rsidR="008B5BAA" w:rsidRDefault="00E9458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8.年末结转和结余：指单位按有关规定结转到下年或以后年度继续使用的资金。</w:t>
      </w:r>
    </w:p>
    <w:p w:rsidR="008B5BAA" w:rsidRDefault="00E9458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9.教育支出（类）教育管理事务（款）行政运行（项）:反映教育行政单位（包括实行公务员管理的事业单位）的基本支出</w:t>
      </w:r>
    </w:p>
    <w:p w:rsidR="008B5BAA" w:rsidRDefault="00E9458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10. 教育支出（类）教育管理事务（款）一般行政管理事务（项）:反映行政单位（包括实行公务员管理的事业单位）未单独设置项级科目的其它项目支出。</w:t>
      </w:r>
    </w:p>
    <w:p w:rsidR="008B5BAA" w:rsidRDefault="00E9458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11. 教育支出（类）教育管理事务（款）其它教育管理事务支出（项）:反映除上述项目以外其它用户教育管理事务方面的支出。</w:t>
      </w:r>
    </w:p>
    <w:p w:rsidR="008B5BAA" w:rsidRDefault="00E9458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lastRenderedPageBreak/>
        <w:t>12. 教育支出（类）普通教育（款）学前教育（项）:反映各部门举办的学前教育支出。</w:t>
      </w:r>
    </w:p>
    <w:p w:rsidR="008B5BAA" w:rsidRDefault="00E9458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13. 教育支出（类）普通教育（款）小学教育（项）:反映各部门举办的小学教育支出。政府各部门对社会中介组织等举办的小学的资助，如各类捐赠、补贴等，也在本科目中反映。</w:t>
      </w:r>
    </w:p>
    <w:p w:rsidR="008B5BAA" w:rsidRDefault="00E9458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14. 教育支出（类）普通教育（款）初中教育（项）: 反映各部门举办的初中教育支出。政府各部门对社会中介组织等举办的初中教育的资助，如捐赠、补贴等，也在本科目中反映。</w:t>
      </w:r>
    </w:p>
    <w:p w:rsidR="008B5BAA" w:rsidRDefault="00E9458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15. 教育支出（类）普通教育（款）高中教育（项）: 反映各部门举办的高级中学教育支出。政府各部门对社会中介组织等举办的高级中学的资助，如捐赠、补贴等，也在本科目中反映。</w:t>
      </w:r>
    </w:p>
    <w:p w:rsidR="008B5BAA" w:rsidRDefault="00E9458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16. 教育支出（类）普通教育（款）其它普通教育（项）: 反映除上述项目以外其他用于普通教育方面的支出。</w:t>
      </w:r>
    </w:p>
    <w:p w:rsidR="008B5BAA" w:rsidRDefault="00E9458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17. 教育支出（类）职业教育（款）职业高中教育（项）: 反映各部门举办的职业中学、农业中学（含普通高中改制的）、半工（农）半读中学的支出或补助费</w:t>
      </w:r>
    </w:p>
    <w:p w:rsidR="008B5BAA" w:rsidRDefault="00E9458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18. 教育支出（类）职业教育（款）高等职业教育（项）:反映经国家批准设立的高等职业大学、专科职业教育等方面的支出。</w:t>
      </w:r>
    </w:p>
    <w:p w:rsidR="008B5BAA" w:rsidRDefault="00E9458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19. 教育支出（类）特殊教育（款）特殊学校教育（项）: 指各部门举办的盲童学校、聋哑学校、智力落后儿童学校、其它生理缺陷儿童学校的支出。</w:t>
      </w:r>
    </w:p>
    <w:p w:rsidR="008B5BAA" w:rsidRDefault="00E9458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20. 教育支出（类）特殊教育（款）工读学校教育（项）:指各部门举办的工读学校的支出。</w:t>
      </w:r>
    </w:p>
    <w:p w:rsidR="008B5BAA" w:rsidRDefault="00E9458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21. 教育支出（类）教育附加费安排的支出（款）农村中小学校舍建设（项）:反映教育附加费安排用于农村中小学校舍新建、改建、修缮和维护的支出。</w:t>
      </w:r>
    </w:p>
    <w:p w:rsidR="008B5BAA" w:rsidRDefault="00E9458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lastRenderedPageBreak/>
        <w:t>22. 教育支出（类）教育附加费安排的支出（款）城市中小学校舍建设（项）: 反映教育附加费安排用于城市中小学校舍新建、改建、修缮和维护的支出。</w:t>
      </w:r>
    </w:p>
    <w:p w:rsidR="008B5BAA" w:rsidRDefault="00E9458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23. 教育支出（类）教育附加费安排的支出（款）其它教育附加费安排的支出（项）: 指除上述项目以外的教育附加费支出。</w:t>
      </w:r>
    </w:p>
    <w:p w:rsidR="008B5BAA" w:rsidRDefault="00E9458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24. 教育支出（类）其它教育支出（款）其他教育支出（项）: 指上述项目以外其他用于教育方面的支出。</w:t>
      </w:r>
    </w:p>
    <w:p w:rsidR="008B5BAA" w:rsidRDefault="00E9458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25. 社会保障和就业支出（类）行政事业单位离退休（款）机关事业单位基本养老保险缴费支出（项）: 指机关事业单位实施养老保险制度由单位缴纳的基本养老保险费支出。</w:t>
      </w:r>
    </w:p>
    <w:p w:rsidR="008B5BAA" w:rsidRDefault="00E9458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26. 社会保障和就业支出（类）行政事业单位离退休（款）机关事业单位职业年金缴费支出（项）: 指机关事业单位实施养老保险制度由单位实际缴纳的职业年金支出。</w:t>
      </w:r>
    </w:p>
    <w:p w:rsidR="008B5BAA" w:rsidRDefault="00E9458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27. 社会保障和就业支出（类）抚恤（款）死亡抚恤（项）: 指按规定用于烈士和牺牲、病故人员家属的一次性和定期抚恤金以及丧葬补助费。</w:t>
      </w:r>
    </w:p>
    <w:p w:rsidR="008B5BAA" w:rsidRDefault="00E9458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rsidR="008B5BAA" w:rsidRDefault="00E9458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rsidR="008B5BAA" w:rsidRDefault="00E9458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30. 农林水支出（类）扶贫（款）其它扶贫支出（项）: 指除上</w:t>
      </w:r>
      <w:r>
        <w:rPr>
          <w:rFonts w:ascii="仿宋_GB2312" w:eastAsia="仿宋_GB2312" w:hint="eastAsia"/>
          <w:color w:val="auto"/>
          <w:sz w:val="28"/>
          <w:szCs w:val="28"/>
        </w:rPr>
        <w:lastRenderedPageBreak/>
        <w:t>述项目以外其他用于扶贫方面的支出。</w:t>
      </w:r>
    </w:p>
    <w:p w:rsidR="008B5BAA" w:rsidRDefault="00E9458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31. 住房保障支出（类）住房改革支出（款）住房公积金（项）: 指行政事业单位按人力资源和社会保障部、财政部规定的基本工资和津贴补贴以及规定比例为职工缴纳的住房公积金。</w:t>
      </w:r>
    </w:p>
    <w:p w:rsidR="008B5BAA" w:rsidRDefault="00E9458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32. 其他支出（类）其他支出（款）其他支出（项）: 指上述项目以外其他不能划分到具体功能科目中的支出项目。</w:t>
      </w:r>
    </w:p>
    <w:p w:rsidR="008B5BAA" w:rsidRDefault="00E9458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33.基本支出：指为保障机构正常运转、完成日常工作任务而发生的人员支出和公用支出。</w:t>
      </w:r>
    </w:p>
    <w:p w:rsidR="008B5BAA" w:rsidRDefault="00E9458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34.项目支出：指在基本支出之外为完成特定行政任务和事业发展目标所发生的支出。 </w:t>
      </w:r>
    </w:p>
    <w:p w:rsidR="008B5BAA" w:rsidRDefault="00E9458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35.经营支出：指事业单位在专业业务活动及其辅助活动之外开展非独立核算经营活动发生的支出。</w:t>
      </w:r>
    </w:p>
    <w:p w:rsidR="008B5BAA" w:rsidRDefault="00E9458D">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8B5BAA" w:rsidRDefault="00E9458D">
      <w:pPr>
        <w:pStyle w:val="Default"/>
        <w:snapToGrid w:val="0"/>
        <w:spacing w:line="520" w:lineRule="exact"/>
        <w:ind w:firstLineChars="200" w:firstLine="560"/>
        <w:rPr>
          <w:rFonts w:ascii="仿宋_GB2312" w:eastAsia="仿宋_GB2312" w:cs="黑体"/>
          <w:color w:val="auto"/>
          <w:sz w:val="28"/>
          <w:szCs w:val="28"/>
        </w:rPr>
      </w:pPr>
      <w:r>
        <w:rPr>
          <w:rFonts w:ascii="仿宋_GB2312" w:eastAsia="仿宋_GB2312" w:hint="eastAsia"/>
          <w:color w:val="auto"/>
          <w:sz w:val="28"/>
          <w:szCs w:val="28"/>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B5BAA" w:rsidRDefault="00E9458D">
      <w:pPr>
        <w:snapToGrid w:val="0"/>
        <w:spacing w:line="520" w:lineRule="exact"/>
        <w:ind w:firstLineChars="200" w:firstLine="562"/>
        <w:rPr>
          <w:rFonts w:ascii="仿宋" w:eastAsia="仿宋" w:hAnsi="仿宋"/>
          <w:b/>
          <w:sz w:val="28"/>
          <w:szCs w:val="28"/>
        </w:rPr>
      </w:pPr>
      <w:r>
        <w:rPr>
          <w:rFonts w:ascii="仿宋" w:eastAsia="仿宋" w:hAnsi="仿宋" w:hint="eastAsia"/>
          <w:b/>
          <w:sz w:val="28"/>
          <w:szCs w:val="28"/>
        </w:rPr>
        <w:t>（名词解释部分请根据各部门实际列支情况罗列，并根据本部门职责职能增减名词解释内容。）</w:t>
      </w:r>
    </w:p>
    <w:p w:rsidR="008B5BAA" w:rsidRDefault="00E9458D">
      <w:pPr>
        <w:spacing w:line="600" w:lineRule="exact"/>
        <w:jc w:val="center"/>
        <w:outlineLvl w:val="0"/>
        <w:rPr>
          <w:rStyle w:val="10"/>
          <w:rFonts w:ascii="黑体" w:eastAsia="黑体" w:hAnsi="黑体"/>
          <w:b w:val="0"/>
        </w:rPr>
      </w:pPr>
      <w:bookmarkStart w:id="50" w:name="_Toc15377221"/>
      <w:bookmarkStart w:id="51" w:name="_Toc19089874"/>
      <w:r>
        <w:rPr>
          <w:rFonts w:ascii="黑体" w:eastAsia="黑体" w:hAnsi="黑体" w:hint="eastAsia"/>
          <w:sz w:val="44"/>
          <w:szCs w:val="44"/>
        </w:rPr>
        <w:lastRenderedPageBreak/>
        <w:t>第</w:t>
      </w:r>
      <w:r>
        <w:rPr>
          <w:rStyle w:val="10"/>
          <w:rFonts w:ascii="黑体" w:eastAsia="黑体" w:hAnsi="黑体" w:hint="eastAsia"/>
          <w:b w:val="0"/>
        </w:rPr>
        <w:t>四部分 附件</w:t>
      </w:r>
    </w:p>
    <w:p w:rsidR="008B5BAA" w:rsidRDefault="008B5BAA">
      <w:pPr>
        <w:widowControl/>
        <w:jc w:val="left"/>
        <w:rPr>
          <w:rFonts w:ascii="仿宋" w:eastAsia="仿宋" w:hAnsi="仿宋"/>
          <w:kern w:val="44"/>
          <w:sz w:val="32"/>
          <w:szCs w:val="32"/>
        </w:rPr>
      </w:pPr>
    </w:p>
    <w:p w:rsidR="008B5BAA" w:rsidRDefault="00E9458D">
      <w:pPr>
        <w:widowControl/>
        <w:jc w:val="left"/>
        <w:rPr>
          <w:rFonts w:ascii="黑体" w:eastAsia="黑体" w:hAnsi="黑体"/>
          <w:bCs/>
          <w:kern w:val="44"/>
          <w:sz w:val="44"/>
          <w:szCs w:val="44"/>
        </w:rPr>
      </w:pPr>
      <w:r>
        <w:rPr>
          <w:rFonts w:ascii="仿宋" w:eastAsia="仿宋" w:hAnsi="仿宋" w:hint="eastAsia"/>
          <w:kern w:val="44"/>
          <w:sz w:val="32"/>
          <w:szCs w:val="32"/>
        </w:rPr>
        <w:t>附件1</w:t>
      </w:r>
    </w:p>
    <w:p w:rsidR="008B5BAA" w:rsidRDefault="00E9458D">
      <w:pPr>
        <w:spacing w:line="600" w:lineRule="exact"/>
        <w:jc w:val="center"/>
        <w:outlineLvl w:val="0"/>
        <w:rPr>
          <w:rFonts w:ascii="黑体" w:eastAsia="黑体" w:hAnsi="黑体" w:cs="方正小标宋简体"/>
          <w:sz w:val="36"/>
          <w:szCs w:val="36"/>
        </w:rPr>
      </w:pPr>
      <w:r>
        <w:rPr>
          <w:rFonts w:ascii="黑体" w:eastAsia="黑体" w:hAnsi="黑体" w:cs="方正小标宋简体" w:hint="eastAsia"/>
          <w:sz w:val="36"/>
          <w:szCs w:val="36"/>
        </w:rPr>
        <w:t>广元市利州区清河小学</w:t>
      </w:r>
    </w:p>
    <w:p w:rsidR="008B5BAA" w:rsidRDefault="00E9458D">
      <w:pPr>
        <w:spacing w:line="600" w:lineRule="exact"/>
        <w:jc w:val="center"/>
        <w:outlineLvl w:val="0"/>
        <w:rPr>
          <w:rFonts w:ascii="黑体" w:eastAsia="黑体" w:hAnsi="黑体" w:cs="方正小标宋简体"/>
          <w:sz w:val="36"/>
          <w:szCs w:val="36"/>
        </w:rPr>
      </w:pPr>
      <w:r>
        <w:rPr>
          <w:rFonts w:ascii="黑体" w:eastAsia="黑体" w:hAnsi="黑体" w:cs="方正小标宋简体" w:hint="eastAsia"/>
          <w:sz w:val="36"/>
          <w:szCs w:val="36"/>
        </w:rPr>
        <w:t>2020年部门整体支出绩效评价报告</w:t>
      </w:r>
    </w:p>
    <w:p w:rsidR="008B5BAA" w:rsidRDefault="008B5BAA">
      <w:pPr>
        <w:snapToGrid w:val="0"/>
        <w:spacing w:line="500" w:lineRule="exact"/>
        <w:ind w:firstLineChars="200" w:firstLine="560"/>
        <w:rPr>
          <w:rFonts w:ascii="黑体" w:eastAsia="黑体" w:hAnsi="黑体" w:cs="黑体"/>
          <w:sz w:val="28"/>
          <w:szCs w:val="28"/>
        </w:rPr>
      </w:pPr>
    </w:p>
    <w:p w:rsidR="008B5BAA" w:rsidRDefault="00E9458D">
      <w:pPr>
        <w:snapToGrid w:val="0"/>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一、部门（单位）概况</w:t>
      </w:r>
    </w:p>
    <w:p w:rsidR="008B5BAA" w:rsidRDefault="00E9458D">
      <w:pPr>
        <w:snapToGrid w:val="0"/>
        <w:spacing w:line="500" w:lineRule="exact"/>
        <w:ind w:firstLineChars="200" w:firstLine="560"/>
        <w:rPr>
          <w:rFonts w:ascii="楷体" w:eastAsia="楷体" w:hAnsi="楷体" w:cs="楷体"/>
          <w:sz w:val="28"/>
          <w:szCs w:val="28"/>
        </w:rPr>
      </w:pPr>
      <w:r>
        <w:rPr>
          <w:rFonts w:ascii="楷体" w:eastAsia="楷体" w:hAnsi="楷体" w:cs="楷体" w:hint="eastAsia"/>
          <w:sz w:val="28"/>
          <w:szCs w:val="28"/>
        </w:rPr>
        <w:t xml:space="preserve">（一）部门职能  </w:t>
      </w:r>
    </w:p>
    <w:p w:rsidR="008B5BAA" w:rsidRDefault="00E9458D">
      <w:pPr>
        <w:snapToGrid w:val="0"/>
        <w:spacing w:line="50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清</w:t>
      </w:r>
      <w:r>
        <w:rPr>
          <w:rFonts w:ascii="仿宋" w:eastAsia="仿宋" w:hAnsi="仿宋" w:cs="仿宋_GB2312" w:hint="eastAsia"/>
          <w:spacing w:val="-6"/>
          <w:sz w:val="28"/>
          <w:szCs w:val="28"/>
        </w:rPr>
        <w:t>河小学是经利州区编制委员会批准成立的，在区教育局领导下的一所农村小学校。实施小学义务教育，小学学历教育，是学校的主要工作职能。</w:t>
      </w:r>
    </w:p>
    <w:p w:rsidR="008B5BAA" w:rsidRDefault="00E9458D">
      <w:pPr>
        <w:snapToGrid w:val="0"/>
        <w:spacing w:line="500" w:lineRule="exact"/>
        <w:ind w:firstLineChars="200" w:firstLine="560"/>
        <w:rPr>
          <w:rFonts w:ascii="楷体" w:eastAsia="楷体" w:hAnsi="楷体" w:cs="楷体"/>
          <w:sz w:val="28"/>
          <w:szCs w:val="28"/>
        </w:rPr>
      </w:pPr>
      <w:r>
        <w:rPr>
          <w:rFonts w:ascii="楷体" w:eastAsia="楷体" w:hAnsi="楷体" w:cs="楷体" w:hint="eastAsia"/>
          <w:sz w:val="28"/>
          <w:szCs w:val="28"/>
        </w:rPr>
        <w:t>（二）机构情况</w:t>
      </w:r>
    </w:p>
    <w:p w:rsidR="008B5BAA" w:rsidRDefault="00E9458D">
      <w:pPr>
        <w:snapToGrid w:val="0"/>
        <w:spacing w:line="50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清河小学是区编制委员会命名的独立法人机构，为经费独立核算单位。</w:t>
      </w:r>
    </w:p>
    <w:p w:rsidR="008B5BAA" w:rsidRDefault="00E9458D">
      <w:pPr>
        <w:snapToGrid w:val="0"/>
        <w:spacing w:line="500" w:lineRule="exact"/>
        <w:ind w:firstLineChars="200" w:firstLine="560"/>
        <w:rPr>
          <w:rFonts w:ascii="楷体" w:eastAsia="楷体" w:hAnsi="楷体" w:cs="楷体"/>
          <w:sz w:val="28"/>
          <w:szCs w:val="28"/>
        </w:rPr>
      </w:pPr>
      <w:r>
        <w:rPr>
          <w:rFonts w:ascii="楷体" w:eastAsia="楷体" w:hAnsi="楷体" w:cs="楷体" w:hint="eastAsia"/>
          <w:sz w:val="28"/>
          <w:szCs w:val="28"/>
        </w:rPr>
        <w:t xml:space="preserve">（三）人员情况及增减变动原因  </w:t>
      </w:r>
    </w:p>
    <w:p w:rsidR="008B5BAA" w:rsidRDefault="00E9458D">
      <w:pPr>
        <w:snapToGrid w:val="0"/>
        <w:spacing w:line="50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我校编制人数9人，特岗1人，年末实有在编教职工10人。退休教职工7人。小学在校学生64人，其中留守儿童18人。64人全寄宿在校。</w:t>
      </w:r>
    </w:p>
    <w:p w:rsidR="008B5BAA" w:rsidRDefault="00E9458D">
      <w:pPr>
        <w:snapToGrid w:val="0"/>
        <w:spacing w:line="500" w:lineRule="exact"/>
        <w:ind w:firstLineChars="200" w:firstLine="560"/>
        <w:rPr>
          <w:rFonts w:ascii="黑体" w:eastAsia="黑体" w:hAnsi="黑体" w:cs="黑体"/>
          <w:sz w:val="28"/>
          <w:szCs w:val="28"/>
        </w:rPr>
      </w:pPr>
      <w:r>
        <w:rPr>
          <w:rFonts w:ascii="黑体" w:eastAsia="黑体" w:hAnsi="黑体" w:cs="黑体"/>
          <w:sz w:val="28"/>
          <w:szCs w:val="28"/>
        </w:rPr>
        <w:t>二、部门财政资金收支情况</w:t>
      </w:r>
    </w:p>
    <w:p w:rsidR="008B5BAA" w:rsidRDefault="00E9458D">
      <w:pPr>
        <w:snapToGrid w:val="0"/>
        <w:spacing w:line="500" w:lineRule="exact"/>
        <w:ind w:firstLineChars="200" w:firstLine="560"/>
        <w:rPr>
          <w:rFonts w:ascii="楷体" w:eastAsia="楷体" w:hAnsi="楷体" w:cs="楷体"/>
          <w:sz w:val="28"/>
          <w:szCs w:val="28"/>
        </w:rPr>
      </w:pPr>
      <w:r>
        <w:rPr>
          <w:rFonts w:ascii="楷体" w:eastAsia="楷体" w:hAnsi="楷体" w:cs="楷体" w:hint="eastAsia"/>
          <w:sz w:val="28"/>
          <w:szCs w:val="28"/>
        </w:rPr>
        <w:t>（一）部门财政资金收入情况</w:t>
      </w:r>
    </w:p>
    <w:p w:rsidR="008B5BAA" w:rsidRDefault="00E9458D">
      <w:pPr>
        <w:snapToGrid w:val="0"/>
        <w:spacing w:line="500" w:lineRule="exact"/>
        <w:ind w:firstLineChars="200" w:firstLine="560"/>
        <w:rPr>
          <w:rFonts w:ascii="仿宋" w:eastAsia="仿宋" w:hAnsi="仿宋" w:cs="仿宋_GB2312"/>
          <w:sz w:val="28"/>
          <w:szCs w:val="28"/>
        </w:rPr>
      </w:pPr>
      <w:r>
        <w:rPr>
          <w:rFonts w:ascii="仿宋" w:eastAsia="仿宋" w:hAnsi="仿宋" w:hint="eastAsia"/>
          <w:color w:val="000000" w:themeColor="text1"/>
          <w:sz w:val="28"/>
          <w:szCs w:val="28"/>
        </w:rPr>
        <w:t>2020年财政拨款收入总计</w:t>
      </w:r>
      <w:r>
        <w:rPr>
          <w:rFonts w:ascii="仿宋" w:eastAsia="仿宋" w:hAnsi="仿宋" w:hint="eastAsia"/>
          <w:sz w:val="28"/>
          <w:szCs w:val="28"/>
        </w:rPr>
        <w:t>207.10万元。</w:t>
      </w:r>
    </w:p>
    <w:p w:rsidR="008B5BAA" w:rsidRDefault="00E9458D">
      <w:pPr>
        <w:snapToGrid w:val="0"/>
        <w:spacing w:line="500" w:lineRule="exact"/>
        <w:ind w:firstLineChars="200" w:firstLine="560"/>
        <w:rPr>
          <w:rFonts w:ascii="仿宋" w:eastAsia="仿宋" w:hAnsi="仿宋" w:cs="仿宋_GB2312"/>
          <w:sz w:val="28"/>
          <w:szCs w:val="28"/>
        </w:rPr>
      </w:pPr>
      <w:r>
        <w:rPr>
          <w:rFonts w:ascii="仿宋" w:eastAsia="仿宋" w:hAnsi="仿宋" w:cs="仿宋_GB2312"/>
          <w:sz w:val="28"/>
          <w:szCs w:val="28"/>
        </w:rPr>
        <w:t>（二）部门财政资金支出情况</w:t>
      </w:r>
    </w:p>
    <w:p w:rsidR="008B5BAA" w:rsidRDefault="00E9458D">
      <w:pPr>
        <w:snapToGrid w:val="0"/>
        <w:spacing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2020年财政拨款支出合计</w:t>
      </w:r>
      <w:r>
        <w:rPr>
          <w:rFonts w:ascii="仿宋" w:eastAsia="仿宋" w:hAnsi="仿宋" w:hint="eastAsia"/>
          <w:sz w:val="28"/>
          <w:szCs w:val="28"/>
        </w:rPr>
        <w:t>193.99万元</w:t>
      </w:r>
      <w:r>
        <w:rPr>
          <w:rFonts w:ascii="仿宋" w:eastAsia="仿宋" w:hAnsi="仿宋" w:hint="eastAsia"/>
          <w:color w:val="000000" w:themeColor="text1"/>
          <w:sz w:val="28"/>
          <w:szCs w:val="28"/>
        </w:rPr>
        <w:t>。</w:t>
      </w:r>
    </w:p>
    <w:p w:rsidR="008B5BAA" w:rsidRDefault="00E9458D">
      <w:pPr>
        <w:snapToGrid w:val="0"/>
        <w:spacing w:line="500" w:lineRule="exact"/>
        <w:ind w:firstLineChars="200" w:firstLine="560"/>
        <w:rPr>
          <w:rFonts w:ascii="黑体" w:eastAsia="黑体" w:hAnsi="黑体" w:cs="黑体"/>
          <w:sz w:val="28"/>
          <w:szCs w:val="28"/>
        </w:rPr>
      </w:pPr>
      <w:r>
        <w:rPr>
          <w:rFonts w:ascii="黑体" w:eastAsia="黑体" w:hAnsi="黑体" w:cs="黑体"/>
          <w:sz w:val="28"/>
          <w:szCs w:val="28"/>
        </w:rPr>
        <w:t>三、部门整体预算绩效管理情况（根据适用指标体系进行调整）</w:t>
      </w:r>
    </w:p>
    <w:p w:rsidR="008B5BAA" w:rsidRDefault="00E9458D">
      <w:pPr>
        <w:snapToGrid w:val="0"/>
        <w:spacing w:line="500" w:lineRule="exact"/>
        <w:ind w:firstLineChars="200" w:firstLine="560"/>
        <w:rPr>
          <w:rFonts w:ascii="楷体" w:eastAsia="楷体" w:hAnsi="楷体" w:cs="楷体"/>
          <w:sz w:val="28"/>
          <w:szCs w:val="28"/>
        </w:rPr>
      </w:pPr>
      <w:r>
        <w:rPr>
          <w:rFonts w:ascii="楷体" w:eastAsia="楷体" w:hAnsi="楷体" w:cs="楷体" w:hint="eastAsia"/>
          <w:sz w:val="28"/>
          <w:szCs w:val="28"/>
        </w:rPr>
        <w:t>（一）部门预算管理</w:t>
      </w:r>
    </w:p>
    <w:p w:rsidR="008B5BAA" w:rsidRDefault="00E9458D">
      <w:pPr>
        <w:snapToGrid w:val="0"/>
        <w:spacing w:line="50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w:t>
      </w:r>
      <w:r>
        <w:rPr>
          <w:rFonts w:ascii="仿宋" w:eastAsia="仿宋" w:hAnsi="仿宋" w:cs="仿宋_GB2312"/>
          <w:sz w:val="28"/>
          <w:szCs w:val="28"/>
        </w:rPr>
        <w:t>部门绩效目标制定</w:t>
      </w:r>
    </w:p>
    <w:p w:rsidR="008B5BAA" w:rsidRDefault="00E9458D">
      <w:pPr>
        <w:snapToGrid w:val="0"/>
        <w:spacing w:line="50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lastRenderedPageBreak/>
        <w:t>（1）部门绩效目标充分考虑到各项资金的使用内容、范围、方向和预期效果，符合国民经济和社会发展规划，符合部门职能及事业发展规划。</w:t>
      </w:r>
    </w:p>
    <w:p w:rsidR="008B5BAA" w:rsidRDefault="00E9458D">
      <w:pPr>
        <w:snapToGrid w:val="0"/>
        <w:spacing w:line="50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（2）部门绩效目标从数量、质量、成本、时效以及经济效益、社会效益、生态效益、可持续影响、满意度等方面进行了细化和定量表述，具有可衡量性。</w:t>
      </w:r>
    </w:p>
    <w:p w:rsidR="008B5BAA" w:rsidRDefault="00E9458D">
      <w:pPr>
        <w:snapToGrid w:val="0"/>
        <w:spacing w:line="50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（3）绩效目标的设定经过了调查研究和科学论证，符合客观实际，能够在一定期限内如期实现。</w:t>
      </w:r>
    </w:p>
    <w:p w:rsidR="008B5BAA" w:rsidRDefault="00E9458D">
      <w:pPr>
        <w:snapToGrid w:val="0"/>
        <w:spacing w:line="50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（4）绩效目标相关指标设定与预算安排金额相对应，未超预算安排资金。</w:t>
      </w:r>
    </w:p>
    <w:p w:rsidR="008B5BAA" w:rsidRDefault="00E9458D">
      <w:pPr>
        <w:snapToGrid w:val="0"/>
        <w:spacing w:line="50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w:t>
      </w:r>
      <w:r>
        <w:rPr>
          <w:rFonts w:ascii="仿宋" w:eastAsia="仿宋" w:hAnsi="仿宋" w:cs="仿宋_GB2312"/>
          <w:sz w:val="28"/>
          <w:szCs w:val="28"/>
        </w:rPr>
        <w:t>预算编制</w:t>
      </w:r>
      <w:r>
        <w:rPr>
          <w:rFonts w:ascii="仿宋" w:eastAsia="仿宋" w:hAnsi="仿宋" w:cs="仿宋_GB2312" w:hint="eastAsia"/>
          <w:sz w:val="28"/>
          <w:szCs w:val="28"/>
        </w:rPr>
        <w:t>和执行</w:t>
      </w:r>
    </w:p>
    <w:p w:rsidR="008B5BAA" w:rsidRDefault="00E9458D">
      <w:pPr>
        <w:snapToGrid w:val="0"/>
        <w:spacing w:line="50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（1）部门预算报送时间严格按照财政部门预算编制要求的时间及时报送部门预算。预算编制完整、准确，基础信息和科目使用准确。</w:t>
      </w:r>
    </w:p>
    <w:p w:rsidR="008B5BAA" w:rsidRDefault="00E9458D">
      <w:pPr>
        <w:snapToGrid w:val="0"/>
        <w:spacing w:line="50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（2）严格执行预算，执行中一般不调整预算项目。年度预算收支平衡，人员支出按时间表进度执行，无挪用情况，完成部门经济和社会事业发展职能职责。</w:t>
      </w:r>
    </w:p>
    <w:p w:rsidR="008B5BAA" w:rsidRDefault="00E9458D">
      <w:pPr>
        <w:snapToGrid w:val="0"/>
        <w:spacing w:line="50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单、接待明细及公务卡支出小票，。</w:t>
      </w:r>
    </w:p>
    <w:p w:rsidR="008B5BAA" w:rsidRDefault="00E9458D">
      <w:pPr>
        <w:snapToGrid w:val="0"/>
        <w:spacing w:line="50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（4）按时送部门决算，决算数据真实准确、帐表一致，部门决算编制人员与供养人员系统一致。</w:t>
      </w:r>
    </w:p>
    <w:p w:rsidR="008B5BAA" w:rsidRDefault="00E9458D">
      <w:pPr>
        <w:snapToGrid w:val="0"/>
        <w:spacing w:line="500" w:lineRule="exact"/>
        <w:ind w:firstLineChars="200" w:firstLine="560"/>
        <w:rPr>
          <w:rFonts w:ascii="楷体" w:eastAsia="楷体" w:hAnsi="楷体" w:cs="楷体"/>
          <w:sz w:val="28"/>
          <w:szCs w:val="28"/>
        </w:rPr>
      </w:pPr>
      <w:r>
        <w:rPr>
          <w:rFonts w:ascii="楷体" w:eastAsia="楷体" w:hAnsi="楷体" w:cs="楷体" w:hint="eastAsia"/>
          <w:sz w:val="28"/>
          <w:szCs w:val="28"/>
        </w:rPr>
        <w:t>（二）专项预算管理。</w:t>
      </w:r>
    </w:p>
    <w:p w:rsidR="008B5BAA" w:rsidRDefault="00E9458D">
      <w:pPr>
        <w:snapToGrid w:val="0"/>
        <w:spacing w:line="50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1.专项预算编制情况</w:t>
      </w:r>
    </w:p>
    <w:p w:rsidR="008B5BAA" w:rsidRDefault="00E9458D">
      <w:pPr>
        <w:snapToGrid w:val="0"/>
        <w:spacing w:line="500" w:lineRule="exact"/>
        <w:ind w:firstLineChars="200" w:firstLine="560"/>
        <w:jc w:val="left"/>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各项专项预算的编制严格按照“二上二下”的程序，先由支出股</w:t>
      </w:r>
      <w:r>
        <w:rPr>
          <w:rFonts w:ascii="仿宋" w:eastAsia="仿宋" w:hAnsi="仿宋" w:cs="仿宋_GB2312" w:hint="eastAsia"/>
          <w:color w:val="000000" w:themeColor="text1"/>
          <w:sz w:val="28"/>
          <w:szCs w:val="28"/>
        </w:rPr>
        <w:lastRenderedPageBreak/>
        <w:t>室或下属学校根据年度工作目标提出当年的专项预算项目建议方案，经分管领导审核后由财务股汇总编制并呈局务会批准上报区财政。根据区财政下达的年度各类专项资金年度预算指标，分解下达各支出股室或下属学校，进一步完善专项预算方案。方案完善后，财务股统一汇总再次上报区财政。财政最终批复后，财务股将各类专项预算指标分解下达各支出股室和下属学校。</w:t>
      </w:r>
    </w:p>
    <w:p w:rsidR="008B5BAA" w:rsidRDefault="00E9458D">
      <w:pPr>
        <w:snapToGrid w:val="0"/>
        <w:spacing w:line="50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2.专项预算执行</w:t>
      </w:r>
    </w:p>
    <w:p w:rsidR="008B5BAA" w:rsidRDefault="00E9458D">
      <w:pPr>
        <w:snapToGrid w:val="0"/>
        <w:spacing w:line="50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对于上级或区本级下达的各类专项预算支出，严格按照预算批复的开支范围和标准执行，不准擅自调项、扩项、缩项，更不准拆借、挪用、挤占和随</w:t>
      </w:r>
      <w:r>
        <w:rPr>
          <w:rFonts w:ascii="仿宋" w:eastAsia="仿宋" w:hAnsi="仿宋" w:cs="仿宋_GB2312" w:hint="eastAsia"/>
          <w:spacing w:val="-6"/>
          <w:sz w:val="28"/>
          <w:szCs w:val="28"/>
        </w:rPr>
        <w:t>意扣压；资金拨付动向，按不同专项资金的要求执行，不准任意改变。</w:t>
      </w:r>
    </w:p>
    <w:p w:rsidR="008B5BAA" w:rsidRDefault="00E9458D">
      <w:pPr>
        <w:snapToGrid w:val="0"/>
        <w:spacing w:line="50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3.专项预算绩效目标完成情况</w:t>
      </w:r>
    </w:p>
    <w:p w:rsidR="008B5BAA" w:rsidRDefault="00E9458D">
      <w:pPr>
        <w:snapToGrid w:val="0"/>
        <w:spacing w:line="500" w:lineRule="exact"/>
        <w:ind w:firstLineChars="200" w:firstLine="560"/>
        <w:jc w:val="left"/>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2020年清河小学财政专项预算支出共</w:t>
      </w:r>
      <w:r>
        <w:rPr>
          <w:rFonts w:ascii="仿宋" w:eastAsia="仿宋" w:hAnsi="仿宋" w:hint="eastAsia"/>
          <w:sz w:val="28"/>
          <w:szCs w:val="28"/>
        </w:rPr>
        <w:t>193.99</w:t>
      </w:r>
      <w:r>
        <w:rPr>
          <w:rFonts w:ascii="仿宋" w:eastAsia="仿宋" w:hAnsi="仿宋" w:hint="eastAsia"/>
          <w:b/>
          <w:sz w:val="28"/>
          <w:szCs w:val="28"/>
        </w:rPr>
        <w:t>万元</w:t>
      </w:r>
      <w:r>
        <w:rPr>
          <w:rFonts w:ascii="仿宋" w:eastAsia="仿宋" w:hAnsi="仿宋" w:hint="eastAsia"/>
          <w:sz w:val="28"/>
          <w:szCs w:val="28"/>
        </w:rPr>
        <w:t>，</w:t>
      </w:r>
      <w:r>
        <w:rPr>
          <w:rFonts w:ascii="仿宋" w:eastAsia="仿宋" w:hAnsi="仿宋" w:cs="仿宋_GB2312" w:hint="eastAsia"/>
          <w:color w:val="000000" w:themeColor="text1"/>
          <w:sz w:val="28"/>
          <w:szCs w:val="28"/>
        </w:rPr>
        <w:t>完成预算率达到</w:t>
      </w:r>
      <w:r>
        <w:rPr>
          <w:rStyle w:val="ab"/>
          <w:rFonts w:ascii="仿宋" w:eastAsia="仿宋" w:hAnsi="仿宋" w:hint="eastAsia"/>
          <w:bCs/>
          <w:sz w:val="28"/>
          <w:szCs w:val="28"/>
        </w:rPr>
        <w:t>99.98</w:t>
      </w:r>
      <w:r>
        <w:rPr>
          <w:rStyle w:val="ab"/>
          <w:rFonts w:ascii="仿宋" w:eastAsia="仿宋" w:hAnsi="仿宋"/>
          <w:bCs/>
          <w:sz w:val="28"/>
          <w:szCs w:val="28"/>
        </w:rPr>
        <w:t>%</w:t>
      </w:r>
      <w:r>
        <w:rPr>
          <w:rFonts w:ascii="仿宋" w:eastAsia="仿宋" w:hAnsi="仿宋" w:cs="仿宋_GB2312" w:hint="eastAsia"/>
          <w:color w:val="000000" w:themeColor="text1"/>
          <w:sz w:val="28"/>
          <w:szCs w:val="28"/>
        </w:rPr>
        <w:t>。</w:t>
      </w:r>
    </w:p>
    <w:p w:rsidR="008B5BAA" w:rsidRDefault="00E9458D">
      <w:pPr>
        <w:snapToGrid w:val="0"/>
        <w:spacing w:line="500" w:lineRule="exact"/>
        <w:ind w:firstLineChars="200" w:firstLine="560"/>
        <w:rPr>
          <w:rFonts w:ascii="黑体" w:eastAsia="黑体" w:hAnsi="黑体" w:cs="黑体"/>
          <w:sz w:val="28"/>
          <w:szCs w:val="28"/>
        </w:rPr>
      </w:pPr>
      <w:r>
        <w:rPr>
          <w:rFonts w:ascii="黑体" w:eastAsia="黑体" w:hAnsi="黑体" w:cs="黑体"/>
          <w:sz w:val="28"/>
          <w:szCs w:val="28"/>
        </w:rPr>
        <w:t>四、评价结论及建议</w:t>
      </w:r>
    </w:p>
    <w:p w:rsidR="008B5BAA" w:rsidRDefault="00E9458D">
      <w:pPr>
        <w:snapToGrid w:val="0"/>
        <w:spacing w:line="500" w:lineRule="exact"/>
        <w:ind w:firstLineChars="200" w:firstLine="560"/>
        <w:rPr>
          <w:rFonts w:ascii="楷体" w:eastAsia="楷体" w:hAnsi="楷体" w:cs="楷体"/>
          <w:sz w:val="28"/>
          <w:szCs w:val="28"/>
        </w:rPr>
      </w:pPr>
      <w:r>
        <w:rPr>
          <w:rFonts w:ascii="楷体" w:eastAsia="楷体" w:hAnsi="楷体" w:cs="楷体" w:hint="eastAsia"/>
          <w:sz w:val="28"/>
          <w:szCs w:val="28"/>
        </w:rPr>
        <w:t>（一）评价结论</w:t>
      </w:r>
    </w:p>
    <w:p w:rsidR="008B5BAA" w:rsidRDefault="00E9458D">
      <w:pPr>
        <w:snapToGrid w:val="0"/>
        <w:spacing w:line="500" w:lineRule="exact"/>
        <w:ind w:firstLineChars="200" w:firstLine="560"/>
        <w:rPr>
          <w:rFonts w:ascii="仿宋" w:eastAsia="仿宋" w:hAnsi="仿宋" w:cs="仿宋_GB2312"/>
          <w:color w:val="000000" w:themeColor="text1"/>
          <w:sz w:val="28"/>
          <w:szCs w:val="28"/>
        </w:rPr>
      </w:pPr>
      <w:r>
        <w:rPr>
          <w:rFonts w:ascii="仿宋" w:eastAsia="仿宋" w:hAnsi="仿宋" w:cs="仿宋_GB2312" w:hint="eastAsia"/>
          <w:sz w:val="28"/>
          <w:szCs w:val="28"/>
        </w:rPr>
        <w:t>从总体上看，部门整体绩效目标依据充分，整体绩效目标与部门履职相符，基本支出预算编制合理，项目支出预算准确；组织管理机构健全，规章制度完善，资金使用规范合理；预算执行、预算管理、资产管理、职责履行绩效评价目</w:t>
      </w:r>
      <w:r>
        <w:rPr>
          <w:rFonts w:ascii="仿宋" w:eastAsia="仿宋" w:hAnsi="仿宋" w:cs="仿宋_GB2312" w:hint="eastAsia"/>
          <w:color w:val="000000" w:themeColor="text1"/>
          <w:sz w:val="28"/>
          <w:szCs w:val="28"/>
        </w:rPr>
        <w:t>标实现较为理想，达到预期目的。部门整体绩效评价得分95.5分。</w:t>
      </w:r>
    </w:p>
    <w:p w:rsidR="008B5BAA" w:rsidRDefault="00E9458D">
      <w:pPr>
        <w:snapToGrid w:val="0"/>
        <w:spacing w:line="500" w:lineRule="exact"/>
        <w:ind w:firstLineChars="200" w:firstLine="560"/>
        <w:rPr>
          <w:rFonts w:ascii="楷体" w:eastAsia="楷体" w:hAnsi="楷体" w:cs="楷体"/>
          <w:sz w:val="28"/>
          <w:szCs w:val="28"/>
        </w:rPr>
      </w:pPr>
      <w:r>
        <w:rPr>
          <w:rFonts w:ascii="楷体" w:eastAsia="楷体" w:hAnsi="楷体" w:cs="楷体" w:hint="eastAsia"/>
          <w:sz w:val="28"/>
          <w:szCs w:val="28"/>
        </w:rPr>
        <w:t>（二）存在问题</w:t>
      </w:r>
    </w:p>
    <w:p w:rsidR="008B5BAA" w:rsidRDefault="00E9458D">
      <w:pPr>
        <w:snapToGrid w:val="0"/>
        <w:spacing w:line="500" w:lineRule="exact"/>
        <w:ind w:firstLineChars="200" w:firstLine="560"/>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预算追加经费下达时间比较晚，造成预算执行率偏差。</w:t>
      </w:r>
    </w:p>
    <w:p w:rsidR="008B5BAA" w:rsidRDefault="00E9458D">
      <w:pPr>
        <w:snapToGrid w:val="0"/>
        <w:spacing w:line="500" w:lineRule="exact"/>
        <w:ind w:firstLineChars="200" w:firstLine="560"/>
        <w:rPr>
          <w:rFonts w:ascii="楷体" w:eastAsia="楷体" w:hAnsi="楷体" w:cs="楷体"/>
          <w:sz w:val="28"/>
          <w:szCs w:val="28"/>
        </w:rPr>
      </w:pPr>
      <w:r>
        <w:rPr>
          <w:rFonts w:ascii="楷体" w:eastAsia="楷体" w:hAnsi="楷体" w:cs="楷体" w:hint="eastAsia"/>
          <w:sz w:val="28"/>
          <w:szCs w:val="28"/>
        </w:rPr>
        <w:t>（三）改进建议</w:t>
      </w:r>
    </w:p>
    <w:p w:rsidR="008B5BAA" w:rsidRDefault="00E9458D">
      <w:pPr>
        <w:snapToGrid w:val="0"/>
        <w:spacing w:line="50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1.进一步完善各类项目支出的支出标准，严格按项目和进度执行预算，增强预算的约束力和严肃性。</w:t>
      </w:r>
    </w:p>
    <w:p w:rsidR="008B5BAA" w:rsidRDefault="00E9458D">
      <w:pPr>
        <w:snapToGrid w:val="0"/>
        <w:spacing w:line="50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2.落实预算执行分析，及时了解预算执行差异，合理调整、纠正</w:t>
      </w:r>
      <w:r>
        <w:rPr>
          <w:rFonts w:ascii="仿宋" w:eastAsia="仿宋" w:hAnsi="仿宋" w:cs="仿宋_GB2312" w:hint="eastAsia"/>
          <w:sz w:val="28"/>
          <w:szCs w:val="28"/>
        </w:rPr>
        <w:lastRenderedPageBreak/>
        <w:t>预算执行偏差，切实提高部门预算收支管理水平。</w:t>
      </w:r>
    </w:p>
    <w:p w:rsidR="008B5BAA" w:rsidRDefault="00E9458D">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8B5BAA" w:rsidRDefault="00E9458D">
      <w:pPr>
        <w:widowControl/>
        <w:jc w:val="left"/>
        <w:rPr>
          <w:rStyle w:val="10"/>
          <w:rFonts w:ascii="仿宋" w:eastAsia="仿宋" w:hAnsi="仿宋"/>
        </w:rPr>
      </w:pPr>
      <w:r>
        <w:rPr>
          <w:rStyle w:val="10"/>
          <w:rFonts w:ascii="仿宋" w:eastAsia="仿宋" w:hAnsi="仿宋" w:hint="eastAsia"/>
        </w:rPr>
        <w:lastRenderedPageBreak/>
        <w:t>附件2</w:t>
      </w:r>
    </w:p>
    <w:p w:rsidR="008B5BAA" w:rsidRDefault="008B5BAA">
      <w:pPr>
        <w:spacing w:line="580" w:lineRule="exact"/>
        <w:jc w:val="center"/>
        <w:rPr>
          <w:rFonts w:ascii="黑体" w:eastAsia="黑体" w:hAnsi="黑体" w:cs="方正小标宋简体"/>
          <w:sz w:val="44"/>
          <w:szCs w:val="44"/>
        </w:rPr>
      </w:pPr>
    </w:p>
    <w:p w:rsidR="008B5BAA" w:rsidRDefault="00E9458D">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广元市利州区清河小学</w:t>
      </w:r>
    </w:p>
    <w:p w:rsidR="008B5BAA" w:rsidRDefault="00E9458D">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2020年学生营养改善计划项目支出</w:t>
      </w:r>
    </w:p>
    <w:p w:rsidR="008B5BAA" w:rsidRDefault="00E9458D">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绩效评价报告</w:t>
      </w:r>
    </w:p>
    <w:p w:rsidR="008B5BAA" w:rsidRDefault="008B5BAA">
      <w:pPr>
        <w:spacing w:line="540" w:lineRule="exact"/>
        <w:ind w:firstLineChars="200" w:firstLine="560"/>
        <w:rPr>
          <w:rFonts w:ascii="仿宋" w:eastAsia="仿宋" w:hAnsi="仿宋"/>
          <w:sz w:val="28"/>
          <w:szCs w:val="28"/>
        </w:rPr>
      </w:pPr>
    </w:p>
    <w:p w:rsidR="008B5BAA" w:rsidRDefault="00E9458D">
      <w:pPr>
        <w:spacing w:line="540" w:lineRule="exact"/>
        <w:ind w:firstLineChars="200" w:firstLine="560"/>
        <w:rPr>
          <w:rFonts w:ascii="黑体" w:eastAsia="黑体" w:hAnsi="黑体" w:cs="黑体"/>
          <w:sz w:val="28"/>
          <w:szCs w:val="28"/>
        </w:rPr>
      </w:pPr>
      <w:r>
        <w:rPr>
          <w:rFonts w:ascii="黑体" w:eastAsia="黑体" w:hAnsi="黑体" w:cs="黑体" w:hint="eastAsia"/>
          <w:sz w:val="28"/>
          <w:szCs w:val="28"/>
        </w:rPr>
        <w:t>一、评价工作开展及项目情况</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（一）项目选点</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利州区清河小学学生营养改善计划项目已实施8个年度（2012年开始实施），本次绩效评价期间为2020年度。</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本项目主要对农村义务教育阶段学校根据《四川省教育厅关于追加下达地方试点县2015年农村义务教育学生营养改善计划提标省级补助资金预算的通知》（川财教【2015】10号）文件要求，按照每人每天4元标准进行补助。2020年学校受补助学生64人，全部采用食堂供餐模式。项目资金由中央、省、市、区四级财政共同分担。</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通过项目的实施进一步贯彻落实了《国务院办公厅关于实施农村义务教育学生营养改善计划的意见》（国办发【2011】54号）、《四川省人民政府办公厅关于实施农村义务教育学生营养改善计划地方试点工作的通知》（川办发【2012】21号）和省、市相关会议精神，切实改善农村学生营养状况，提高农村学生健康水平。</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（二）绩效评价指标体系</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绩效评价指标是指衡量绩效目标实现程度的考核工具。绩效评价指标的确定应当遵循以下原则：相关性原则、重要性原则、可比性原则、系统性原则、经济性原则。绩效评价指标分为共性指标和个性指标，共性指标由财政部门统一制定，个性指标由财政部门制定。</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lastRenderedPageBreak/>
        <w:t>被评价项目绩效评价指标体系设置三个一级指标、八个二级指标、十五个三级指标。</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（1）一级指标：设置了项目完成、项目效益、满意度指标三个。</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（2）二级指标：项目完成设置了数量目标、质量指标、时效指标和成本指标四个，项目效益设置经济效益、社会效益和可持续影响指标三个，满意度指标设置社会满意度指标一个。</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3）三级指标：数量指标设置资助总数和建档立卡学生补助人数2个，质量指标设置补助人数比例和建档立卡补助人数比例指标2个；时效指标设置补助及时指标1个，成本指标设置人均补助标准指标1个，经济效益指标设置增收指标1个；社会效益设置减轻教育负担、提高健康水平和政策知晓率指标3个；可持续影响指标设置小学资助年限、初中资助年限和可持续发展影响指标32个；社会满意度指标设置学生满意度、家长满意度指标2个。</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（三）评价标准和评价方法</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1.评价标准</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绩效评价标准是指衡量财政支出绩效目标完成程度的尺度。绩效评价标准具体包括：计划标准、行业标准、历史标准、其他经财政部门确认的标准。</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2.评价方法</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绩效评价方法主要采用成本效益分析法、比较法、因素分析法、最低成本法、公众评判法等。</w:t>
      </w:r>
    </w:p>
    <w:p w:rsidR="008B5BAA" w:rsidRDefault="00E9458D">
      <w:pPr>
        <w:spacing w:line="540" w:lineRule="exact"/>
        <w:ind w:firstLineChars="200" w:firstLine="560"/>
        <w:rPr>
          <w:rFonts w:ascii="黑体" w:eastAsia="黑体" w:hAnsi="黑体" w:cs="黑体"/>
          <w:sz w:val="28"/>
          <w:szCs w:val="28"/>
        </w:rPr>
      </w:pPr>
      <w:r>
        <w:rPr>
          <w:rFonts w:ascii="黑体" w:eastAsia="黑体" w:hAnsi="黑体" w:cs="黑体" w:hint="eastAsia"/>
          <w:sz w:val="28"/>
          <w:szCs w:val="28"/>
        </w:rPr>
        <w:t>二、评价结论及绩效分析</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（一）评价结论</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2020年度农村义务教育阶段学校营养改善计划项目实现了学校营养改善计划学生全覆盖，项目受益学生64人，营养餐财政拨款资</w:t>
      </w:r>
      <w:r>
        <w:rPr>
          <w:rFonts w:ascii="仿宋" w:eastAsia="仿宋" w:hAnsi="仿宋" w:hint="eastAsia"/>
          <w:sz w:val="28"/>
          <w:szCs w:val="28"/>
        </w:rPr>
        <w:lastRenderedPageBreak/>
        <w:t>金36212.00元，食堂供餐率达到100%。项目目标明确、资金到位率高、资金使用规范、组织监管体系完善，项目质量达到相关行业标准，符合经济社会发展和客观实际的要求，达到预期绩效目标要求。</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（二）绩效分析</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1、项目决策</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1）必要性：该项目进一步贯彻落实了《国务院办公厅关于实施农村义务教育学生营养改善计划的意见》（国办发【2011】54号）、《四川省人民政府办公厅关于实施农村义务教育学生营养改善计划地方试点工作的通知》（川办发【2012】21号）文件要求。改善了农村学生营养状况，促进了学生身心健康的发展，有力支持了教育事业的发展，减轻了贫困家庭的经济负担，广大群众看到了变化，有了实实在在的“获得感”。对加快农村教育发展，促进教育公平起了积极的作用。</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2）可行性：上级教育主管部门制定了《广元市教育局关于加强学校食堂财务管理的实施意见》（广教发〔2016〕13号），进一步完善了食堂资金管理使用及内控的相关制度。利州区人民政府高度重视学生营养改善计划工作，将此项工作纳入区重点民生工程，区教育局作为学生营养改善计划的实施部门，与各供餐学校、供货单位、从业人员、管理人员层层签订了目标责任书，明确岗位职责，层层压实责任，有效推进了营养改善计划各项工作的推进</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2、项目管理</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在资金使用上，各校按照市、区教育主管部门要求，制定了相应的财务管理制度，做到专款专用、专项核算。每周公布带量食谱及核算价格，校长、教师“陪餐”费用自理。资金支出手续齐全，收支票据规范，原始凭证合规，无白条抵账、不合规凭证和大额现金支付等</w:t>
      </w:r>
      <w:r>
        <w:rPr>
          <w:rFonts w:ascii="仿宋" w:eastAsia="仿宋" w:hAnsi="仿宋" w:hint="eastAsia"/>
          <w:sz w:val="28"/>
          <w:szCs w:val="28"/>
        </w:rPr>
        <w:lastRenderedPageBreak/>
        <w:t>现象，无超范围使用或挪作他用的现象，确保了膳食补助资金足额用于学生营养改善。用于日常运转的配套资金和食堂聘用人员工资、设备设施购置等费用部分均纳入年度财政预算管理，保障了实施学生营养改善计划所需资金的正常运转。</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3、项目绩效</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（1）项目目标完成情况。</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2020年度学校农村义务教育阶段学校营养改善计划补助资金覆盖率达到100%，食堂供餐率达到100%。营养改善计划资金按月结算并拨付到位。区食品监督部门、市场监督管理部门定期抽查供餐学校食品及进货验收资料，已抽检的供餐食品质量符合要求；随机突击查看供餐单位现场，无供餐数量和品种与公示菜谱不相符的现象。</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（2）项目效益情况（经济效益、项目社会效益、生态效益、可持续效益、公平性、资金使用效率、受益群体满意度等）。</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项目的实施改善了农村学生营养状况，促进了学生身心健康的发展，有力支持了教育事业的发展，减轻了贫困家庭的经济负担，广大群众看到了变化，有了实实在在的“获得感”。学生营养状况改善明显，促进了学生身心的健康发展。从学校2020年《国家学生体质健康标准》测试和学生调查问卷结果显示，与往年同期相比，学校学生平均身高、肺活量有所增加，学生肥胖现象有所减少，学习能力有所提高。在区委、区政府、区教育局高度重视下，学校积极开展学生行为习惯教育，学生厌食偏食现象明显改善，养成良好的就餐习惯。</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通过问卷调查、电话访问、现场走访等形式，对学生、教师和学生家长等进行的调查反映，营养改善计划相关政策知晓率和受益满意度达98%以上。广大师生和社会公众对实施学生营养改善计划信任度高、认同感强，社会反响好。</w:t>
      </w:r>
    </w:p>
    <w:p w:rsidR="008B5BAA" w:rsidRDefault="00E9458D">
      <w:pPr>
        <w:spacing w:line="540" w:lineRule="exact"/>
        <w:ind w:firstLineChars="200" w:firstLine="560"/>
        <w:rPr>
          <w:rFonts w:ascii="黑体" w:eastAsia="黑体" w:hAnsi="黑体" w:cs="黑体"/>
          <w:sz w:val="28"/>
          <w:szCs w:val="28"/>
        </w:rPr>
      </w:pPr>
      <w:r>
        <w:rPr>
          <w:rFonts w:ascii="黑体" w:eastAsia="黑体" w:hAnsi="黑体" w:cs="黑体" w:hint="eastAsia"/>
          <w:sz w:val="28"/>
          <w:szCs w:val="28"/>
        </w:rPr>
        <w:lastRenderedPageBreak/>
        <w:t>三、存在主要问题</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（一）营养配餐能力不足。学校地处偏远，缺乏营养配餐、科学饮食方面的指导，难以提供科学合理的营养食谱，制约了学生营养的科学化、合理化。</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（二）学生饮食习惯不健康。部分学生存在偏食、挑食等不良饮食习惯，缺乏科学合理的营养膳食观念。</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 xml:space="preserve">（三）每年除营养改善计划配套资金外，还要配备食堂建设、从业人员薪酬、食堂设施设备配备等资金，学校财政压力较大。 </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四、相关措施建议</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（一）做好宣传教育工作。通过多种形式，向社会广泛宣传营养改善计划政策措施，引导社会和家长正确认识营养改善计划政策内涵，普及营养科学知识，引导学生树立科学的营养观念、养成健康的饮食习惯。</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（二）加大学校食堂从业人员培训力度，提高学校营养配餐能力。</w:t>
      </w:r>
    </w:p>
    <w:p w:rsidR="008B5BAA" w:rsidRDefault="00E9458D">
      <w:pPr>
        <w:widowControl/>
        <w:jc w:val="left"/>
        <w:rPr>
          <w:rFonts w:ascii="黑体" w:eastAsia="黑体" w:hAnsi="黑体"/>
          <w:color w:val="000000" w:themeColor="text1"/>
          <w:sz w:val="44"/>
          <w:szCs w:val="44"/>
        </w:rPr>
      </w:pPr>
      <w:r>
        <w:rPr>
          <w:rFonts w:ascii="黑体" w:eastAsia="黑体" w:hAnsi="黑体"/>
          <w:color w:val="000000" w:themeColor="text1"/>
          <w:sz w:val="44"/>
          <w:szCs w:val="44"/>
        </w:rPr>
        <w:br w:type="page"/>
      </w:r>
    </w:p>
    <w:p w:rsidR="008B5BAA" w:rsidRDefault="00E9458D">
      <w:pPr>
        <w:jc w:val="center"/>
        <w:rPr>
          <w:rStyle w:val="10"/>
          <w:rFonts w:ascii="黑体" w:eastAsia="黑体" w:hAnsi="黑体"/>
          <w:b w:val="0"/>
        </w:rPr>
      </w:pPr>
      <w:r>
        <w:rPr>
          <w:rFonts w:ascii="黑体" w:eastAsia="黑体" w:hAnsi="黑体" w:hint="eastAsia"/>
          <w:sz w:val="44"/>
          <w:szCs w:val="44"/>
        </w:rPr>
        <w:lastRenderedPageBreak/>
        <w:t>第</w:t>
      </w:r>
      <w:r>
        <w:rPr>
          <w:rStyle w:val="10"/>
          <w:rFonts w:ascii="黑体" w:eastAsia="黑体" w:hAnsi="黑体" w:hint="eastAsia"/>
          <w:b w:val="0"/>
        </w:rPr>
        <w:t>五部分 附表</w:t>
      </w:r>
    </w:p>
    <w:p w:rsidR="008B5BAA" w:rsidRDefault="008B5BAA">
      <w:pPr>
        <w:spacing w:line="540" w:lineRule="exact"/>
        <w:ind w:firstLineChars="200" w:firstLine="560"/>
        <w:rPr>
          <w:rFonts w:ascii="仿宋" w:eastAsia="仿宋" w:hAnsi="仿宋"/>
          <w:sz w:val="28"/>
          <w:szCs w:val="28"/>
        </w:rPr>
      </w:pP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一、收入支出决算总表</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二、收入总表</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三、支出总表</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四、财政拨款收入支出决算总表</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五、财政拨款支出决算明细表（政府经济分类科目）</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六、一般公共预算财政拨款支出决算表</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七、一般公共预算财政拨款支出决算明细表</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八、一般公共预算财政拨款基本支出决算表</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九、一般公共预算财政拨款项目支出决算表</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十、一般公共预算财政拨款“三公”经费支出决算表</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十一、政府性基金预算财政拨款收入支出决算表</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十二、政府性基金预算财政拨款“三公”经费支出决算表</w:t>
      </w:r>
    </w:p>
    <w:p w:rsidR="008B5BAA" w:rsidRDefault="00E9458D">
      <w:pPr>
        <w:spacing w:line="540" w:lineRule="exact"/>
        <w:ind w:firstLineChars="200" w:firstLine="560"/>
        <w:rPr>
          <w:rFonts w:ascii="仿宋" w:eastAsia="仿宋" w:hAnsi="仿宋"/>
          <w:sz w:val="28"/>
          <w:szCs w:val="28"/>
        </w:rPr>
      </w:pPr>
      <w:r>
        <w:rPr>
          <w:rFonts w:ascii="仿宋" w:eastAsia="仿宋" w:hAnsi="仿宋" w:hint="eastAsia"/>
          <w:sz w:val="28"/>
          <w:szCs w:val="28"/>
        </w:rPr>
        <w:t>十三、国有资本经营预算支出决算表</w:t>
      </w:r>
    </w:p>
    <w:p w:rsidR="008B5BAA" w:rsidRDefault="008B5BAA">
      <w:pPr>
        <w:spacing w:line="540" w:lineRule="exact"/>
        <w:ind w:firstLineChars="200" w:firstLine="560"/>
        <w:rPr>
          <w:sz w:val="28"/>
          <w:szCs w:val="28"/>
        </w:rPr>
      </w:pPr>
    </w:p>
    <w:p w:rsidR="008B5BAA" w:rsidRDefault="008B5BAA">
      <w:pPr>
        <w:spacing w:line="540" w:lineRule="exact"/>
        <w:ind w:firstLineChars="200" w:firstLine="560"/>
        <w:rPr>
          <w:sz w:val="28"/>
          <w:szCs w:val="28"/>
        </w:rPr>
      </w:pPr>
    </w:p>
    <w:p w:rsidR="008B5BAA" w:rsidRDefault="008B5BAA">
      <w:pPr>
        <w:pStyle w:val="2"/>
        <w:spacing w:before="0" w:after="0" w:line="540" w:lineRule="exact"/>
        <w:ind w:firstLineChars="200" w:firstLine="560"/>
        <w:rPr>
          <w:rStyle w:val="10"/>
          <w:rFonts w:ascii="仿宋" w:eastAsia="仿宋" w:hAnsi="仿宋"/>
          <w:sz w:val="28"/>
          <w:szCs w:val="28"/>
        </w:rPr>
      </w:pPr>
    </w:p>
    <w:p w:rsidR="008B5BAA" w:rsidRDefault="00E9458D">
      <w:pPr>
        <w:pStyle w:val="2"/>
        <w:rPr>
          <w:rFonts w:ascii="仿宋" w:eastAsia="仿宋" w:hAnsi="仿宋"/>
        </w:rPr>
      </w:pPr>
      <w:r>
        <w:rPr>
          <w:rStyle w:val="10"/>
          <w:rFonts w:ascii="仿宋" w:eastAsia="仿宋" w:hAnsi="仿宋" w:hint="eastAsia"/>
          <w:sz w:val="28"/>
          <w:szCs w:val="28"/>
        </w:rPr>
        <w:t xml:space="preserve"> </w:t>
      </w:r>
      <w:bookmarkEnd w:id="50"/>
      <w:bookmarkEnd w:id="51"/>
    </w:p>
    <w:sectPr w:rsidR="008B5BAA">
      <w:headerReference w:type="default" r:id="rId17"/>
      <w:footerReference w:type="default" r:id="rId18"/>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61B" w:rsidRDefault="002D361B">
      <w:r>
        <w:separator/>
      </w:r>
    </w:p>
  </w:endnote>
  <w:endnote w:type="continuationSeparator" w:id="0">
    <w:p w:rsidR="002D361B" w:rsidRDefault="002D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781956"/>
    </w:sdtPr>
    <w:sdtEndPr/>
    <w:sdtContent>
      <w:p w:rsidR="008B5BAA" w:rsidRDefault="00E9458D">
        <w:pPr>
          <w:pStyle w:val="a7"/>
          <w:jc w:val="center"/>
        </w:pPr>
        <w:r>
          <w:fldChar w:fldCharType="begin"/>
        </w:r>
        <w:r>
          <w:instrText>PAGE   \* MERGEFORMAT</w:instrText>
        </w:r>
        <w:r>
          <w:fldChar w:fldCharType="separate"/>
        </w:r>
        <w:r w:rsidR="00200E3D" w:rsidRPr="00200E3D">
          <w:rPr>
            <w:noProof/>
            <w:lang w:val="zh-CN"/>
          </w:rPr>
          <w:t>4</w:t>
        </w:r>
        <w:r>
          <w:fldChar w:fldCharType="end"/>
        </w:r>
      </w:p>
    </w:sdtContent>
  </w:sdt>
  <w:p w:rsidR="008B5BAA" w:rsidRDefault="008B5BA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61B" w:rsidRDefault="002D361B">
      <w:r>
        <w:separator/>
      </w:r>
    </w:p>
  </w:footnote>
  <w:footnote w:type="continuationSeparator" w:id="0">
    <w:p w:rsidR="002D361B" w:rsidRDefault="002D36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BAA" w:rsidRDefault="008B5BAA">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1" w15:restartNumberingAfterBreak="0">
    <w:nsid w:val="E2FA047D"/>
    <w:multiLevelType w:val="singleLevel"/>
    <w:tmpl w:val="E2FA047D"/>
    <w:lvl w:ilvl="0">
      <w:start w:val="3"/>
      <w:numFmt w:val="chineseCounting"/>
      <w:suff w:val="space"/>
      <w:lvlText w:val="第%1部分"/>
      <w:lvlJc w:val="left"/>
      <w:rPr>
        <w:rFonts w:hint="eastAsia"/>
      </w:rPr>
    </w:lvl>
  </w:abstractNum>
  <w:abstractNum w:abstractNumId="2" w15:restartNumberingAfterBreak="0">
    <w:nsid w:val="0F07BDEB"/>
    <w:multiLevelType w:val="singleLevel"/>
    <w:tmpl w:val="0F07BDEB"/>
    <w:lvl w:ilvl="0">
      <w:start w:val="1"/>
      <w:numFmt w:val="decimal"/>
      <w:lvlText w:val="%1."/>
      <w:lvlJc w:val="left"/>
      <w:pPr>
        <w:tabs>
          <w:tab w:val="left" w:pos="312"/>
        </w:tabs>
      </w:pPr>
    </w:lvl>
  </w:abstractNum>
  <w:abstractNum w:abstractNumId="3" w15:restartNumberingAfterBreak="0">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15:restartNumberingAfterBreak="0">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5272C"/>
    <w:rsid w:val="0006487A"/>
    <w:rsid w:val="00065F8F"/>
    <w:rsid w:val="000768F2"/>
    <w:rsid w:val="0009184B"/>
    <w:rsid w:val="00094044"/>
    <w:rsid w:val="0009593C"/>
    <w:rsid w:val="000B047F"/>
    <w:rsid w:val="000B30C6"/>
    <w:rsid w:val="000B48C7"/>
    <w:rsid w:val="000B5923"/>
    <w:rsid w:val="000B5A48"/>
    <w:rsid w:val="000B6FF3"/>
    <w:rsid w:val="000C3467"/>
    <w:rsid w:val="000C3CA6"/>
    <w:rsid w:val="000D1267"/>
    <w:rsid w:val="000D1D50"/>
    <w:rsid w:val="000D5782"/>
    <w:rsid w:val="000E6613"/>
    <w:rsid w:val="000E7119"/>
    <w:rsid w:val="00114E9B"/>
    <w:rsid w:val="00142CA9"/>
    <w:rsid w:val="0014729F"/>
    <w:rsid w:val="00157BAB"/>
    <w:rsid w:val="001614F6"/>
    <w:rsid w:val="001654D1"/>
    <w:rsid w:val="0018106D"/>
    <w:rsid w:val="001877A7"/>
    <w:rsid w:val="00191536"/>
    <w:rsid w:val="00196687"/>
    <w:rsid w:val="001B73A2"/>
    <w:rsid w:val="001C0962"/>
    <w:rsid w:val="001D7531"/>
    <w:rsid w:val="001E737D"/>
    <w:rsid w:val="001F0592"/>
    <w:rsid w:val="001F7506"/>
    <w:rsid w:val="002006CD"/>
    <w:rsid w:val="00200E3D"/>
    <w:rsid w:val="00202B36"/>
    <w:rsid w:val="00204B7A"/>
    <w:rsid w:val="0021101A"/>
    <w:rsid w:val="00220536"/>
    <w:rsid w:val="00235629"/>
    <w:rsid w:val="00260C38"/>
    <w:rsid w:val="002616C0"/>
    <w:rsid w:val="002662AA"/>
    <w:rsid w:val="00280496"/>
    <w:rsid w:val="00295495"/>
    <w:rsid w:val="002B2613"/>
    <w:rsid w:val="002B41FE"/>
    <w:rsid w:val="002D361B"/>
    <w:rsid w:val="002E1C32"/>
    <w:rsid w:val="002F1818"/>
    <w:rsid w:val="002F567B"/>
    <w:rsid w:val="00303037"/>
    <w:rsid w:val="00320320"/>
    <w:rsid w:val="003216A9"/>
    <w:rsid w:val="00324C77"/>
    <w:rsid w:val="0037013F"/>
    <w:rsid w:val="00380C92"/>
    <w:rsid w:val="003A484F"/>
    <w:rsid w:val="003B0BE0"/>
    <w:rsid w:val="003B0C1B"/>
    <w:rsid w:val="003B0ED3"/>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0BA8"/>
    <w:rsid w:val="0048263A"/>
    <w:rsid w:val="00487E5D"/>
    <w:rsid w:val="004A55C6"/>
    <w:rsid w:val="004A711F"/>
    <w:rsid w:val="004B199D"/>
    <w:rsid w:val="004B4690"/>
    <w:rsid w:val="004E0A2D"/>
    <w:rsid w:val="004E206B"/>
    <w:rsid w:val="004E6DF7"/>
    <w:rsid w:val="004F0FBD"/>
    <w:rsid w:val="00505A47"/>
    <w:rsid w:val="00512FDA"/>
    <w:rsid w:val="00520DA0"/>
    <w:rsid w:val="005664BB"/>
    <w:rsid w:val="0057481D"/>
    <w:rsid w:val="0058486E"/>
    <w:rsid w:val="005A28D0"/>
    <w:rsid w:val="005D1C8B"/>
    <w:rsid w:val="005D55F1"/>
    <w:rsid w:val="005D5CED"/>
    <w:rsid w:val="005F1A4C"/>
    <w:rsid w:val="005F4E6B"/>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C2699"/>
    <w:rsid w:val="006F020C"/>
    <w:rsid w:val="007127B7"/>
    <w:rsid w:val="007416B6"/>
    <w:rsid w:val="00746F48"/>
    <w:rsid w:val="0075404D"/>
    <w:rsid w:val="0076182A"/>
    <w:rsid w:val="0076670D"/>
    <w:rsid w:val="00767B7E"/>
    <w:rsid w:val="007770C3"/>
    <w:rsid w:val="00784D24"/>
    <w:rsid w:val="00785FBA"/>
    <w:rsid w:val="00786E4A"/>
    <w:rsid w:val="007875EB"/>
    <w:rsid w:val="0079426B"/>
    <w:rsid w:val="007D312A"/>
    <w:rsid w:val="007D3F19"/>
    <w:rsid w:val="007E23B0"/>
    <w:rsid w:val="007E4CFC"/>
    <w:rsid w:val="007F1991"/>
    <w:rsid w:val="007F2C2F"/>
    <w:rsid w:val="007F55FC"/>
    <w:rsid w:val="007F5665"/>
    <w:rsid w:val="00800112"/>
    <w:rsid w:val="00807C02"/>
    <w:rsid w:val="00824006"/>
    <w:rsid w:val="008253BB"/>
    <w:rsid w:val="0083706E"/>
    <w:rsid w:val="008423A5"/>
    <w:rsid w:val="00850625"/>
    <w:rsid w:val="00853718"/>
    <w:rsid w:val="00855221"/>
    <w:rsid w:val="00860645"/>
    <w:rsid w:val="00871F71"/>
    <w:rsid w:val="008770E7"/>
    <w:rsid w:val="00883FD9"/>
    <w:rsid w:val="00885AF4"/>
    <w:rsid w:val="008939CD"/>
    <w:rsid w:val="008B5BAA"/>
    <w:rsid w:val="008B768C"/>
    <w:rsid w:val="008C4DB1"/>
    <w:rsid w:val="008C4EAF"/>
    <w:rsid w:val="008C5176"/>
    <w:rsid w:val="008C7FD0"/>
    <w:rsid w:val="008D105F"/>
    <w:rsid w:val="008E1DE7"/>
    <w:rsid w:val="008E707C"/>
    <w:rsid w:val="008F4458"/>
    <w:rsid w:val="00900B08"/>
    <w:rsid w:val="00902155"/>
    <w:rsid w:val="00902FA3"/>
    <w:rsid w:val="00920912"/>
    <w:rsid w:val="00923564"/>
    <w:rsid w:val="0092392E"/>
    <w:rsid w:val="009315F9"/>
    <w:rsid w:val="00943E15"/>
    <w:rsid w:val="00946945"/>
    <w:rsid w:val="00951248"/>
    <w:rsid w:val="0095152F"/>
    <w:rsid w:val="00954C49"/>
    <w:rsid w:val="0097099F"/>
    <w:rsid w:val="00971997"/>
    <w:rsid w:val="00971FFC"/>
    <w:rsid w:val="0098660A"/>
    <w:rsid w:val="009905B5"/>
    <w:rsid w:val="009931C3"/>
    <w:rsid w:val="009B2C43"/>
    <w:rsid w:val="009B4EAE"/>
    <w:rsid w:val="009B7573"/>
    <w:rsid w:val="009C22F4"/>
    <w:rsid w:val="009C2E98"/>
    <w:rsid w:val="009D3447"/>
    <w:rsid w:val="009D4711"/>
    <w:rsid w:val="009F1185"/>
    <w:rsid w:val="009F18CD"/>
    <w:rsid w:val="009F2A13"/>
    <w:rsid w:val="00A0499B"/>
    <w:rsid w:val="00A04EB0"/>
    <w:rsid w:val="00A11484"/>
    <w:rsid w:val="00A13CC1"/>
    <w:rsid w:val="00A16847"/>
    <w:rsid w:val="00A237D8"/>
    <w:rsid w:val="00A268C4"/>
    <w:rsid w:val="00A307CD"/>
    <w:rsid w:val="00A31D60"/>
    <w:rsid w:val="00A40A00"/>
    <w:rsid w:val="00A4142F"/>
    <w:rsid w:val="00A56DF2"/>
    <w:rsid w:val="00A67AB5"/>
    <w:rsid w:val="00A8406F"/>
    <w:rsid w:val="00A91760"/>
    <w:rsid w:val="00A93B00"/>
    <w:rsid w:val="00A93C21"/>
    <w:rsid w:val="00AA4B2D"/>
    <w:rsid w:val="00AB0CE4"/>
    <w:rsid w:val="00AB434E"/>
    <w:rsid w:val="00AC3C6A"/>
    <w:rsid w:val="00AD5620"/>
    <w:rsid w:val="00AD7C1B"/>
    <w:rsid w:val="00AE16BA"/>
    <w:rsid w:val="00AE1EBE"/>
    <w:rsid w:val="00AF6F57"/>
    <w:rsid w:val="00B03C9D"/>
    <w:rsid w:val="00B060AE"/>
    <w:rsid w:val="00B10517"/>
    <w:rsid w:val="00B14E76"/>
    <w:rsid w:val="00B161B8"/>
    <w:rsid w:val="00B2048C"/>
    <w:rsid w:val="00B31051"/>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445D"/>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65988"/>
    <w:rsid w:val="00D7035F"/>
    <w:rsid w:val="00DA5916"/>
    <w:rsid w:val="00DA65AC"/>
    <w:rsid w:val="00DB1913"/>
    <w:rsid w:val="00DC410D"/>
    <w:rsid w:val="00DC68CA"/>
    <w:rsid w:val="00DC7CBA"/>
    <w:rsid w:val="00DD73B7"/>
    <w:rsid w:val="00DF007D"/>
    <w:rsid w:val="00DF28BC"/>
    <w:rsid w:val="00DF2E67"/>
    <w:rsid w:val="00DF34B9"/>
    <w:rsid w:val="00E01053"/>
    <w:rsid w:val="00E0552F"/>
    <w:rsid w:val="00E07ACF"/>
    <w:rsid w:val="00E114FD"/>
    <w:rsid w:val="00E331A1"/>
    <w:rsid w:val="00E33202"/>
    <w:rsid w:val="00E336A9"/>
    <w:rsid w:val="00E50624"/>
    <w:rsid w:val="00E568DF"/>
    <w:rsid w:val="00E56E47"/>
    <w:rsid w:val="00E64269"/>
    <w:rsid w:val="00E82267"/>
    <w:rsid w:val="00E9458D"/>
    <w:rsid w:val="00EA010F"/>
    <w:rsid w:val="00EA1DBA"/>
    <w:rsid w:val="00EC11B6"/>
    <w:rsid w:val="00ED1B63"/>
    <w:rsid w:val="00ED3C1F"/>
    <w:rsid w:val="00ED4085"/>
    <w:rsid w:val="00ED420E"/>
    <w:rsid w:val="00ED7024"/>
    <w:rsid w:val="00EE2F57"/>
    <w:rsid w:val="00EE34D4"/>
    <w:rsid w:val="00EF4C34"/>
    <w:rsid w:val="00EF77C6"/>
    <w:rsid w:val="00F05438"/>
    <w:rsid w:val="00F1361C"/>
    <w:rsid w:val="00F160C7"/>
    <w:rsid w:val="00F222A1"/>
    <w:rsid w:val="00F32E9D"/>
    <w:rsid w:val="00F36D8F"/>
    <w:rsid w:val="00F417B1"/>
    <w:rsid w:val="00F602DF"/>
    <w:rsid w:val="00F81FD9"/>
    <w:rsid w:val="00F841AA"/>
    <w:rsid w:val="00FA23E8"/>
    <w:rsid w:val="00FC0D7B"/>
    <w:rsid w:val="00FD3CC1"/>
    <w:rsid w:val="00FD4A6A"/>
    <w:rsid w:val="00FF1E02"/>
    <w:rsid w:val="00FF30B4"/>
    <w:rsid w:val="0613104A"/>
    <w:rsid w:val="108521F7"/>
    <w:rsid w:val="10C055FF"/>
    <w:rsid w:val="155A0398"/>
    <w:rsid w:val="16BB723D"/>
    <w:rsid w:val="196E7ED8"/>
    <w:rsid w:val="1DC850BD"/>
    <w:rsid w:val="220F1B89"/>
    <w:rsid w:val="240371BF"/>
    <w:rsid w:val="29FD04D3"/>
    <w:rsid w:val="2BEF448C"/>
    <w:rsid w:val="2FDC50B2"/>
    <w:rsid w:val="319F7F4E"/>
    <w:rsid w:val="336047D1"/>
    <w:rsid w:val="39233B37"/>
    <w:rsid w:val="3A255E85"/>
    <w:rsid w:val="409501C5"/>
    <w:rsid w:val="4E361EB2"/>
    <w:rsid w:val="52B64D0A"/>
    <w:rsid w:val="53C52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242C365D"/>
  <w15:docId w15:val="{B5FCC448-2BFE-4A31-8AC9-B87C9EC0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spacing w:beforeLines="30"/>
    </w:pPr>
    <w:rPr>
      <w:rFonts w:ascii="仿宋_GB2312" w:eastAsia="仿宋_GB2312"/>
      <w:kern w:val="0"/>
      <w:sz w:val="30"/>
    </w:rPr>
  </w:style>
  <w:style w:type="paragraph" w:styleId="31">
    <w:name w:val="toc 3"/>
    <w:basedOn w:val="a"/>
    <w:next w:val="a"/>
    <w:uiPriority w:val="39"/>
    <w:unhideWhenUsed/>
    <w:qFormat/>
    <w:pPr>
      <w:tabs>
        <w:tab w:val="right" w:leader="dot" w:pos="8296"/>
      </w:tabs>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pPr>
      <w:tabs>
        <w:tab w:val="right" w:leader="dot" w:pos="8296"/>
      </w:tabs>
      <w:ind w:leftChars="200" w:left="420"/>
    </w:pPr>
    <w:rPr>
      <w:rFonts w:ascii="仿宋" w:eastAsia="仿宋" w:hAnsi="仿宋"/>
      <w:sz w:val="32"/>
      <w:szCs w:val="32"/>
    </w:rPr>
  </w:style>
  <w:style w:type="character" w:styleId="ab">
    <w:name w:val="Strong"/>
    <w:basedOn w:val="a0"/>
    <w:qFormat/>
    <w:rPr>
      <w:b/>
    </w:rPr>
  </w:style>
  <w:style w:type="character" w:styleId="ac">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aa">
    <w:name w:val="页眉 字符"/>
    <w:link w:val="a9"/>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a8">
    <w:name w:val="页脚 字符"/>
    <w:link w:val="a7"/>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a4">
    <w:name w:val="正文文本 字符"/>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cs="仿宋"/>
      <w:color w:val="000000"/>
      <w:sz w:val="24"/>
      <w:szCs w:val="24"/>
    </w:rPr>
  </w:style>
  <w:style w:type="paragraph" w:styleId="ad">
    <w:name w:val="List Paragraph"/>
    <w:basedOn w:val="a"/>
    <w:uiPriority w:val="34"/>
    <w:qFormat/>
    <w:pPr>
      <w:ind w:firstLineChars="200" w:firstLine="420"/>
    </w:pPr>
  </w:style>
  <w:style w:type="character" w:customStyle="1" w:styleId="10">
    <w:name w:val="标题 1 字符"/>
    <w:basedOn w:val="a0"/>
    <w:link w:val="1"/>
    <w:uiPriority w:val="9"/>
    <w:qFormat/>
    <w:rPr>
      <w:rFonts w:ascii="Times New Roman" w:hAnsi="Times New Roman"/>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0"/>
    <w:link w:val="a5"/>
    <w:uiPriority w:val="99"/>
    <w:semiHidden/>
    <w:qFormat/>
    <w:rPr>
      <w:rFonts w:ascii="Times New Roman" w:hAnsi="Times New Roman"/>
      <w:kern w:val="2"/>
      <w:sz w:val="18"/>
      <w:szCs w:val="18"/>
    </w:rPr>
  </w:style>
  <w:style w:type="character" w:customStyle="1" w:styleId="30">
    <w:name w:val="标题 3 字符"/>
    <w:basedOn w:val="a0"/>
    <w:link w:val="3"/>
    <w:uiPriority w:val="9"/>
    <w:qFormat/>
    <w:rPr>
      <w:rFonts w:ascii="Times New Roman" w:hAnsi="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395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066997518610401E-2"/>
          <c:y val="3.8131313131313099E-2"/>
          <c:w val="0.80216634972157497"/>
          <c:h val="0.84747519563150597"/>
        </c:manualLayout>
      </c:layout>
      <c:barChart>
        <c:barDir val="col"/>
        <c:grouping val="clustered"/>
        <c:varyColors val="0"/>
        <c:ser>
          <c:idx val="0"/>
          <c:order val="0"/>
          <c:tx>
            <c:strRef>
              <c:f>Sheet1!$B$1</c:f>
              <c:strCache>
                <c:ptCount val="1"/>
                <c:pt idx="0">
                  <c:v>总收入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2019年</c:v>
                </c:pt>
                <c:pt idx="1">
                  <c:v>2020年</c:v>
                </c:pt>
              </c:strCache>
            </c:strRef>
          </c:cat>
          <c:val>
            <c:numRef>
              <c:f>Sheet1!$B$2:$B$3</c:f>
              <c:numCache>
                <c:formatCode>General</c:formatCode>
                <c:ptCount val="2"/>
                <c:pt idx="0">
                  <c:v>206.95</c:v>
                </c:pt>
                <c:pt idx="1">
                  <c:v>207.14</c:v>
                </c:pt>
              </c:numCache>
            </c:numRef>
          </c:val>
          <c:extLst>
            <c:ext xmlns:c16="http://schemas.microsoft.com/office/drawing/2014/chart" uri="{C3380CC4-5D6E-409C-BE32-E72D297353CC}">
              <c16:uniqueId val="{00000000-4400-4D0C-A9DE-70BD53465DA2}"/>
            </c:ext>
          </c:extLst>
        </c:ser>
        <c:ser>
          <c:idx val="1"/>
          <c:order val="1"/>
          <c:tx>
            <c:strRef>
              <c:f>Sheet1!$C$1</c:f>
              <c:strCache>
                <c:ptCount val="1"/>
                <c:pt idx="0">
                  <c:v>总支出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2019年</c:v>
                </c:pt>
                <c:pt idx="1">
                  <c:v>2020年</c:v>
                </c:pt>
              </c:strCache>
            </c:strRef>
          </c:cat>
          <c:val>
            <c:numRef>
              <c:f>Sheet1!$C$2:$C$3</c:f>
              <c:numCache>
                <c:formatCode>General</c:formatCode>
                <c:ptCount val="2"/>
                <c:pt idx="0">
                  <c:v>204.86</c:v>
                </c:pt>
                <c:pt idx="1">
                  <c:v>194.03</c:v>
                </c:pt>
              </c:numCache>
            </c:numRef>
          </c:val>
          <c:extLst>
            <c:ext xmlns:c16="http://schemas.microsoft.com/office/drawing/2014/chart" uri="{C3380CC4-5D6E-409C-BE32-E72D297353CC}">
              <c16:uniqueId val="{00000001-4400-4D0C-A9DE-70BD53465DA2}"/>
            </c:ext>
          </c:extLst>
        </c:ser>
        <c:dLbls>
          <c:showLegendKey val="0"/>
          <c:showVal val="0"/>
          <c:showCatName val="0"/>
          <c:showSerName val="0"/>
          <c:showPercent val="0"/>
          <c:showBubbleSize val="0"/>
        </c:dLbls>
        <c:gapWidth val="150"/>
        <c:axId val="227782656"/>
        <c:axId val="227784192"/>
      </c:barChart>
      <c:catAx>
        <c:axId val="22778265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27784192"/>
        <c:crosses val="autoZero"/>
        <c:auto val="1"/>
        <c:lblAlgn val="ctr"/>
        <c:lblOffset val="100"/>
        <c:noMultiLvlLbl val="0"/>
      </c:catAx>
      <c:valAx>
        <c:axId val="2277841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27782656"/>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收入额（万元）</c:v>
                </c:pt>
              </c:strCache>
            </c:strRef>
          </c:tx>
          <c:dPt>
            <c:idx val="0"/>
            <c:bubble3D val="0"/>
            <c:extLst>
              <c:ext xmlns:c16="http://schemas.microsoft.com/office/drawing/2014/chart" uri="{C3380CC4-5D6E-409C-BE32-E72D297353CC}">
                <c16:uniqueId val="{00000000-977D-4D79-BDE0-760B4C20A701}"/>
              </c:ext>
            </c:extLst>
          </c:dPt>
          <c:dPt>
            <c:idx val="1"/>
            <c:bubble3D val="0"/>
            <c:extLst>
              <c:ext xmlns:c16="http://schemas.microsoft.com/office/drawing/2014/chart" uri="{C3380CC4-5D6E-409C-BE32-E72D297353CC}">
                <c16:uniqueId val="{00000001-977D-4D79-BDE0-760B4C20A701}"/>
              </c:ext>
            </c:extLst>
          </c:dPt>
          <c:dPt>
            <c:idx val="2"/>
            <c:bubble3D val="0"/>
            <c:extLst>
              <c:ext xmlns:c16="http://schemas.microsoft.com/office/drawing/2014/chart" uri="{C3380CC4-5D6E-409C-BE32-E72D297353CC}">
                <c16:uniqueId val="{00000002-977D-4D79-BDE0-760B4C20A701}"/>
              </c:ext>
            </c:extLst>
          </c:dPt>
          <c:dPt>
            <c:idx val="3"/>
            <c:bubble3D val="0"/>
            <c:extLst>
              <c:ext xmlns:c16="http://schemas.microsoft.com/office/drawing/2014/chart" uri="{C3380CC4-5D6E-409C-BE32-E72D297353CC}">
                <c16:uniqueId val="{00000003-977D-4D79-BDE0-760B4C20A701}"/>
              </c:ext>
            </c:extLst>
          </c:dPt>
          <c:dPt>
            <c:idx val="4"/>
            <c:bubble3D val="0"/>
            <c:extLst>
              <c:ext xmlns:c16="http://schemas.microsoft.com/office/drawing/2014/chart" uri="{C3380CC4-5D6E-409C-BE32-E72D297353CC}">
                <c16:uniqueId val="{00000004-977D-4D79-BDE0-760B4C20A701}"/>
              </c:ext>
            </c:extLst>
          </c:dPt>
          <c:dPt>
            <c:idx val="5"/>
            <c:bubble3D val="0"/>
            <c:extLst>
              <c:ext xmlns:c16="http://schemas.microsoft.com/office/drawing/2014/chart" uri="{C3380CC4-5D6E-409C-BE32-E72D297353CC}">
                <c16:uniqueId val="{00000005-977D-4D79-BDE0-760B4C20A701}"/>
              </c:ext>
            </c:extLst>
          </c:dPt>
          <c:dPt>
            <c:idx val="6"/>
            <c:bubble3D val="0"/>
            <c:extLst>
              <c:ext xmlns:c16="http://schemas.microsoft.com/office/drawing/2014/chart" uri="{C3380CC4-5D6E-409C-BE32-E72D297353CC}">
                <c16:uniqueId val="{00000006-977D-4D79-BDE0-760B4C20A701}"/>
              </c:ext>
            </c:extLst>
          </c:dPt>
          <c:dLbls>
            <c:dLbl>
              <c:idx val="1"/>
              <c:layout>
                <c:manualLayout>
                  <c:x val="-0.20116055894580101"/>
                  <c:y val="1.9277507730872001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77D-4D79-BDE0-760B4C20A701}"/>
                </c:ext>
              </c:extLst>
            </c:dLbl>
            <c:dLbl>
              <c:idx val="2"/>
              <c:layout>
                <c:manualLayout>
                  <c:x val="-0.20521231159565501"/>
                  <c:y val="-0.117564457847063"/>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977D-4D79-BDE0-760B4C20A701}"/>
                </c:ext>
              </c:extLst>
            </c:dLbl>
            <c:dLbl>
              <c:idx val="3"/>
              <c:layout>
                <c:manualLayout>
                  <c:x val="-0.20325576357435499"/>
                  <c:y val="-5.2658360566915197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77D-4D79-BDE0-760B4C20A701}"/>
                </c:ext>
              </c:extLst>
            </c:dLbl>
            <c:dLbl>
              <c:idx val="4"/>
              <c:layout>
                <c:manualLayout>
                  <c:x val="-5.62773790240408E-2"/>
                  <c:y val="-0.11904442782548399"/>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977D-4D79-BDE0-760B4C20A701}"/>
                </c:ext>
              </c:extLst>
            </c:dLbl>
            <c:dLbl>
              <c:idx val="6"/>
              <c:layout>
                <c:manualLayout>
                  <c:x val="0.213873523029838"/>
                  <c:y val="-1.6948330838810401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977D-4D79-BDE0-760B4C20A701}"/>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1"/>
            <c:showBubbleSize val="0"/>
            <c:showLeaderLines val="1"/>
            <c:extLst>
              <c:ext xmlns:c15="http://schemas.microsoft.com/office/drawing/2012/chart" uri="{CE6537A1-D6FC-4f65-9D91-7224C49458BB}"/>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其它收入</c:v>
                </c:pt>
              </c:strCache>
            </c:strRef>
          </c:cat>
          <c:val>
            <c:numRef>
              <c:f>Sheet1!$B$2:$B$8</c:f>
              <c:numCache>
                <c:formatCode>General</c:formatCode>
                <c:ptCount val="7"/>
                <c:pt idx="0">
                  <c:v>207.1</c:v>
                </c:pt>
                <c:pt idx="1">
                  <c:v>0</c:v>
                </c:pt>
                <c:pt idx="2">
                  <c:v>0</c:v>
                </c:pt>
                <c:pt idx="3">
                  <c:v>0</c:v>
                </c:pt>
                <c:pt idx="4">
                  <c:v>0</c:v>
                </c:pt>
                <c:pt idx="6">
                  <c:v>0.04</c:v>
                </c:pt>
              </c:numCache>
            </c:numRef>
          </c:val>
          <c:extLst>
            <c:ext xmlns:c16="http://schemas.microsoft.com/office/drawing/2014/chart" uri="{C3380CC4-5D6E-409C-BE32-E72D297353CC}">
              <c16:uniqueId val="{00000007-977D-4D79-BDE0-760B4C20A701}"/>
            </c:ext>
          </c:extLst>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支出数（万元）</c:v>
                </c:pt>
              </c:strCache>
            </c:strRef>
          </c:tx>
          <c:dPt>
            <c:idx val="0"/>
            <c:bubble3D val="0"/>
            <c:extLst>
              <c:ext xmlns:c16="http://schemas.microsoft.com/office/drawing/2014/chart" uri="{C3380CC4-5D6E-409C-BE32-E72D297353CC}">
                <c16:uniqueId val="{00000000-7B50-40D7-B909-4F4BA6211A68}"/>
              </c:ext>
            </c:extLst>
          </c:dPt>
          <c:dPt>
            <c:idx val="1"/>
            <c:bubble3D val="0"/>
            <c:extLst>
              <c:ext xmlns:c16="http://schemas.microsoft.com/office/drawing/2014/chart" uri="{C3380CC4-5D6E-409C-BE32-E72D297353CC}">
                <c16:uniqueId val="{00000001-7B50-40D7-B909-4F4BA6211A68}"/>
              </c:ext>
            </c:extLst>
          </c:dPt>
          <c:dPt>
            <c:idx val="2"/>
            <c:bubble3D val="0"/>
            <c:extLst>
              <c:ext xmlns:c16="http://schemas.microsoft.com/office/drawing/2014/chart" uri="{C3380CC4-5D6E-409C-BE32-E72D297353CC}">
                <c16:uniqueId val="{00000002-7B50-40D7-B909-4F4BA6211A68}"/>
              </c:ext>
            </c:extLst>
          </c:dPt>
          <c:dPt>
            <c:idx val="3"/>
            <c:bubble3D val="0"/>
            <c:extLst>
              <c:ext xmlns:c16="http://schemas.microsoft.com/office/drawing/2014/chart" uri="{C3380CC4-5D6E-409C-BE32-E72D297353CC}">
                <c16:uniqueId val="{00000003-7B50-40D7-B909-4F4BA6211A68}"/>
              </c:ext>
            </c:extLst>
          </c:dPt>
          <c:dPt>
            <c:idx val="4"/>
            <c:bubble3D val="0"/>
            <c:extLst>
              <c:ext xmlns:c16="http://schemas.microsoft.com/office/drawing/2014/chart" uri="{C3380CC4-5D6E-409C-BE32-E72D297353CC}">
                <c16:uniqueId val="{00000004-7B50-40D7-B909-4F4BA6211A68}"/>
              </c:ext>
            </c:extLst>
          </c:dPt>
          <c:dLbls>
            <c:dLbl>
              <c:idx val="0"/>
              <c:layout>
                <c:manualLayout>
                  <c:x val="0.39027284099994802"/>
                  <c:y val="7.021794953357010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7B50-40D7-B909-4F4BA6211A68}"/>
                </c:ext>
              </c:extLst>
            </c:dLbl>
            <c:dLbl>
              <c:idx val="1"/>
              <c:layout>
                <c:manualLayout>
                  <c:x val="0.102242815315956"/>
                  <c:y val="0.16002245070605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B50-40D7-B909-4F4BA6211A68}"/>
                </c:ext>
              </c:extLst>
            </c:dLbl>
            <c:dLbl>
              <c:idx val="2"/>
              <c:layout>
                <c:manualLayout>
                  <c:x val="-0.19022376169925301"/>
                  <c:y val="3.943261507594410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7B50-40D7-B909-4F4BA6211A68}"/>
                </c:ext>
              </c:extLst>
            </c:dLbl>
            <c:dLbl>
              <c:idx val="3"/>
              <c:layout>
                <c:manualLayout>
                  <c:x val="0.487710465596493"/>
                  <c:y val="-4.096437402249720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B50-40D7-B909-4F4BA6211A68}"/>
                </c:ext>
              </c:extLst>
            </c:dLbl>
            <c:dLbl>
              <c:idx val="4"/>
              <c:layout>
                <c:manualLayout>
                  <c:x val="-0.14777317648734001"/>
                  <c:y val="-6.9095317569990197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7B50-40D7-B909-4F4BA6211A68}"/>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1"/>
            <c:showSerName val="0"/>
            <c:showPercent val="1"/>
            <c:showBubbleSize val="0"/>
            <c:showLeaderLines val="1"/>
            <c:extLst>
              <c:ext xmlns:c15="http://schemas.microsoft.com/office/drawing/2012/chart" uri="{CE6537A1-D6FC-4f65-9D91-7224C49458BB}"/>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159.35</c:v>
                </c:pt>
                <c:pt idx="1">
                  <c:v>34.68</c:v>
                </c:pt>
                <c:pt idx="2">
                  <c:v>0</c:v>
                </c:pt>
                <c:pt idx="3">
                  <c:v>0</c:v>
                </c:pt>
                <c:pt idx="4">
                  <c:v>0</c:v>
                </c:pt>
              </c:numCache>
            </c:numRef>
          </c:val>
          <c:extLst>
            <c:ext xmlns:c16="http://schemas.microsoft.com/office/drawing/2014/chart" uri="{C3380CC4-5D6E-409C-BE32-E72D297353CC}">
              <c16:uniqueId val="{00000005-7B50-40D7-B909-4F4BA6211A68}"/>
            </c:ext>
          </c:extLst>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财政拨款收入</c:v>
                </c:pt>
              </c:strCache>
            </c:strRef>
          </c:tx>
          <c:invertIfNegative val="0"/>
          <c:dLbls>
            <c:dLbl>
              <c:idx val="0"/>
              <c:layout>
                <c:manualLayout>
                  <c:x val="2.2061518107760301E-17"/>
                  <c:y val="1.6528925619834701E-2"/>
                </c:manualLayout>
              </c:layout>
              <c:dLblPos val="outEnd"/>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9784-4751-A19E-6D5665DF4B55}"/>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Sheet1!$A$2:$A$3</c:f>
              <c:strCache>
                <c:ptCount val="2"/>
                <c:pt idx="0">
                  <c:v>2019年</c:v>
                </c:pt>
                <c:pt idx="1">
                  <c:v>2020年</c:v>
                </c:pt>
              </c:strCache>
            </c:strRef>
          </c:cat>
          <c:val>
            <c:numRef>
              <c:f>Sheet1!$B$2:$B$3</c:f>
              <c:numCache>
                <c:formatCode>General</c:formatCode>
                <c:ptCount val="2"/>
                <c:pt idx="0">
                  <c:v>206.95</c:v>
                </c:pt>
                <c:pt idx="1">
                  <c:v>207.1</c:v>
                </c:pt>
              </c:numCache>
            </c:numRef>
          </c:val>
          <c:extLst>
            <c:ext xmlns:c16="http://schemas.microsoft.com/office/drawing/2014/chart" uri="{C3380CC4-5D6E-409C-BE32-E72D297353CC}">
              <c16:uniqueId val="{00000001-9784-4751-A19E-6D5665DF4B55}"/>
            </c:ext>
          </c:extLst>
        </c:ser>
        <c:ser>
          <c:idx val="1"/>
          <c:order val="1"/>
          <c:tx>
            <c:strRef>
              <c:f>Sheet1!$C$1</c:f>
              <c:strCache>
                <c:ptCount val="1"/>
                <c:pt idx="0">
                  <c:v>财政拨款支出</c:v>
                </c:pt>
              </c:strCache>
            </c:strRef>
          </c:tx>
          <c:invertIfNegative val="0"/>
          <c:dLbls>
            <c:dLbl>
              <c:idx val="0"/>
              <c:layout>
                <c:manualLayout>
                  <c:x val="2.8880866425992802E-2"/>
                  <c:y val="0"/>
                </c:manualLayout>
              </c:layout>
              <c:dLblPos val="outEnd"/>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9784-4751-A19E-6D5665DF4B55}"/>
                </c:ext>
              </c:extLst>
            </c:dLbl>
            <c:dLbl>
              <c:idx val="1"/>
              <c:layout>
                <c:manualLayout>
                  <c:x val="1.9253910950661899E-2"/>
                  <c:y val="-8.2644628099173608E-3"/>
                </c:manualLayout>
              </c:layout>
              <c:dLblPos val="outEnd"/>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3-9784-4751-A19E-6D5665DF4B55}"/>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Sheet1!$A$2:$A$3</c:f>
              <c:strCache>
                <c:ptCount val="2"/>
                <c:pt idx="0">
                  <c:v>2019年</c:v>
                </c:pt>
                <c:pt idx="1">
                  <c:v>2020年</c:v>
                </c:pt>
              </c:strCache>
            </c:strRef>
          </c:cat>
          <c:val>
            <c:numRef>
              <c:f>Sheet1!$C$2:$C$3</c:f>
              <c:numCache>
                <c:formatCode>General</c:formatCode>
                <c:ptCount val="2"/>
                <c:pt idx="0">
                  <c:v>204.86</c:v>
                </c:pt>
                <c:pt idx="1">
                  <c:v>194.03</c:v>
                </c:pt>
              </c:numCache>
            </c:numRef>
          </c:val>
          <c:extLst>
            <c:ext xmlns:c16="http://schemas.microsoft.com/office/drawing/2014/chart" uri="{C3380CC4-5D6E-409C-BE32-E72D297353CC}">
              <c16:uniqueId val="{00000004-9784-4751-A19E-6D5665DF4B55}"/>
            </c:ext>
          </c:extLst>
        </c:ser>
        <c:dLbls>
          <c:showLegendKey val="0"/>
          <c:showVal val="0"/>
          <c:showCatName val="0"/>
          <c:showSerName val="0"/>
          <c:showPercent val="0"/>
          <c:showBubbleSize val="0"/>
        </c:dLbls>
        <c:gapWidth val="150"/>
        <c:axId val="230137856"/>
        <c:axId val="230139392"/>
      </c:barChart>
      <c:catAx>
        <c:axId val="23013785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30139392"/>
        <c:crosses val="autoZero"/>
        <c:auto val="1"/>
        <c:lblAlgn val="ctr"/>
        <c:lblOffset val="100"/>
        <c:noMultiLvlLbl val="0"/>
      </c:catAx>
      <c:valAx>
        <c:axId val="2301393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30137856"/>
        <c:crosses val="autoZero"/>
        <c:crossBetween val="between"/>
      </c:valAx>
    </c:plotArea>
    <c:plotVisOnly val="1"/>
    <c:dispBlanksAs val="gap"/>
    <c:showDLblsOverMax val="0"/>
  </c:chart>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537146332207"/>
          <c:y val="5.2613240418118497E-2"/>
          <c:w val="0.80028418861435402"/>
          <c:h val="0.78886209223847004"/>
        </c:manualLayout>
      </c:layout>
      <c:barChart>
        <c:barDir val="col"/>
        <c:grouping val="clustered"/>
        <c:varyColors val="0"/>
        <c:ser>
          <c:idx val="0"/>
          <c:order val="0"/>
          <c:tx>
            <c:strRef>
              <c:f>Sheet1!$B$1</c:f>
              <c:strCache>
                <c:ptCount val="1"/>
                <c:pt idx="0">
                  <c:v>一般公共预算财政拨款支出</c:v>
                </c:pt>
              </c:strCache>
            </c:strRef>
          </c:tx>
          <c:invertIfNegative val="0"/>
          <c:dLbls>
            <c:dLbl>
              <c:idx val="0"/>
              <c:layout>
                <c:manualLayout>
                  <c:x val="-7.6628352490421504E-3"/>
                  <c:y val="5.1470588235294101E-2"/>
                </c:manualLayout>
              </c:layout>
              <c:dLblPos val="outEnd"/>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AF00-4956-BF87-5375AED75CFD}"/>
                </c:ext>
              </c:extLst>
            </c:dLbl>
            <c:dLbl>
              <c:idx val="1"/>
              <c:layout>
                <c:manualLayout>
                  <c:x val="0"/>
                  <c:y val="0.20588235294117599"/>
                </c:manualLayout>
              </c:layout>
              <c:dLblPos val="outEnd"/>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1-AF00-4956-BF87-5375AED75CFD}"/>
                </c:ext>
              </c:extLst>
            </c:dLbl>
            <c:spPr>
              <a:noFill/>
              <a:ln w="50800">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trendline>
            <c:trendlineType val="exp"/>
            <c:dispRSqr val="0"/>
            <c:dispEq val="0"/>
          </c:trendline>
          <c:cat>
            <c:strRef>
              <c:f>Sheet1!$A$2:$A$3</c:f>
              <c:strCache>
                <c:ptCount val="2"/>
                <c:pt idx="0">
                  <c:v>2019年</c:v>
                </c:pt>
                <c:pt idx="1">
                  <c:v>2020年</c:v>
                </c:pt>
              </c:strCache>
            </c:strRef>
          </c:cat>
          <c:val>
            <c:numRef>
              <c:f>Sheet1!$B$2:$B$3</c:f>
              <c:numCache>
                <c:formatCode>General</c:formatCode>
                <c:ptCount val="2"/>
                <c:pt idx="0">
                  <c:v>204.86</c:v>
                </c:pt>
                <c:pt idx="1">
                  <c:v>193.99</c:v>
                </c:pt>
              </c:numCache>
            </c:numRef>
          </c:val>
          <c:extLst>
            <c:ext xmlns:c16="http://schemas.microsoft.com/office/drawing/2014/chart" uri="{C3380CC4-5D6E-409C-BE32-E72D297353CC}">
              <c16:uniqueId val="{00000002-AF00-4956-BF87-5375AED75CFD}"/>
            </c:ext>
          </c:extLst>
        </c:ser>
        <c:dLbls>
          <c:showLegendKey val="0"/>
          <c:showVal val="0"/>
          <c:showCatName val="0"/>
          <c:showSerName val="0"/>
          <c:showPercent val="0"/>
          <c:showBubbleSize val="0"/>
        </c:dLbls>
        <c:gapWidth val="150"/>
        <c:axId val="230160256"/>
        <c:axId val="230161792"/>
      </c:barChart>
      <c:catAx>
        <c:axId val="23016025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30161792"/>
        <c:crosses val="autoZero"/>
        <c:auto val="1"/>
        <c:lblAlgn val="ctr"/>
        <c:lblOffset val="100"/>
        <c:noMultiLvlLbl val="0"/>
      </c:catAx>
      <c:valAx>
        <c:axId val="2301617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30160256"/>
        <c:crosses val="autoZero"/>
        <c:crossBetween val="between"/>
      </c:valAx>
    </c:plotArea>
    <c:plotVisOnly val="1"/>
    <c:dispBlanksAs val="gap"/>
    <c:showDLblsOverMax val="0"/>
  </c:chart>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一般公共预算财政拨款支出（万元）</c:v>
                </c:pt>
              </c:strCache>
            </c:strRef>
          </c:tx>
          <c:dPt>
            <c:idx val="0"/>
            <c:bubble3D val="0"/>
            <c:extLst>
              <c:ext xmlns:c16="http://schemas.microsoft.com/office/drawing/2014/chart" uri="{C3380CC4-5D6E-409C-BE32-E72D297353CC}">
                <c16:uniqueId val="{00000000-ECEC-4E52-896A-DE05333962CE}"/>
              </c:ext>
            </c:extLst>
          </c:dPt>
          <c:dPt>
            <c:idx val="1"/>
            <c:bubble3D val="0"/>
            <c:explosion val="32"/>
            <c:extLst>
              <c:ext xmlns:c16="http://schemas.microsoft.com/office/drawing/2014/chart" uri="{C3380CC4-5D6E-409C-BE32-E72D297353CC}">
                <c16:uniqueId val="{00000001-ECEC-4E52-896A-DE05333962CE}"/>
              </c:ext>
            </c:extLst>
          </c:dPt>
          <c:dPt>
            <c:idx val="2"/>
            <c:bubble3D val="0"/>
            <c:extLst>
              <c:ext xmlns:c16="http://schemas.microsoft.com/office/drawing/2014/chart" uri="{C3380CC4-5D6E-409C-BE32-E72D297353CC}">
                <c16:uniqueId val="{00000002-ECEC-4E52-896A-DE05333962CE}"/>
              </c:ext>
            </c:extLst>
          </c:dPt>
          <c:dPt>
            <c:idx val="3"/>
            <c:bubble3D val="0"/>
            <c:extLst>
              <c:ext xmlns:c16="http://schemas.microsoft.com/office/drawing/2014/chart" uri="{C3380CC4-5D6E-409C-BE32-E72D297353CC}">
                <c16:uniqueId val="{00000003-ECEC-4E52-896A-DE05333962CE}"/>
              </c:ext>
            </c:extLst>
          </c:dPt>
          <c:dPt>
            <c:idx val="4"/>
            <c:bubble3D val="0"/>
            <c:extLst>
              <c:ext xmlns:c16="http://schemas.microsoft.com/office/drawing/2014/chart" uri="{C3380CC4-5D6E-409C-BE32-E72D297353CC}">
                <c16:uniqueId val="{00000004-ECEC-4E52-896A-DE05333962CE}"/>
              </c:ext>
            </c:extLst>
          </c:dPt>
          <c:dPt>
            <c:idx val="5"/>
            <c:bubble3D val="0"/>
            <c:extLst>
              <c:ext xmlns:c16="http://schemas.microsoft.com/office/drawing/2014/chart" uri="{C3380CC4-5D6E-409C-BE32-E72D297353CC}">
                <c16:uniqueId val="{00000005-ECEC-4E52-896A-DE05333962CE}"/>
              </c:ext>
            </c:extLst>
          </c:dPt>
          <c:dPt>
            <c:idx val="6"/>
            <c:bubble3D val="0"/>
            <c:extLst>
              <c:ext xmlns:c16="http://schemas.microsoft.com/office/drawing/2014/chart" uri="{C3380CC4-5D6E-409C-BE32-E72D297353CC}">
                <c16:uniqueId val="{00000006-ECEC-4E52-896A-DE05333962CE}"/>
              </c:ext>
            </c:extLst>
          </c:dPt>
          <c:dPt>
            <c:idx val="7"/>
            <c:bubble3D val="0"/>
            <c:extLst>
              <c:ext xmlns:c16="http://schemas.microsoft.com/office/drawing/2014/chart" uri="{C3380CC4-5D6E-409C-BE32-E72D297353CC}">
                <c16:uniqueId val="{00000007-ECEC-4E52-896A-DE05333962CE}"/>
              </c:ext>
            </c:extLst>
          </c:dPt>
          <c:dLbls>
            <c:dLbl>
              <c:idx val="0"/>
              <c:delete val="1"/>
              <c:extLst>
                <c:ext xmlns:c15="http://schemas.microsoft.com/office/drawing/2012/chart" uri="{CE6537A1-D6FC-4f65-9D91-7224C49458BB}"/>
                <c:ext xmlns:c16="http://schemas.microsoft.com/office/drawing/2014/chart" uri="{C3380CC4-5D6E-409C-BE32-E72D297353CC}">
                  <c16:uniqueId val="{00000000-ECEC-4E52-896A-DE05333962CE}"/>
                </c:ext>
              </c:extLst>
            </c:dLbl>
            <c:dLbl>
              <c:idx val="2"/>
              <c:delete val="1"/>
              <c:extLst>
                <c:ext xmlns:c15="http://schemas.microsoft.com/office/drawing/2012/chart" uri="{CE6537A1-D6FC-4f65-9D91-7224C49458BB}"/>
                <c:ext xmlns:c16="http://schemas.microsoft.com/office/drawing/2014/chart" uri="{C3380CC4-5D6E-409C-BE32-E72D297353CC}">
                  <c16:uniqueId val="{00000002-ECEC-4E52-896A-DE05333962CE}"/>
                </c:ext>
              </c:extLst>
            </c:dLbl>
            <c:dLbl>
              <c:idx val="3"/>
              <c:layout>
                <c:manualLayout>
                  <c:x val="-0.22989174353205799"/>
                  <c:y val="7.3426330345942398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CEC-4E52-896A-DE05333962CE}"/>
                </c:ext>
              </c:extLst>
            </c:dLbl>
            <c:dLbl>
              <c:idx val="4"/>
              <c:layout>
                <c:manualLayout>
                  <c:x val="-0.26763923509561299"/>
                  <c:y val="-2.53658167968927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ECEC-4E52-896A-DE05333962CE}"/>
                </c:ext>
              </c:extLst>
            </c:dLbl>
            <c:dLbl>
              <c:idx val="5"/>
              <c:layout>
                <c:manualLayout>
                  <c:x val="1.7396445444319501E-2"/>
                  <c:y val="3.023077969380509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CEC-4E52-896A-DE05333962CE}"/>
                </c:ext>
              </c:extLst>
            </c:dLbl>
            <c:dLbl>
              <c:idx val="6"/>
              <c:layout>
                <c:manualLayout>
                  <c:x val="0.54449313835770596"/>
                  <c:y val="-2.481660042014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ECEC-4E52-896A-DE05333962CE}"/>
                </c:ext>
              </c:extLst>
            </c:dLbl>
            <c:dLbl>
              <c:idx val="7"/>
              <c:layout>
                <c:manualLayout>
                  <c:x val="0.487579752530933"/>
                  <c:y val="2.81898831743921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CEC-4E52-896A-DE05333962CE}"/>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1"/>
            <c:showSerName val="0"/>
            <c:showPercent val="1"/>
            <c:showBubbleSize val="0"/>
            <c:showLeaderLines val="1"/>
            <c:extLst>
              <c:ext xmlns:c15="http://schemas.microsoft.com/office/drawing/2012/chart" uri="{CE6537A1-D6FC-4f65-9D91-7224C49458BB}"/>
            </c:extLst>
          </c:dLbls>
          <c:cat>
            <c:strRef>
              <c:f>Sheet1!$A$2:$A$9</c:f>
              <c:strCache>
                <c:ptCount val="8"/>
                <c:pt idx="0">
                  <c:v>一般公共服务支出</c:v>
                </c:pt>
                <c:pt idx="1">
                  <c:v>教育支出</c:v>
                </c:pt>
                <c:pt idx="2">
                  <c:v>科学技术支出</c:v>
                </c:pt>
                <c:pt idx="3">
                  <c:v>社会保障和就业支出</c:v>
                </c:pt>
                <c:pt idx="4">
                  <c:v>卫生健康支出</c:v>
                </c:pt>
                <c:pt idx="5">
                  <c:v>农林书支出</c:v>
                </c:pt>
                <c:pt idx="6">
                  <c:v>住房保障支出</c:v>
                </c:pt>
                <c:pt idx="7">
                  <c:v>其它支出</c:v>
                </c:pt>
              </c:strCache>
            </c:strRef>
          </c:cat>
          <c:val>
            <c:numRef>
              <c:f>Sheet1!$B$2:$B$9</c:f>
              <c:numCache>
                <c:formatCode>General</c:formatCode>
                <c:ptCount val="8"/>
                <c:pt idx="0">
                  <c:v>0</c:v>
                </c:pt>
                <c:pt idx="1">
                  <c:v>170.96</c:v>
                </c:pt>
                <c:pt idx="2">
                  <c:v>0</c:v>
                </c:pt>
                <c:pt idx="3">
                  <c:v>16.329999999999998</c:v>
                </c:pt>
                <c:pt idx="4">
                  <c:v>6.74</c:v>
                </c:pt>
                <c:pt idx="5">
                  <c:v>0</c:v>
                </c:pt>
                <c:pt idx="6">
                  <c:v>0</c:v>
                </c:pt>
                <c:pt idx="7">
                  <c:v>0</c:v>
                </c:pt>
              </c:numCache>
            </c:numRef>
          </c:val>
          <c:extLst>
            <c:ext xmlns:c16="http://schemas.microsoft.com/office/drawing/2014/chart" uri="{C3380CC4-5D6E-409C-BE32-E72D297353CC}">
              <c16:uniqueId val="{00000008-ECEC-4E52-896A-DE05333962CE}"/>
            </c:ext>
          </c:extLst>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已完成预算额</c:v>
                </c:pt>
              </c:strCache>
            </c:strRef>
          </c:tx>
          <c:invertIfNegative val="0"/>
          <c:cat>
            <c:strRef>
              <c:f>Sheet1!$A$2:$A$26</c:f>
              <c:strCache>
                <c:ptCount val="25"/>
                <c:pt idx="0">
                  <c:v>···（类）···（款）···（项）</c:v>
                </c:pt>
                <c:pt idx="1">
                  <c:v>···（类）···（款）···（项）</c:v>
                </c:pt>
                <c:pt idx="2">
                  <c:v>···（类）···（款）···（项）</c:v>
                </c:pt>
                <c:pt idx="3">
                  <c:v>住房保障支出（类）住房改革支出（款）住房公积金（项）</c:v>
                </c:pt>
                <c:pt idx="4">
                  <c:v>农林水支出（类）扶贫（款）其他扶贫支出（项）</c:v>
                </c:pt>
                <c:pt idx="5">
                  <c:v>医疗卫生与计划生育支出（类）行政事业单位医疗★（款）事业单位医疗（项）</c:v>
                </c:pt>
                <c:pt idx="6">
                  <c:v>医疗卫生与计划生育支出（类）行政事业单位医疗★（款）行政单位医疗（项）</c:v>
                </c:pt>
                <c:pt idx="7">
                  <c:v>社会保障和就业支出（类）其它社会保障和就业（款）其它社会保障和就业支出（项）</c:v>
                </c:pt>
                <c:pt idx="8">
                  <c:v>社会保障和就业支出（类）行政事业单位离退休（款）机关事业单位职业年金缴费支出★（项）</c:v>
                </c:pt>
                <c:pt idx="9">
                  <c:v>社会保障和就业支出（类）行政事业单位离退休（款）机关事业单位基本养老保险缴费支出（项）</c:v>
                </c:pt>
                <c:pt idx="10">
                  <c:v>社会保障和就业支出（类）行政事业单位离退休（款）行政单位离退休（项）</c:v>
                </c:pt>
                <c:pt idx="11">
                  <c:v>教育支出（类）其他教育支出（款）其他教育支出（项）</c:v>
                </c:pt>
                <c:pt idx="12">
                  <c:v>教育支出（类）教育费附加安排的支出（款）其他教育费附加安排的支出（项）</c:v>
                </c:pt>
                <c:pt idx="13">
                  <c:v>教育支出（类）教育费附加安排的支出（款）城市中小学校舍建设（项）</c:v>
                </c:pt>
                <c:pt idx="14">
                  <c:v>教育支出（类）教育费附加安排的支出（款）农村中小学教学设施（项）</c:v>
                </c:pt>
                <c:pt idx="15">
                  <c:v>教育管理事务（款）职业高中教育（项）高等职业教育（项）</c:v>
                </c:pt>
                <c:pt idx="16">
                  <c:v>教育支出（类）职业教育（款）技校教育（项）</c:v>
                </c:pt>
                <c:pt idx="17">
                  <c:v>教育支出（类）职业教育（款）中等职业教育（项）</c:v>
                </c:pt>
                <c:pt idx="18">
                  <c:v>教育管理事务（款）普通教育（款）其他普通教育支出（项）</c:v>
                </c:pt>
                <c:pt idx="19">
                  <c:v>教育支出（类）普通教育（款）高等教育（项）</c:v>
                </c:pt>
                <c:pt idx="20">
                  <c:v>教育支出（类）普通教育（款）高中教育（项）</c:v>
                </c:pt>
                <c:pt idx="21">
                  <c:v>教育支出（类）普通教育（款）初中教育（项）</c:v>
                </c:pt>
                <c:pt idx="22">
                  <c:v>教育支出（类）普通教育（款）学前教育（项）</c:v>
                </c:pt>
                <c:pt idx="23">
                  <c:v>教育支出（类）教育管理事务（款）一般行政管理事务（项）</c:v>
                </c:pt>
                <c:pt idx="24">
                  <c:v>教育支出（类）教育管理事务（款）行政运行（项）</c:v>
                </c:pt>
              </c:strCache>
            </c:strRef>
          </c:cat>
          <c:val>
            <c:numRef>
              <c:f>Sheet1!$B$2:$B$26</c:f>
              <c:numCache>
                <c:formatCode>#,##0.00</c:formatCode>
                <c:ptCount val="25"/>
                <c:pt idx="0">
                  <c:v>0</c:v>
                </c:pt>
                <c:pt idx="1">
                  <c:v>0</c:v>
                </c:pt>
                <c:pt idx="2">
                  <c:v>0</c:v>
                </c:pt>
                <c:pt idx="3">
                  <c:v>0</c:v>
                </c:pt>
                <c:pt idx="4">
                  <c:v>0</c:v>
                </c:pt>
                <c:pt idx="5">
                  <c:v>6.74</c:v>
                </c:pt>
                <c:pt idx="7">
                  <c:v>1.26</c:v>
                </c:pt>
                <c:pt idx="9">
                  <c:v>15.07</c:v>
                </c:pt>
                <c:pt idx="10">
                  <c:v>0</c:v>
                </c:pt>
                <c:pt idx="11">
                  <c:v>159.43</c:v>
                </c:pt>
                <c:pt idx="12">
                  <c:v>0</c:v>
                </c:pt>
                <c:pt idx="13">
                  <c:v>0</c:v>
                </c:pt>
                <c:pt idx="14">
                  <c:v>0</c:v>
                </c:pt>
                <c:pt idx="15">
                  <c:v>0</c:v>
                </c:pt>
                <c:pt idx="16">
                  <c:v>0</c:v>
                </c:pt>
                <c:pt idx="17">
                  <c:v>0</c:v>
                </c:pt>
                <c:pt idx="18">
                  <c:v>0</c:v>
                </c:pt>
                <c:pt idx="19">
                  <c:v>0</c:v>
                </c:pt>
                <c:pt idx="20">
                  <c:v>0</c:v>
                </c:pt>
                <c:pt idx="21">
                  <c:v>0</c:v>
                </c:pt>
                <c:pt idx="22">
                  <c:v>1.46</c:v>
                </c:pt>
                <c:pt idx="23">
                  <c:v>0</c:v>
                </c:pt>
                <c:pt idx="24">
                  <c:v>0</c:v>
                </c:pt>
              </c:numCache>
            </c:numRef>
          </c:val>
          <c:extLst>
            <c:ext xmlns:c16="http://schemas.microsoft.com/office/drawing/2014/chart" uri="{C3380CC4-5D6E-409C-BE32-E72D297353CC}">
              <c16:uniqueId val="{00000000-8688-474F-9044-C54B44D3B1D8}"/>
            </c:ext>
          </c:extLst>
        </c:ser>
        <c:ser>
          <c:idx val="1"/>
          <c:order val="1"/>
          <c:tx>
            <c:strRef>
              <c:f>Sheet1!$C$1</c:f>
              <c:strCache>
                <c:ptCount val="1"/>
                <c:pt idx="0">
                  <c:v>未完成预算额</c:v>
                </c:pt>
              </c:strCache>
            </c:strRef>
          </c:tx>
          <c:invertIfNegative val="0"/>
          <c:cat>
            <c:strRef>
              <c:f>Sheet1!$A$2:$A$26</c:f>
              <c:strCache>
                <c:ptCount val="25"/>
                <c:pt idx="0">
                  <c:v>···（类）···（款）···（项）</c:v>
                </c:pt>
                <c:pt idx="1">
                  <c:v>···（类）···（款）···（项）</c:v>
                </c:pt>
                <c:pt idx="2">
                  <c:v>···（类）···（款）···（项）</c:v>
                </c:pt>
                <c:pt idx="3">
                  <c:v>住房保障支出（类）住房改革支出（款）住房公积金（项）</c:v>
                </c:pt>
                <c:pt idx="4">
                  <c:v>农林水支出（类）扶贫（款）其他扶贫支出（项）</c:v>
                </c:pt>
                <c:pt idx="5">
                  <c:v>医疗卫生与计划生育支出（类）行政事业单位医疗★（款）事业单位医疗（项）</c:v>
                </c:pt>
                <c:pt idx="6">
                  <c:v>医疗卫生与计划生育支出（类）行政事业单位医疗★（款）行政单位医疗（项）</c:v>
                </c:pt>
                <c:pt idx="7">
                  <c:v>社会保障和就业支出（类）其它社会保障和就业（款）其它社会保障和就业支出（项）</c:v>
                </c:pt>
                <c:pt idx="8">
                  <c:v>社会保障和就业支出（类）行政事业单位离退休（款）机关事业单位职业年金缴费支出★（项）</c:v>
                </c:pt>
                <c:pt idx="9">
                  <c:v>社会保障和就业支出（类）行政事业单位离退休（款）机关事业单位基本养老保险缴费支出（项）</c:v>
                </c:pt>
                <c:pt idx="10">
                  <c:v>社会保障和就业支出（类）行政事业单位离退休（款）行政单位离退休（项）</c:v>
                </c:pt>
                <c:pt idx="11">
                  <c:v>教育支出（类）其他教育支出（款）其他教育支出（项）</c:v>
                </c:pt>
                <c:pt idx="12">
                  <c:v>教育支出（类）教育费附加安排的支出（款）其他教育费附加安排的支出（项）</c:v>
                </c:pt>
                <c:pt idx="13">
                  <c:v>教育支出（类）教育费附加安排的支出（款）城市中小学校舍建设（项）</c:v>
                </c:pt>
                <c:pt idx="14">
                  <c:v>教育支出（类）教育费附加安排的支出（款）农村中小学教学设施（项）</c:v>
                </c:pt>
                <c:pt idx="15">
                  <c:v>教育管理事务（款）职业高中教育（项）高等职业教育（项）</c:v>
                </c:pt>
                <c:pt idx="16">
                  <c:v>教育支出（类）职业教育（款）技校教育（项）</c:v>
                </c:pt>
                <c:pt idx="17">
                  <c:v>教育支出（类）职业教育（款）中等职业教育（项）</c:v>
                </c:pt>
                <c:pt idx="18">
                  <c:v>教育管理事务（款）普通教育（款）其他普通教育支出（项）</c:v>
                </c:pt>
                <c:pt idx="19">
                  <c:v>教育支出（类）普通教育（款）高等教育（项）</c:v>
                </c:pt>
                <c:pt idx="20">
                  <c:v>教育支出（类）普通教育（款）高中教育（项）</c:v>
                </c:pt>
                <c:pt idx="21">
                  <c:v>教育支出（类）普通教育（款）初中教育（项）</c:v>
                </c:pt>
                <c:pt idx="22">
                  <c:v>教育支出（类）普通教育（款）学前教育（项）</c:v>
                </c:pt>
                <c:pt idx="23">
                  <c:v>教育支出（类）教育管理事务（款）一般行政管理事务（项）</c:v>
                </c:pt>
                <c:pt idx="24">
                  <c:v>教育支出（类）教育管理事务（款）行政运行（项）</c:v>
                </c:pt>
              </c:strCache>
            </c:strRef>
          </c:cat>
          <c:val>
            <c:numRef>
              <c:f>Sheet1!$C$2:$C$26</c:f>
              <c:numCache>
                <c:formatCode>#,##0.00_ </c:formatCode>
                <c:ptCount val="2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numCache>
            </c:numRef>
          </c:val>
          <c:extLst>
            <c:ext xmlns:c16="http://schemas.microsoft.com/office/drawing/2014/chart" uri="{C3380CC4-5D6E-409C-BE32-E72D297353CC}">
              <c16:uniqueId val="{00000001-8688-474F-9044-C54B44D3B1D8}"/>
            </c:ext>
          </c:extLst>
        </c:ser>
        <c:dLbls>
          <c:showLegendKey val="0"/>
          <c:showVal val="0"/>
          <c:showCatName val="0"/>
          <c:showSerName val="0"/>
          <c:showPercent val="0"/>
          <c:showBubbleSize val="0"/>
        </c:dLbls>
        <c:gapWidth val="150"/>
        <c:overlap val="100"/>
        <c:axId val="230414592"/>
        <c:axId val="230420480"/>
      </c:barChart>
      <c:catAx>
        <c:axId val="230414592"/>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700" b="0" i="0" u="none" strike="noStrike" kern="1200" spc="-100" baseline="0">
                <a:solidFill>
                  <a:schemeClr val="tx1"/>
                </a:solidFill>
                <a:latin typeface="+mn-lt"/>
                <a:ea typeface="+mn-ea"/>
                <a:cs typeface="+mn-cs"/>
              </a:defRPr>
            </a:pPr>
            <a:endParaRPr lang="zh-CN"/>
          </a:p>
        </c:txPr>
        <c:crossAx val="230420480"/>
        <c:crosses val="autoZero"/>
        <c:auto val="1"/>
        <c:lblAlgn val="l"/>
        <c:lblOffset val="100"/>
        <c:noMultiLvlLbl val="0"/>
      </c:catAx>
      <c:valAx>
        <c:axId val="230420480"/>
        <c:scaling>
          <c:orientation val="minMax"/>
        </c:scaling>
        <c:delete val="0"/>
        <c:axPos val="b"/>
        <c:majorGridlines/>
        <c:minorGridlines/>
        <c:numFmt formatCode="0%"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30414592"/>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2674213836477999"/>
          <c:y val="4.43458980044346E-2"/>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“三公”经费财政拨款支出（万元）</c:v>
                </c:pt>
              </c:strCache>
            </c:strRef>
          </c:tx>
          <c:dPt>
            <c:idx val="0"/>
            <c:bubble3D val="0"/>
            <c:extLst>
              <c:ext xmlns:c16="http://schemas.microsoft.com/office/drawing/2014/chart" uri="{C3380CC4-5D6E-409C-BE32-E72D297353CC}">
                <c16:uniqueId val="{00000000-9C72-49F5-9C4F-0B00704D06D9}"/>
              </c:ext>
            </c:extLst>
          </c:dPt>
          <c:dPt>
            <c:idx val="1"/>
            <c:bubble3D val="0"/>
            <c:extLst>
              <c:ext xmlns:c16="http://schemas.microsoft.com/office/drawing/2014/chart" uri="{C3380CC4-5D6E-409C-BE32-E72D297353CC}">
                <c16:uniqueId val="{00000001-9C72-49F5-9C4F-0B00704D06D9}"/>
              </c:ext>
            </c:extLst>
          </c:dPt>
          <c:dPt>
            <c:idx val="2"/>
            <c:bubble3D val="0"/>
            <c:extLst>
              <c:ext xmlns:c16="http://schemas.microsoft.com/office/drawing/2014/chart" uri="{C3380CC4-5D6E-409C-BE32-E72D297353CC}">
                <c16:uniqueId val="{00000002-9C72-49F5-9C4F-0B00704D06D9}"/>
              </c:ext>
            </c:extLst>
          </c:dPt>
          <c:dLbls>
            <c:dLbl>
              <c:idx val="0"/>
              <c:layout>
                <c:manualLayout>
                  <c:x val="0.33103879849812301"/>
                  <c:y val="9.831325301204819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9C72-49F5-9C4F-0B00704D06D9}"/>
                </c:ext>
              </c:extLst>
            </c:dLbl>
            <c:dLbl>
              <c:idx val="1"/>
              <c:layout>
                <c:manualLayout>
                  <c:x val="-0.26846057571964999"/>
                  <c:y val="0.14265060240963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C72-49F5-9C4F-0B00704D06D9}"/>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1"/>
            <c:showSerName val="0"/>
            <c:showPercent val="1"/>
            <c:showBubbleSize val="0"/>
            <c:showLeaderLines val="1"/>
            <c:extLst>
              <c:ext xmlns:c15="http://schemas.microsoft.com/office/drawing/2012/chart" uri="{CE6537A1-D6FC-4f65-9D91-7224C49458BB}"/>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0</c:v>
                </c:pt>
              </c:numCache>
            </c:numRef>
          </c:val>
          <c:extLst>
            <c:ext xmlns:c16="http://schemas.microsoft.com/office/drawing/2014/chart" uri="{C3380CC4-5D6E-409C-BE32-E72D297353CC}">
              <c16:uniqueId val="{00000003-9C72-49F5-9C4F-0B00704D06D9}"/>
            </c:ext>
          </c:extLst>
        </c:ser>
        <c:dLbls>
          <c:showLegendKey val="0"/>
          <c:showVal val="0"/>
          <c:showCatName val="0"/>
          <c:showSerName val="0"/>
          <c:showPercent val="0"/>
          <c:showBubbleSize val="0"/>
          <c:showLeaderLines val="1"/>
        </c:dLbls>
        <c:firstSliceAng val="0"/>
      </c:pieChart>
    </c:plotArea>
    <c:plotVisOnly val="1"/>
    <c:dispBlanksAs val="gap"/>
    <c:showDLblsOverMax val="0"/>
  </c:chart>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B576C4-BB54-4F4C-B7C4-3EFD8351B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30</Pages>
  <Words>2007</Words>
  <Characters>11440</Characters>
  <Application>Microsoft Office Word</Application>
  <DocSecurity>0</DocSecurity>
  <Lines>95</Lines>
  <Paragraphs>26</Paragraphs>
  <ScaleCrop>false</ScaleCrop>
  <Company>四川省财政厅</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Administrator</cp:lastModifiedBy>
  <cp:revision>24</cp:revision>
  <cp:lastPrinted>2022-06-16T15:43:00Z</cp:lastPrinted>
  <dcterms:created xsi:type="dcterms:W3CDTF">2019-09-09T00:46:00Z</dcterms:created>
  <dcterms:modified xsi:type="dcterms:W3CDTF">2022-06-16T15:48:00Z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745C929FB69641B8AB707E4995957222</vt:lpwstr>
  </property>
</Properties>
</file>