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76" w:lineRule="exact"/>
        <w:ind w:left="0"/>
        <w:jc w:val="center"/>
        <w:textAlignment w:val="auto"/>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广元市利州区盘龙第一小学</w:t>
      </w:r>
    </w:p>
    <w:p>
      <w:pPr>
        <w:keepNext w:val="0"/>
        <w:keepLines w:val="0"/>
        <w:pageBreakBefore w:val="0"/>
        <w:widowControl w:val="0"/>
        <w:kinsoku/>
        <w:wordWrap/>
        <w:overflowPunct/>
        <w:topLinePunct w:val="0"/>
        <w:autoSpaceDE/>
        <w:autoSpaceDN/>
        <w:bidi w:val="0"/>
        <w:snapToGrid w:val="0"/>
        <w:spacing w:line="576" w:lineRule="exact"/>
        <w:ind w:left="0"/>
        <w:jc w:val="center"/>
        <w:textAlignment w:val="auto"/>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2021年部门预算情况说明</w:t>
      </w:r>
    </w:p>
    <w:p>
      <w:pPr>
        <w:keepNext w:val="0"/>
        <w:keepLines w:val="0"/>
        <w:pageBreakBefore w:val="0"/>
        <w:widowControl w:val="0"/>
        <w:kinsoku/>
        <w:wordWrap/>
        <w:overflowPunct/>
        <w:topLinePunct w:val="0"/>
        <w:autoSpaceDE/>
        <w:autoSpaceDN/>
        <w:bidi w:val="0"/>
        <w:snapToGrid w:val="0"/>
        <w:spacing w:line="576" w:lineRule="exact"/>
        <w:ind w:left="0"/>
        <w:jc w:val="center"/>
        <w:textAlignment w:val="auto"/>
        <w:rPr>
          <w:rFonts w:hint="eastAsia" w:ascii="仿宋" w:hAnsi="仿宋" w:eastAsia="仿宋" w:cs="仿宋"/>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一、基本情况</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广元市利州区盘龙第一小学隶属广元市利州区教育局下属二级预算单位，学校编制</w:t>
      </w:r>
      <w:r>
        <w:rPr>
          <w:rFonts w:hint="eastAsia" w:ascii="仿宋" w:hAnsi="仿宋" w:eastAsia="仿宋" w:cs="仿宋"/>
          <w:color w:val="000000" w:themeColor="text1"/>
          <w:sz w:val="32"/>
          <w:szCs w:val="32"/>
          <w14:textFill>
            <w14:solidFill>
              <w14:schemeClr w14:val="tx1"/>
            </w14:solidFill>
          </w14:textFill>
        </w:rPr>
        <w:t>45</w:t>
      </w:r>
      <w:r>
        <w:rPr>
          <w:rFonts w:hint="eastAsia" w:ascii="仿宋" w:hAnsi="仿宋" w:eastAsia="仿宋" w:cs="仿宋"/>
          <w:color w:val="000000" w:themeColor="text1"/>
          <w:sz w:val="32"/>
          <w:szCs w:val="32"/>
          <w14:textFill>
            <w14:solidFill>
              <w14:schemeClr w14:val="tx1"/>
            </w14:solidFill>
          </w14:textFill>
        </w:rPr>
        <w:t>名，其中事业编制</w:t>
      </w:r>
      <w:r>
        <w:rPr>
          <w:rFonts w:hint="eastAsia" w:ascii="仿宋" w:hAnsi="仿宋" w:eastAsia="仿宋" w:cs="仿宋"/>
          <w:color w:val="000000" w:themeColor="text1"/>
          <w:sz w:val="32"/>
          <w:szCs w:val="32"/>
          <w14:textFill>
            <w14:solidFill>
              <w14:schemeClr w14:val="tx1"/>
            </w14:solidFill>
          </w14:textFill>
        </w:rPr>
        <w:t>45</w:t>
      </w:r>
      <w:r>
        <w:rPr>
          <w:rFonts w:hint="eastAsia" w:ascii="仿宋" w:hAnsi="仿宋" w:eastAsia="仿宋" w:cs="仿宋"/>
          <w:color w:val="000000" w:themeColor="text1"/>
          <w:sz w:val="32"/>
          <w:szCs w:val="32"/>
          <w14:textFill>
            <w14:solidFill>
              <w14:schemeClr w14:val="tx1"/>
            </w14:solidFill>
          </w14:textFill>
        </w:rPr>
        <w:t>名。在职人员总数</w:t>
      </w:r>
      <w:r>
        <w:rPr>
          <w:rFonts w:hint="eastAsia" w:ascii="仿宋" w:hAnsi="仿宋" w:eastAsia="仿宋" w:cs="仿宋"/>
          <w:color w:val="000000" w:themeColor="text1"/>
          <w:sz w:val="32"/>
          <w:szCs w:val="32"/>
          <w14:textFill>
            <w14:solidFill>
              <w14:schemeClr w14:val="tx1"/>
            </w14:solidFill>
          </w14:textFill>
        </w:rPr>
        <w:t>46</w:t>
      </w:r>
      <w:r>
        <w:rPr>
          <w:rFonts w:hint="eastAsia" w:ascii="仿宋" w:hAnsi="仿宋" w:eastAsia="仿宋" w:cs="仿宋"/>
          <w:color w:val="000000" w:themeColor="text1"/>
          <w:sz w:val="32"/>
          <w:szCs w:val="32"/>
          <w14:textFill>
            <w14:solidFill>
              <w14:schemeClr w14:val="tx1"/>
            </w14:solidFill>
          </w14:textFill>
        </w:rPr>
        <w:t>人，其中工勤人员</w:t>
      </w: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人，事业人员</w:t>
      </w:r>
      <w:r>
        <w:rPr>
          <w:rFonts w:hint="eastAsia" w:ascii="仿宋" w:hAnsi="仿宋" w:eastAsia="仿宋" w:cs="仿宋"/>
          <w:color w:val="000000" w:themeColor="text1"/>
          <w:sz w:val="32"/>
          <w:szCs w:val="32"/>
          <w14:textFill>
            <w14:solidFill>
              <w14:schemeClr w14:val="tx1"/>
            </w14:solidFill>
          </w14:textFill>
        </w:rPr>
        <w:t>45</w:t>
      </w:r>
      <w:r>
        <w:rPr>
          <w:rFonts w:hint="eastAsia" w:ascii="仿宋" w:hAnsi="仿宋" w:eastAsia="仿宋" w:cs="仿宋"/>
          <w:color w:val="000000" w:themeColor="text1"/>
          <w:sz w:val="32"/>
          <w:szCs w:val="32"/>
          <w14:textFill>
            <w14:solidFill>
              <w14:schemeClr w14:val="tx1"/>
            </w14:solidFill>
          </w14:textFill>
        </w:rPr>
        <w:t>人（含特岗</w:t>
      </w: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人）；退休人员</w:t>
      </w:r>
      <w:r>
        <w:rPr>
          <w:rFonts w:hint="eastAsia" w:ascii="仿宋" w:hAnsi="仿宋" w:eastAsia="仿宋" w:cs="仿宋"/>
          <w:color w:val="000000" w:themeColor="text1"/>
          <w:sz w:val="32"/>
          <w:szCs w:val="32"/>
          <w14:textFill>
            <w14:solidFill>
              <w14:schemeClr w14:val="tx1"/>
            </w14:solidFill>
          </w14:textFill>
        </w:rPr>
        <w:t>34</w:t>
      </w:r>
      <w:r>
        <w:rPr>
          <w:rFonts w:hint="eastAsia" w:ascii="仿宋" w:hAnsi="仿宋" w:eastAsia="仿宋" w:cs="仿宋"/>
          <w:color w:val="000000" w:themeColor="text1"/>
          <w:sz w:val="32"/>
          <w:szCs w:val="32"/>
          <w14:textFill>
            <w14:solidFill>
              <w14:schemeClr w14:val="tx1"/>
            </w14:solidFill>
          </w14:textFill>
        </w:rPr>
        <w:t>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二、主要职能职责</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宣传</w:t>
      </w:r>
      <w:r>
        <w:rPr>
          <w:rFonts w:hint="eastAsia" w:ascii="仿宋" w:hAnsi="仿宋" w:eastAsia="仿宋" w:cs="仿宋"/>
          <w:color w:val="000000" w:themeColor="text1"/>
          <w:sz w:val="32"/>
          <w:szCs w:val="32"/>
          <w14:textFill>
            <w14:solidFill>
              <w14:schemeClr w14:val="tx1"/>
            </w14:solidFill>
          </w14:textFill>
        </w:rPr>
        <w:t>贯彻执行党和国家关于教育改革和发展的各项方针、政策，</w:t>
      </w:r>
      <w:r>
        <w:rPr>
          <w:rFonts w:hint="eastAsia" w:ascii="仿宋" w:hAnsi="仿宋" w:eastAsia="仿宋" w:cs="仿宋"/>
          <w:color w:val="000000" w:themeColor="text1"/>
          <w:sz w:val="32"/>
          <w:szCs w:val="32"/>
          <w14:textFill>
            <w14:solidFill>
              <w14:schemeClr w14:val="tx1"/>
            </w14:solidFill>
          </w14:textFill>
        </w:rPr>
        <w:t>坚持依法执教、依法治学，贯彻执行主管教育局的行政规章制度</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(二)负责教育经费的统筹管理和</w:t>
      </w:r>
      <w:r>
        <w:rPr>
          <w:rFonts w:hint="eastAsia" w:ascii="仿宋" w:hAnsi="仿宋" w:eastAsia="仿宋" w:cs="仿宋"/>
          <w:color w:val="000000" w:themeColor="text1"/>
          <w:sz w:val="32"/>
          <w:szCs w:val="32"/>
          <w14:textFill>
            <w14:solidFill>
              <w14:schemeClr w14:val="tx1"/>
            </w14:solidFill>
          </w14:textFill>
        </w:rPr>
        <w:t>合理</w:t>
      </w:r>
      <w:r>
        <w:rPr>
          <w:rFonts w:hint="eastAsia" w:ascii="仿宋" w:hAnsi="仿宋" w:eastAsia="仿宋" w:cs="仿宋"/>
          <w:color w:val="000000" w:themeColor="text1"/>
          <w:sz w:val="32"/>
          <w:szCs w:val="32"/>
          <w14:textFill>
            <w14:solidFill>
              <w14:schemeClr w14:val="tx1"/>
            </w14:solidFill>
          </w14:textFill>
        </w:rPr>
        <w:t>使用</w:t>
      </w:r>
      <w:r>
        <w:rPr>
          <w:rFonts w:hint="eastAsia" w:ascii="仿宋" w:hAnsi="仿宋" w:eastAsia="仿宋" w:cs="仿宋"/>
          <w:color w:val="000000" w:themeColor="text1"/>
          <w:sz w:val="32"/>
          <w:szCs w:val="32"/>
          <w14:textFill>
            <w14:solidFill>
              <w14:schemeClr w14:val="tx1"/>
            </w14:solidFill>
          </w14:textFill>
        </w:rPr>
        <w:t>，改善办学条件</w:t>
      </w:r>
      <w:r>
        <w:rPr>
          <w:rFonts w:hint="eastAsia" w:ascii="仿宋" w:hAnsi="仿宋" w:eastAsia="仿宋" w:cs="仿宋"/>
          <w:color w:val="000000" w:themeColor="text1"/>
          <w:sz w:val="32"/>
          <w:szCs w:val="32"/>
          <w14:textFill>
            <w14:solidFill>
              <w14:schemeClr w14:val="tx1"/>
            </w14:solidFill>
          </w14:textFill>
        </w:rPr>
        <w:t>；宣传贯彻执行国家和省市</w:t>
      </w:r>
      <w:r>
        <w:rPr>
          <w:rFonts w:hint="eastAsia" w:ascii="仿宋" w:hAnsi="仿宋" w:eastAsia="仿宋" w:cs="仿宋"/>
          <w:color w:val="000000" w:themeColor="text1"/>
          <w:sz w:val="32"/>
          <w:szCs w:val="32"/>
          <w14:textFill>
            <w14:solidFill>
              <w14:schemeClr w14:val="tx1"/>
            </w14:solidFill>
          </w14:textFill>
        </w:rPr>
        <w:t>区</w:t>
      </w:r>
      <w:r>
        <w:rPr>
          <w:rFonts w:hint="eastAsia" w:ascii="仿宋" w:hAnsi="仿宋" w:eastAsia="仿宋" w:cs="仿宋"/>
          <w:color w:val="000000" w:themeColor="text1"/>
          <w:sz w:val="32"/>
          <w:szCs w:val="32"/>
          <w14:textFill>
            <w14:solidFill>
              <w14:schemeClr w14:val="tx1"/>
            </w14:solidFill>
          </w14:textFill>
        </w:rPr>
        <w:t>有关学生资助工作方针和政策，</w:t>
      </w:r>
      <w:r>
        <w:rPr>
          <w:rFonts w:hint="eastAsia" w:ascii="仿宋" w:hAnsi="仿宋" w:eastAsia="仿宋" w:cs="仿宋"/>
          <w:color w:val="000000" w:themeColor="text1"/>
          <w:sz w:val="32"/>
          <w:szCs w:val="32"/>
          <w14:textFill>
            <w14:solidFill>
              <w14:schemeClr w14:val="tx1"/>
            </w14:solidFill>
          </w14:textFill>
        </w:rPr>
        <w:t>做好本校</w:t>
      </w:r>
      <w:r>
        <w:rPr>
          <w:rFonts w:hint="eastAsia" w:ascii="仿宋" w:hAnsi="仿宋" w:eastAsia="仿宋" w:cs="仿宋"/>
          <w:color w:val="000000" w:themeColor="text1"/>
          <w:sz w:val="32"/>
          <w:szCs w:val="32"/>
          <w14:textFill>
            <w14:solidFill>
              <w14:schemeClr w14:val="tx1"/>
            </w14:solidFill>
          </w14:textFill>
        </w:rPr>
        <w:t>贫困家庭学生资助工作。</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w:t>
      </w:r>
      <w:r>
        <w:rPr>
          <w:rFonts w:hint="eastAsia" w:ascii="仿宋" w:hAnsi="仿宋" w:eastAsia="仿宋" w:cs="仿宋"/>
          <w:color w:val="000000" w:themeColor="text1"/>
          <w:sz w:val="32"/>
          <w:szCs w:val="32"/>
          <w14:textFill>
            <w14:solidFill>
              <w14:schemeClr w14:val="tx1"/>
            </w14:solidFill>
          </w14:textFill>
        </w:rPr>
        <w:t>组织适龄儿童入学，严格控辍保学，推进义务教育发展。</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w:t>
      </w:r>
      <w:r>
        <w:rPr>
          <w:rFonts w:hint="eastAsia" w:ascii="仿宋" w:hAnsi="仿宋" w:eastAsia="仿宋" w:cs="仿宋"/>
          <w:color w:val="000000" w:themeColor="text1"/>
          <w:sz w:val="32"/>
          <w:szCs w:val="32"/>
          <w14:textFill>
            <w14:solidFill>
              <w14:schemeClr w14:val="tx1"/>
            </w14:solidFill>
          </w14:textFill>
        </w:rPr>
        <w:t>组织开展本校的教育教学科研教育教学改革，全力推进素质教育实施，开齐开足课程，努力提高办学质量和办学效益</w:t>
      </w:r>
      <w:r>
        <w:rPr>
          <w:rFonts w:hint="eastAsia"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五</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按照教职工的编制和管理权限，负责本校教职工的人事管理、继续教育、考核考评工作，</w:t>
      </w:r>
      <w:r>
        <w:rPr>
          <w:rFonts w:hint="eastAsia" w:ascii="仿宋" w:hAnsi="仿宋" w:eastAsia="仿宋" w:cs="仿宋"/>
          <w:color w:val="000000" w:themeColor="text1"/>
          <w:sz w:val="32"/>
          <w:szCs w:val="32"/>
          <w14:textFill>
            <w14:solidFill>
              <w14:schemeClr w14:val="tx1"/>
            </w14:solidFill>
          </w14:textFill>
        </w:rPr>
        <w:t>推行和实施教师聘任制</w:t>
      </w:r>
      <w:r>
        <w:rPr>
          <w:rFonts w:hint="eastAsia" w:ascii="仿宋" w:hAnsi="仿宋" w:eastAsia="仿宋" w:cs="仿宋"/>
          <w:color w:val="000000" w:themeColor="text1"/>
          <w:sz w:val="32"/>
          <w:szCs w:val="32"/>
          <w14:textFill>
            <w14:solidFill>
              <w14:schemeClr w14:val="tx1"/>
            </w14:solidFill>
          </w14:textFill>
        </w:rPr>
        <w:t>，完善</w:t>
      </w:r>
      <w:r>
        <w:rPr>
          <w:rFonts w:hint="eastAsia" w:ascii="仿宋" w:hAnsi="仿宋" w:eastAsia="仿宋" w:cs="仿宋"/>
          <w:color w:val="000000" w:themeColor="text1"/>
          <w:sz w:val="32"/>
          <w:szCs w:val="32"/>
          <w14:textFill>
            <w14:solidFill>
              <w14:schemeClr w14:val="tx1"/>
            </w14:solidFill>
          </w14:textFill>
        </w:rPr>
        <w:t xml:space="preserve">人才队伍建设。 </w:t>
      </w:r>
    </w:p>
    <w:p>
      <w:pPr>
        <w:keepNext w:val="0"/>
        <w:keepLines w:val="0"/>
        <w:pageBreakBefore w:val="0"/>
        <w:widowControl w:val="0"/>
        <w:kinsoku/>
        <w:wordWrap/>
        <w:overflowPunct/>
        <w:topLinePunct w:val="0"/>
        <w:autoSpaceDE/>
        <w:autoSpaceDN/>
        <w:bidi w:val="0"/>
        <w:snapToGrid w:val="0"/>
        <w:spacing w:line="576" w:lineRule="exact"/>
        <w:ind w:left="0" w:firstLine="480" w:firstLineChars="15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五</w:t>
      </w:r>
      <w:r>
        <w:rPr>
          <w:rFonts w:hint="eastAsia" w:ascii="仿宋" w:hAnsi="仿宋" w:eastAsia="仿宋" w:cs="仿宋"/>
          <w:color w:val="000000" w:themeColor="text1"/>
          <w:sz w:val="32"/>
          <w:szCs w:val="32"/>
          <w14:textFill>
            <w14:solidFill>
              <w14:schemeClr w14:val="tx1"/>
            </w14:solidFill>
          </w14:textFill>
        </w:rPr>
        <w:t xml:space="preserve">)组织教育方面的对外交流与合作、对外宣传。 </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480" w:firstLineChars="15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(六)承办上级交办的其他事项</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三、预算收支情况说明</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广元市利州区盘龙第一小学2021年部门预算收入总数</w:t>
      </w:r>
      <w:r>
        <w:rPr>
          <w:rFonts w:hint="eastAsia" w:ascii="仿宋" w:hAnsi="仿宋" w:eastAsia="仿宋" w:cs="仿宋"/>
          <w:color w:val="000000" w:themeColor="text1"/>
          <w:sz w:val="32"/>
          <w:szCs w:val="32"/>
          <w14:textFill>
            <w14:solidFill>
              <w14:schemeClr w14:val="tx1"/>
            </w14:solidFill>
          </w14:textFill>
        </w:rPr>
        <w:t>691.23</w:t>
      </w:r>
      <w:r>
        <w:rPr>
          <w:rFonts w:hint="eastAsia" w:ascii="仿宋" w:hAnsi="仿宋" w:eastAsia="仿宋" w:cs="仿宋"/>
          <w:color w:val="000000" w:themeColor="text1"/>
          <w:sz w:val="32"/>
          <w:szCs w:val="32"/>
          <w14:textFill>
            <w14:solidFill>
              <w14:schemeClr w14:val="tx1"/>
            </w14:solidFill>
          </w14:textFill>
        </w:rPr>
        <w:t>万元，较2020年部门预算收入总数</w:t>
      </w:r>
      <w:r>
        <w:rPr>
          <w:rFonts w:hint="eastAsia" w:ascii="仿宋" w:hAnsi="仿宋" w:eastAsia="仿宋" w:cs="仿宋"/>
          <w:color w:val="000000" w:themeColor="text1"/>
          <w:sz w:val="32"/>
          <w:szCs w:val="32"/>
          <w14:textFill>
            <w14:solidFill>
              <w14:schemeClr w14:val="tx1"/>
            </w14:solidFill>
          </w14:textFill>
        </w:rPr>
        <w:t>688.95</w:t>
      </w:r>
      <w:r>
        <w:rPr>
          <w:rFonts w:hint="eastAsia" w:ascii="仿宋" w:hAnsi="仿宋" w:eastAsia="仿宋" w:cs="仿宋"/>
          <w:color w:val="000000" w:themeColor="text1"/>
          <w:sz w:val="32"/>
          <w:szCs w:val="32"/>
          <w14:textFill>
            <w14:solidFill>
              <w14:schemeClr w14:val="tx1"/>
            </w14:solidFill>
          </w14:textFill>
        </w:rPr>
        <w:t>万元增长</w:t>
      </w: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91%。2021年部门预算支出总数</w:t>
      </w:r>
      <w:r>
        <w:rPr>
          <w:rFonts w:hint="eastAsia" w:ascii="仿宋" w:hAnsi="仿宋" w:eastAsia="仿宋" w:cs="仿宋"/>
          <w:color w:val="000000" w:themeColor="text1"/>
          <w:sz w:val="32"/>
          <w:szCs w:val="32"/>
          <w14:textFill>
            <w14:solidFill>
              <w14:schemeClr w14:val="tx1"/>
            </w14:solidFill>
          </w14:textFill>
        </w:rPr>
        <w:t>691.23</w:t>
      </w:r>
      <w:r>
        <w:rPr>
          <w:rFonts w:hint="eastAsia" w:ascii="仿宋" w:hAnsi="仿宋" w:eastAsia="仿宋" w:cs="仿宋"/>
          <w:color w:val="000000" w:themeColor="text1"/>
          <w:sz w:val="32"/>
          <w:szCs w:val="32"/>
          <w14:textFill>
            <w14:solidFill>
              <w14:schemeClr w14:val="tx1"/>
            </w14:solidFill>
          </w14:textFill>
        </w:rPr>
        <w:t>万元，较2020年部门预算支出总数</w:t>
      </w:r>
      <w:r>
        <w:rPr>
          <w:rFonts w:hint="eastAsia" w:ascii="仿宋" w:hAnsi="仿宋" w:eastAsia="仿宋" w:cs="仿宋"/>
          <w:color w:val="000000" w:themeColor="text1"/>
          <w:sz w:val="32"/>
          <w:szCs w:val="32"/>
          <w14:textFill>
            <w14:solidFill>
              <w14:schemeClr w14:val="tx1"/>
            </w14:solidFill>
          </w14:textFill>
        </w:rPr>
        <w:t>688.95</w:t>
      </w:r>
      <w:r>
        <w:rPr>
          <w:rFonts w:hint="eastAsia" w:ascii="仿宋" w:hAnsi="仿宋" w:eastAsia="仿宋" w:cs="仿宋"/>
          <w:color w:val="000000" w:themeColor="text1"/>
          <w:sz w:val="32"/>
          <w:szCs w:val="32"/>
          <w14:textFill>
            <w14:solidFill>
              <w14:schemeClr w14:val="tx1"/>
            </w14:solidFill>
          </w14:textFill>
        </w:rPr>
        <w:t>万元增长</w:t>
      </w:r>
      <w:r>
        <w:rPr>
          <w:rFonts w:hint="eastAsia" w:ascii="仿宋" w:hAnsi="仿宋" w:eastAsia="仿宋" w:cs="仿宋"/>
          <w:color w:val="000000" w:themeColor="text1"/>
          <w:sz w:val="32"/>
          <w:szCs w:val="32"/>
          <w14:textFill>
            <w14:solidFill>
              <w14:schemeClr w14:val="tx1"/>
            </w14:solidFill>
          </w14:textFill>
        </w:rPr>
        <w:t>0.05</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广元市利州区盘龙第一小学2021年部门基本支出预算总数</w:t>
      </w:r>
      <w:r>
        <w:rPr>
          <w:rFonts w:hint="eastAsia" w:ascii="仿宋" w:hAnsi="仿宋" w:eastAsia="仿宋" w:cs="仿宋"/>
          <w:color w:val="000000" w:themeColor="text1"/>
          <w:sz w:val="32"/>
          <w:szCs w:val="32"/>
          <w14:textFill>
            <w14:solidFill>
              <w14:schemeClr w14:val="tx1"/>
            </w14:solidFill>
          </w14:textFill>
        </w:rPr>
        <w:t>691.23</w:t>
      </w:r>
      <w:r>
        <w:rPr>
          <w:rFonts w:hint="eastAsia" w:ascii="仿宋" w:hAnsi="仿宋" w:eastAsia="仿宋" w:cs="仿宋"/>
          <w:color w:val="000000" w:themeColor="text1"/>
          <w:sz w:val="32"/>
          <w:szCs w:val="32"/>
          <w14:textFill>
            <w14:solidFill>
              <w14:schemeClr w14:val="tx1"/>
            </w14:solidFill>
          </w14:textFill>
        </w:rPr>
        <w:t>万元，其中人员支出</w:t>
      </w:r>
      <w:r>
        <w:rPr>
          <w:rFonts w:hint="eastAsia" w:ascii="仿宋" w:hAnsi="仿宋" w:eastAsia="仿宋" w:cs="仿宋"/>
          <w:color w:val="000000" w:themeColor="text1"/>
          <w:sz w:val="32"/>
          <w:szCs w:val="32"/>
          <w14:textFill>
            <w14:solidFill>
              <w14:schemeClr w14:val="tx1"/>
            </w14:solidFill>
          </w14:textFill>
        </w:rPr>
        <w:t>671.53</w:t>
      </w:r>
      <w:r>
        <w:rPr>
          <w:rFonts w:hint="eastAsia" w:ascii="仿宋" w:hAnsi="仿宋" w:eastAsia="仿宋" w:cs="仿宋"/>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四、财政拨款收支预算情况说明</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广元市利州区盘龙第一小学2021年部门预算财政拨款收入总数</w:t>
      </w:r>
      <w:r>
        <w:rPr>
          <w:rFonts w:hint="eastAsia" w:ascii="仿宋" w:hAnsi="仿宋" w:eastAsia="仿宋" w:cs="仿宋"/>
          <w:color w:val="000000" w:themeColor="text1"/>
          <w:sz w:val="32"/>
          <w:szCs w:val="32"/>
          <w14:textFill>
            <w14:solidFill>
              <w14:schemeClr w14:val="tx1"/>
            </w14:solidFill>
          </w14:textFill>
        </w:rPr>
        <w:t>691.23</w:t>
      </w:r>
      <w:r>
        <w:rPr>
          <w:rFonts w:hint="eastAsia" w:ascii="仿宋" w:hAnsi="仿宋" w:eastAsia="仿宋" w:cs="仿宋"/>
          <w:color w:val="000000" w:themeColor="text1"/>
          <w:sz w:val="32"/>
          <w:szCs w:val="32"/>
          <w14:textFill>
            <w14:solidFill>
              <w14:schemeClr w14:val="tx1"/>
            </w14:solidFill>
          </w14:textFill>
        </w:rPr>
        <w:t>万元，较2020年部门预算财政拨款收入总数</w:t>
      </w:r>
      <w:r>
        <w:rPr>
          <w:rFonts w:hint="eastAsia" w:ascii="仿宋" w:hAnsi="仿宋" w:eastAsia="仿宋" w:cs="仿宋"/>
          <w:color w:val="000000" w:themeColor="text1"/>
          <w:sz w:val="32"/>
          <w:szCs w:val="32"/>
          <w14:textFill>
            <w14:solidFill>
              <w14:schemeClr w14:val="tx1"/>
            </w14:solidFill>
          </w14:textFill>
        </w:rPr>
        <w:t>688.95</w:t>
      </w:r>
      <w:r>
        <w:rPr>
          <w:rFonts w:hint="eastAsia" w:ascii="仿宋" w:hAnsi="仿宋" w:eastAsia="仿宋" w:cs="仿宋"/>
          <w:color w:val="000000" w:themeColor="text1"/>
          <w:sz w:val="32"/>
          <w:szCs w:val="32"/>
          <w14:textFill>
            <w14:solidFill>
              <w14:schemeClr w14:val="tx1"/>
            </w14:solidFill>
          </w14:textFill>
        </w:rPr>
        <w:t>万元增长</w:t>
      </w: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91%。2021年部门预算财政拨款支出总数</w:t>
      </w:r>
      <w:r>
        <w:rPr>
          <w:rFonts w:hint="eastAsia" w:ascii="仿宋" w:hAnsi="仿宋" w:eastAsia="仿宋" w:cs="仿宋"/>
          <w:color w:val="000000" w:themeColor="text1"/>
          <w:sz w:val="32"/>
          <w:szCs w:val="32"/>
          <w14:textFill>
            <w14:solidFill>
              <w14:schemeClr w14:val="tx1"/>
            </w14:solidFill>
          </w14:textFill>
        </w:rPr>
        <w:t>691.23</w:t>
      </w:r>
      <w:r>
        <w:rPr>
          <w:rFonts w:hint="eastAsia" w:ascii="仿宋" w:hAnsi="仿宋" w:eastAsia="仿宋" w:cs="仿宋"/>
          <w:color w:val="000000" w:themeColor="text1"/>
          <w:sz w:val="32"/>
          <w:szCs w:val="32"/>
          <w14:textFill>
            <w14:solidFill>
              <w14:schemeClr w14:val="tx1"/>
            </w14:solidFill>
          </w14:textFill>
        </w:rPr>
        <w:t>万元，较2020年部门预算财政拨款支出总数</w:t>
      </w:r>
      <w:r>
        <w:rPr>
          <w:rFonts w:hint="eastAsia" w:ascii="仿宋" w:hAnsi="仿宋" w:eastAsia="仿宋" w:cs="仿宋"/>
          <w:color w:val="000000" w:themeColor="text1"/>
          <w:sz w:val="32"/>
          <w:szCs w:val="32"/>
          <w14:textFill>
            <w14:solidFill>
              <w14:schemeClr w14:val="tx1"/>
            </w14:solidFill>
          </w14:textFill>
        </w:rPr>
        <w:t>688.95</w:t>
      </w:r>
      <w:r>
        <w:rPr>
          <w:rFonts w:hint="eastAsia" w:ascii="仿宋" w:hAnsi="仿宋" w:eastAsia="仿宋" w:cs="仿宋"/>
          <w:color w:val="000000" w:themeColor="text1"/>
          <w:sz w:val="32"/>
          <w:szCs w:val="32"/>
          <w14:textFill>
            <w14:solidFill>
              <w14:schemeClr w14:val="tx1"/>
            </w14:solidFill>
          </w14:textFill>
        </w:rPr>
        <w:t>万元增长</w:t>
      </w:r>
      <w:r>
        <w:rPr>
          <w:rFonts w:hint="eastAsia" w:ascii="仿宋" w:hAnsi="仿宋" w:eastAsia="仿宋" w:cs="仿宋"/>
          <w:color w:val="000000" w:themeColor="text1"/>
          <w:sz w:val="32"/>
          <w:szCs w:val="32"/>
          <w14:textFill>
            <w14:solidFill>
              <w14:schemeClr w14:val="tx1"/>
            </w14:solidFill>
          </w14:textFill>
        </w:rPr>
        <w:t>0.05</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Style w:val="7"/>
          <w:rFonts w:hint="eastAsia" w:ascii="楷体" w:hAnsi="楷体" w:eastAsia="楷体" w:cs="楷体"/>
          <w:b w:val="0"/>
          <w:bCs/>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五、一般公共预算当年拨款情况说明</w:t>
      </w:r>
      <w:r>
        <w:rPr>
          <w:rFonts w:hint="eastAsia" w:ascii="黑体" w:hAnsi="黑体" w:eastAsia="黑体" w:cs="黑体"/>
          <w:color w:val="000000" w:themeColor="text1"/>
          <w:sz w:val="32"/>
          <w:szCs w:val="32"/>
          <w14:textFill>
            <w14:solidFill>
              <w14:schemeClr w14:val="tx1"/>
            </w14:solidFill>
          </w14:textFill>
        </w:rPr>
        <w:br w:type="textWrapping"/>
      </w:r>
      <w:r>
        <w:rPr>
          <w:rStyle w:val="7"/>
          <w:rFonts w:hint="eastAsia" w:ascii="楷体" w:hAnsi="楷体" w:eastAsia="楷体" w:cs="楷体"/>
          <w:b w:val="0"/>
          <w:bCs/>
          <w:color w:val="000000" w:themeColor="text1"/>
          <w:sz w:val="32"/>
          <w:szCs w:val="32"/>
          <w14:textFill>
            <w14:solidFill>
              <w14:schemeClr w14:val="tx1"/>
            </w14:solidFill>
          </w14:textFill>
        </w:rPr>
        <w:t>　　（一）一般公共预算当年拨款规模变化情况</w:t>
      </w:r>
      <w:r>
        <w:rPr>
          <w:rStyle w:val="7"/>
          <w:rFonts w:hint="eastAsia" w:ascii="楷体" w:hAnsi="楷体" w:eastAsia="楷体" w:cs="楷体"/>
          <w:b w:val="0"/>
          <w:bCs/>
          <w:color w:val="000000" w:themeColor="text1"/>
          <w:sz w:val="32"/>
          <w:szCs w:val="32"/>
          <w14:textFill>
            <w14:solidFill>
              <w14:schemeClr w14:val="tx1"/>
            </w14:solidFill>
          </w14:textFill>
        </w:rPr>
        <w:br w:type="textWrapping"/>
      </w:r>
      <w:r>
        <w:rPr>
          <w:rStyle w:val="7"/>
          <w:rFonts w:hint="eastAsia" w:ascii="仿宋" w:hAnsi="仿宋" w:eastAsia="仿宋" w:cs="仿宋"/>
          <w:color w:val="000000" w:themeColor="text1"/>
          <w:sz w:val="32"/>
          <w:szCs w:val="32"/>
          <w14:textFill>
            <w14:solidFill>
              <w14:schemeClr w14:val="tx1"/>
            </w14:solidFill>
          </w14:textFill>
        </w:rPr>
        <w:t xml:space="preserve">   </w:t>
      </w:r>
      <w:r>
        <w:rPr>
          <w:rStyle w:val="7"/>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2021年一般公共预算当年拨款</w:t>
      </w:r>
      <w:r>
        <w:rPr>
          <w:rFonts w:hint="eastAsia" w:ascii="仿宋" w:hAnsi="仿宋" w:eastAsia="仿宋" w:cs="仿宋"/>
          <w:color w:val="000000" w:themeColor="text1"/>
          <w:sz w:val="32"/>
          <w:szCs w:val="32"/>
          <w14:textFill>
            <w14:solidFill>
              <w14:schemeClr w14:val="tx1"/>
            </w14:solidFill>
          </w14:textFill>
        </w:rPr>
        <w:t>691.23</w:t>
      </w:r>
      <w:r>
        <w:rPr>
          <w:rFonts w:hint="eastAsia" w:ascii="仿宋" w:hAnsi="仿宋" w:eastAsia="仿宋" w:cs="仿宋"/>
          <w:color w:val="000000" w:themeColor="text1"/>
          <w:sz w:val="32"/>
          <w:szCs w:val="32"/>
          <w14:textFill>
            <w14:solidFill>
              <w14:schemeClr w14:val="tx1"/>
            </w14:solidFill>
          </w14:textFill>
        </w:rPr>
        <w:t>万元，比2020年预算数增加</w:t>
      </w:r>
      <w:r>
        <w:rPr>
          <w:rFonts w:hint="eastAsia" w:ascii="仿宋" w:hAnsi="仿宋" w:eastAsia="仿宋" w:cs="仿宋"/>
          <w:color w:val="000000" w:themeColor="text1"/>
          <w:sz w:val="32"/>
          <w:szCs w:val="32"/>
          <w14:textFill>
            <w14:solidFill>
              <w14:schemeClr w14:val="tx1"/>
            </w14:solidFill>
          </w14:textFill>
        </w:rPr>
        <w:t>2.28</w:t>
      </w:r>
      <w:r>
        <w:rPr>
          <w:rFonts w:hint="eastAsia" w:ascii="仿宋" w:hAnsi="仿宋" w:eastAsia="仿宋" w:cs="仿宋"/>
          <w:color w:val="000000" w:themeColor="text1"/>
          <w:sz w:val="32"/>
          <w:szCs w:val="32"/>
          <w14:textFill>
            <w14:solidFill>
              <w14:schemeClr w14:val="tx1"/>
            </w14:solidFill>
          </w14:textFill>
        </w:rPr>
        <w:t>万元，主要原因是人员支出预算支出增加。</w:t>
      </w:r>
      <w:r>
        <w:rPr>
          <w:rFonts w:hint="eastAsia" w:ascii="仿宋" w:hAnsi="仿宋" w:eastAsia="仿宋" w:cs="仿宋"/>
          <w:color w:val="000000" w:themeColor="text1"/>
          <w:sz w:val="32"/>
          <w:szCs w:val="32"/>
          <w14:textFill>
            <w14:solidFill>
              <w14:schemeClr w14:val="tx1"/>
            </w14:solidFill>
          </w14:textFill>
        </w:rPr>
        <w:br w:type="textWrapping"/>
      </w:r>
      <w:r>
        <w:rPr>
          <w:rStyle w:val="7"/>
          <w:rFonts w:hint="eastAsia" w:ascii="楷体" w:hAnsi="楷体" w:eastAsia="楷体" w:cs="楷体"/>
          <w:b w:val="0"/>
          <w:bCs/>
          <w:color w:val="000000" w:themeColor="text1"/>
          <w:sz w:val="32"/>
          <w:szCs w:val="32"/>
          <w14:textFill>
            <w14:solidFill>
              <w14:schemeClr w14:val="tx1"/>
            </w14:solidFill>
          </w14:textFill>
        </w:rPr>
        <w:t>　　（二）一般公共预算当年拨款结构情况</w:t>
      </w:r>
      <w:r>
        <w:rPr>
          <w:rStyle w:val="7"/>
          <w:rFonts w:hint="eastAsia" w:ascii="楷体" w:hAnsi="楷体" w:eastAsia="楷体" w:cs="楷体"/>
          <w:b w:val="0"/>
          <w:bCs/>
          <w:color w:val="000000" w:themeColor="text1"/>
          <w:sz w:val="32"/>
          <w:szCs w:val="32"/>
          <w14:textFill>
            <w14:solidFill>
              <w14:schemeClr w14:val="tx1"/>
            </w14:solidFill>
          </w14:textFill>
        </w:rPr>
        <w:br w:type="textWrapping"/>
      </w:r>
      <w:r>
        <w:rPr>
          <w:rStyle w:val="7"/>
          <w:rFonts w:hint="eastAsia" w:ascii="楷体" w:hAnsi="楷体" w:eastAsia="楷体" w:cs="楷体"/>
          <w:b w:val="0"/>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小学教育支出</w:t>
      </w:r>
      <w:r>
        <w:rPr>
          <w:rFonts w:hint="eastAsia" w:ascii="仿宋" w:hAnsi="仿宋" w:eastAsia="仿宋" w:cs="仿宋"/>
          <w:color w:val="000000" w:themeColor="text1"/>
          <w:sz w:val="32"/>
          <w:szCs w:val="32"/>
          <w14:textFill>
            <w14:solidFill>
              <w14:schemeClr w14:val="tx1"/>
            </w14:solidFill>
          </w14:textFill>
        </w:rPr>
        <w:t>567.19</w:t>
      </w:r>
      <w:r>
        <w:rPr>
          <w:rFonts w:hint="eastAsia" w:ascii="仿宋" w:hAnsi="仿宋" w:eastAsia="仿宋" w:cs="仿宋"/>
          <w:color w:val="000000" w:themeColor="text1"/>
          <w:sz w:val="32"/>
          <w:szCs w:val="32"/>
          <w14:textFill>
            <w14:solidFill>
              <w14:schemeClr w14:val="tx1"/>
            </w14:solidFill>
          </w14:textFill>
        </w:rPr>
        <w:t>万元，占</w:t>
      </w:r>
      <w:r>
        <w:rPr>
          <w:rFonts w:hint="eastAsia" w:ascii="仿宋" w:hAnsi="仿宋" w:eastAsia="仿宋" w:cs="仿宋"/>
          <w:color w:val="000000" w:themeColor="text1"/>
          <w:sz w:val="32"/>
          <w:szCs w:val="32"/>
          <w14:textFill>
            <w14:solidFill>
              <w14:schemeClr w14:val="tx1"/>
            </w14:solidFill>
          </w14:textFill>
        </w:rPr>
        <w:t>85.47</w:t>
      </w:r>
      <w:r>
        <w:rPr>
          <w:rFonts w:hint="eastAsia" w:ascii="仿宋" w:hAnsi="仿宋" w:eastAsia="仿宋" w:cs="仿宋"/>
          <w:color w:val="000000" w:themeColor="text1"/>
          <w:sz w:val="32"/>
          <w:szCs w:val="32"/>
          <w14:textFill>
            <w14:solidFill>
              <w14:schemeClr w14:val="tx1"/>
            </w14:solidFill>
          </w14:textFill>
        </w:rPr>
        <w:t>%；社会保障和就业支出</w:t>
      </w:r>
      <w:r>
        <w:rPr>
          <w:rFonts w:hint="eastAsia" w:ascii="仿宋" w:hAnsi="仿宋" w:eastAsia="仿宋" w:cs="仿宋"/>
          <w:color w:val="000000" w:themeColor="text1"/>
          <w:sz w:val="32"/>
          <w:szCs w:val="32"/>
          <w14:textFill>
            <w14:solidFill>
              <w14:schemeClr w14:val="tx1"/>
            </w14:solidFill>
          </w14:textFill>
        </w:rPr>
        <w:t>56.4</w:t>
      </w:r>
      <w:r>
        <w:rPr>
          <w:rFonts w:hint="eastAsia" w:ascii="仿宋" w:hAnsi="仿宋" w:eastAsia="仿宋" w:cs="仿宋"/>
          <w:color w:val="000000" w:themeColor="text1"/>
          <w:sz w:val="32"/>
          <w:szCs w:val="32"/>
          <w14:textFill>
            <w14:solidFill>
              <w14:schemeClr w14:val="tx1"/>
            </w14:solidFill>
          </w14:textFill>
        </w:rPr>
        <w:t>万元，占</w:t>
      </w:r>
      <w:r>
        <w:rPr>
          <w:rFonts w:hint="eastAsia" w:ascii="仿宋" w:hAnsi="仿宋" w:eastAsia="仿宋" w:cs="仿宋"/>
          <w:color w:val="000000" w:themeColor="text1"/>
          <w:sz w:val="32"/>
          <w:szCs w:val="32"/>
          <w14:textFill>
            <w14:solidFill>
              <w14:schemeClr w14:val="tx1"/>
            </w14:solidFill>
          </w14:textFill>
        </w:rPr>
        <w:t>8.5</w:t>
      </w:r>
      <w:r>
        <w:rPr>
          <w:rFonts w:hint="eastAsia" w:ascii="仿宋" w:hAnsi="仿宋" w:eastAsia="仿宋" w:cs="仿宋"/>
          <w:color w:val="000000" w:themeColor="text1"/>
          <w:sz w:val="32"/>
          <w:szCs w:val="32"/>
          <w14:textFill>
            <w14:solidFill>
              <w14:schemeClr w14:val="tx1"/>
            </w14:solidFill>
          </w14:textFill>
        </w:rPr>
        <w:t>%；卫生健康支出</w:t>
      </w:r>
      <w:r>
        <w:rPr>
          <w:rFonts w:hint="eastAsia" w:ascii="仿宋" w:hAnsi="仿宋" w:eastAsia="仿宋" w:cs="仿宋"/>
          <w:color w:val="000000" w:themeColor="text1"/>
          <w:sz w:val="32"/>
          <w:szCs w:val="32"/>
          <w14:textFill>
            <w14:solidFill>
              <w14:schemeClr w14:val="tx1"/>
            </w14:solidFill>
          </w14:textFill>
        </w:rPr>
        <w:t>26.01</w:t>
      </w:r>
      <w:r>
        <w:rPr>
          <w:rFonts w:hint="eastAsia" w:ascii="仿宋" w:hAnsi="仿宋" w:eastAsia="仿宋" w:cs="仿宋"/>
          <w:color w:val="000000" w:themeColor="text1"/>
          <w:sz w:val="32"/>
          <w:szCs w:val="32"/>
          <w14:textFill>
            <w14:solidFill>
              <w14:schemeClr w14:val="tx1"/>
            </w14:solidFill>
          </w14:textFill>
        </w:rPr>
        <w:t>万元，占</w:t>
      </w:r>
      <w:r>
        <w:rPr>
          <w:rFonts w:hint="eastAsia" w:ascii="仿宋" w:hAnsi="仿宋" w:eastAsia="仿宋" w:cs="仿宋"/>
          <w:color w:val="000000" w:themeColor="text1"/>
          <w:sz w:val="32"/>
          <w:szCs w:val="32"/>
          <w14:textFill>
            <w14:solidFill>
              <w14:schemeClr w14:val="tx1"/>
            </w14:solidFill>
          </w14:textFill>
        </w:rPr>
        <w:t>0.03</w:t>
      </w:r>
      <w:r>
        <w:rPr>
          <w:rFonts w:hint="eastAsia" w:ascii="仿宋" w:hAnsi="仿宋" w:eastAsia="仿宋" w:cs="仿宋"/>
          <w:color w:val="000000" w:themeColor="text1"/>
          <w:sz w:val="32"/>
          <w:szCs w:val="32"/>
          <w14:textFill>
            <w14:solidFill>
              <w14:schemeClr w14:val="tx1"/>
            </w14:solidFill>
          </w14:textFill>
        </w:rPr>
        <w:t>%；住房保障支出</w:t>
      </w:r>
      <w:r>
        <w:rPr>
          <w:rFonts w:hint="eastAsia" w:ascii="仿宋" w:hAnsi="仿宋" w:eastAsia="仿宋" w:cs="仿宋"/>
          <w:color w:val="000000" w:themeColor="text1"/>
          <w:sz w:val="32"/>
          <w:szCs w:val="32"/>
          <w14:textFill>
            <w14:solidFill>
              <w14:schemeClr w14:val="tx1"/>
            </w14:solidFill>
          </w14:textFill>
        </w:rPr>
        <w:t>41.63</w:t>
      </w:r>
      <w:r>
        <w:rPr>
          <w:rFonts w:hint="eastAsia" w:ascii="仿宋" w:hAnsi="仿宋" w:eastAsia="仿宋" w:cs="仿宋"/>
          <w:color w:val="000000" w:themeColor="text1"/>
          <w:sz w:val="32"/>
          <w:szCs w:val="32"/>
          <w14:textFill>
            <w14:solidFill>
              <w14:schemeClr w14:val="tx1"/>
            </w14:solidFill>
          </w14:textFill>
        </w:rPr>
        <w:t>万元，占</w:t>
      </w:r>
      <w:r>
        <w:rPr>
          <w:rFonts w:hint="eastAsia" w:ascii="仿宋" w:hAnsi="仿宋" w:eastAsia="仿宋" w:cs="仿宋"/>
          <w:color w:val="000000" w:themeColor="text1"/>
          <w:sz w:val="32"/>
          <w:szCs w:val="32"/>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br w:type="textWrapping"/>
      </w:r>
      <w:r>
        <w:rPr>
          <w:rStyle w:val="7"/>
          <w:rFonts w:hint="eastAsia" w:ascii="楷体" w:hAnsi="楷体" w:eastAsia="楷体" w:cs="楷体"/>
          <w:b w:val="0"/>
          <w:bCs/>
          <w:color w:val="000000" w:themeColor="text1"/>
          <w:sz w:val="32"/>
          <w:szCs w:val="32"/>
          <w14:textFill>
            <w14:solidFill>
              <w14:schemeClr w14:val="tx1"/>
            </w14:solidFill>
          </w14:textFill>
        </w:rPr>
        <w:t>　　（三）一般公共预算当年拨款具体使用情况</w:t>
      </w:r>
    </w:p>
    <w:p>
      <w:pPr>
        <w:keepNext w:val="0"/>
        <w:keepLines w:val="0"/>
        <w:pageBreakBefore w:val="0"/>
        <w:widowControl w:val="0"/>
        <w:kinsoku/>
        <w:wordWrap/>
        <w:overflowPunct/>
        <w:topLinePunct w:val="0"/>
        <w:autoSpaceDE/>
        <w:autoSpaceDN/>
        <w:bidi w:val="0"/>
        <w:snapToGrid w:val="0"/>
        <w:spacing w:line="576"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1.小学教育2021年预算数为</w:t>
      </w:r>
      <w:r>
        <w:rPr>
          <w:rFonts w:hint="eastAsia" w:ascii="仿宋" w:hAnsi="仿宋" w:eastAsia="仿宋" w:cs="仿宋"/>
          <w:color w:val="000000" w:themeColor="text1"/>
          <w:sz w:val="32"/>
          <w:szCs w:val="32"/>
          <w14:textFill>
            <w14:solidFill>
              <w14:schemeClr w14:val="tx1"/>
            </w14:solidFill>
          </w14:textFill>
        </w:rPr>
        <w:t>567.19</w:t>
      </w:r>
      <w:r>
        <w:rPr>
          <w:rFonts w:hint="eastAsia" w:ascii="仿宋" w:hAnsi="仿宋" w:eastAsia="仿宋" w:cs="仿宋"/>
          <w:color w:val="000000" w:themeColor="text1"/>
          <w:sz w:val="32"/>
          <w:szCs w:val="32"/>
          <w14:textFill>
            <w14:solidFill>
              <w14:schemeClr w14:val="tx1"/>
            </w14:solidFill>
          </w14:textFill>
        </w:rPr>
        <w:t>万元，主要用于：教职工基本工资、津贴补贴、退休生活补贴等人员经费。</w:t>
      </w:r>
      <w:r>
        <w:rPr>
          <w:rFonts w:hint="eastAsia"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snapToGrid w:val="0"/>
        <w:spacing w:line="576" w:lineRule="exact"/>
        <w:ind w:lef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2.社会保障和就业（类）行政事业单位离退休（款）未归口管理的行政单位离退休（项）2021年预算数为</w:t>
      </w:r>
      <w:r>
        <w:rPr>
          <w:rFonts w:hint="eastAsia" w:ascii="仿宋" w:hAnsi="仿宋" w:eastAsia="仿宋" w:cs="仿宋"/>
          <w:color w:val="000000" w:themeColor="text1"/>
          <w:sz w:val="32"/>
          <w:szCs w:val="32"/>
          <w14:textFill>
            <w14:solidFill>
              <w14:schemeClr w14:val="tx1"/>
            </w14:solidFill>
          </w14:textFill>
        </w:rPr>
        <w:t>56.4</w:t>
      </w:r>
      <w:r>
        <w:rPr>
          <w:rFonts w:hint="eastAsia" w:ascii="仿宋" w:hAnsi="仿宋" w:eastAsia="仿宋" w:cs="仿宋"/>
          <w:color w:val="000000" w:themeColor="text1"/>
          <w:sz w:val="32"/>
          <w:szCs w:val="32"/>
          <w14:textFill>
            <w14:solidFill>
              <w14:schemeClr w14:val="tx1"/>
            </w14:solidFill>
          </w14:textFill>
        </w:rPr>
        <w:t>万元，主要用于：教职工失业、工伤、养老保险等。</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3.卫生健康支出（类）行政事业单位医疗（款）行政单位医疗（项）2021年预算数为</w:t>
      </w:r>
      <w:r>
        <w:rPr>
          <w:rFonts w:hint="eastAsia" w:ascii="仿宋" w:hAnsi="仿宋" w:eastAsia="仿宋" w:cs="仿宋"/>
          <w:color w:val="000000" w:themeColor="text1"/>
          <w:sz w:val="32"/>
          <w:szCs w:val="32"/>
          <w14:textFill>
            <w14:solidFill>
              <w14:schemeClr w14:val="tx1"/>
            </w14:solidFill>
          </w14:textFill>
        </w:rPr>
        <w:t>26.01</w:t>
      </w:r>
      <w:r>
        <w:rPr>
          <w:rFonts w:hint="eastAsia" w:ascii="仿宋" w:hAnsi="仿宋" w:eastAsia="仿宋" w:cs="仿宋"/>
          <w:color w:val="000000" w:themeColor="text1"/>
          <w:sz w:val="32"/>
          <w:szCs w:val="32"/>
          <w14:textFill>
            <w14:solidFill>
              <w14:schemeClr w14:val="tx1"/>
            </w14:solidFill>
          </w14:textFill>
        </w:rPr>
        <w:t>万元，主要用于：事业单位基本医疗保险缴费支出。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.住房保障（类）住房改革支出（款）住房公积金（项）2021年预算数为</w:t>
      </w:r>
      <w:r>
        <w:rPr>
          <w:rFonts w:hint="eastAsia" w:ascii="仿宋" w:hAnsi="仿宋" w:eastAsia="仿宋" w:cs="仿宋"/>
          <w:color w:val="000000" w:themeColor="text1"/>
          <w:sz w:val="32"/>
          <w:szCs w:val="32"/>
          <w14:textFill>
            <w14:solidFill>
              <w14:schemeClr w14:val="tx1"/>
            </w14:solidFill>
          </w14:textFill>
        </w:rPr>
        <w:t>41.63</w:t>
      </w:r>
      <w:r>
        <w:rPr>
          <w:rFonts w:hint="eastAsia" w:ascii="仿宋" w:hAnsi="仿宋" w:eastAsia="仿宋" w:cs="仿宋"/>
          <w:color w:val="000000" w:themeColor="text1"/>
          <w:sz w:val="32"/>
          <w:szCs w:val="32"/>
          <w14:textFill>
            <w14:solidFill>
              <w14:schemeClr w14:val="tx1"/>
            </w14:solidFill>
          </w14:textFill>
        </w:rPr>
        <w:t>万元，主要用于：部门按人力资源和社会保障部、财政部规定的基本工资和津贴补贴以及规定比例为职工缴纳的住房公积金支出。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六、一般公共预算基本支出情况说明</w:t>
      </w:r>
      <w:r>
        <w:rPr>
          <w:rFonts w:hint="eastAsia" w:ascii="黑体" w:hAnsi="黑体" w:eastAsia="黑体" w:cs="黑体"/>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广元市利州区盘龙第一小学2021年一般公共预算基本支出</w:t>
      </w:r>
      <w:r>
        <w:rPr>
          <w:rFonts w:hint="eastAsia" w:ascii="仿宋" w:hAnsi="仿宋" w:eastAsia="仿宋" w:cs="仿宋"/>
          <w:color w:val="000000" w:themeColor="text1"/>
          <w:sz w:val="32"/>
          <w:szCs w:val="32"/>
          <w14:textFill>
            <w14:solidFill>
              <w14:schemeClr w14:val="tx1"/>
            </w14:solidFill>
          </w14:textFill>
        </w:rPr>
        <w:t>691.23</w:t>
      </w:r>
      <w:r>
        <w:rPr>
          <w:rFonts w:hint="eastAsia" w:ascii="仿宋" w:hAnsi="仿宋" w:eastAsia="仿宋" w:cs="仿宋"/>
          <w:color w:val="000000" w:themeColor="text1"/>
          <w:sz w:val="32"/>
          <w:szCs w:val="32"/>
          <w14:textFill>
            <w14:solidFill>
              <w14:schemeClr w14:val="tx1"/>
            </w14:solidFill>
          </w14:textFill>
        </w:rPr>
        <w:t>万元，其中：人员经费</w:t>
      </w:r>
      <w:r>
        <w:rPr>
          <w:rFonts w:hint="eastAsia" w:ascii="仿宋" w:hAnsi="仿宋" w:eastAsia="仿宋" w:cs="仿宋"/>
          <w:color w:val="000000" w:themeColor="text1"/>
          <w:sz w:val="32"/>
          <w:szCs w:val="32"/>
          <w14:textFill>
            <w14:solidFill>
              <w14:schemeClr w14:val="tx1"/>
            </w14:solidFill>
          </w14:textFill>
        </w:rPr>
        <w:t>691.23</w:t>
      </w:r>
      <w:r>
        <w:rPr>
          <w:rFonts w:hint="eastAsia" w:ascii="仿宋" w:hAnsi="仿宋" w:eastAsia="仿宋" w:cs="仿宋"/>
          <w:color w:val="000000" w:themeColor="text1"/>
          <w:sz w:val="32"/>
          <w:szCs w:val="32"/>
          <w14:textFill>
            <w14:solidFill>
              <w14:schemeClr w14:val="tx1"/>
            </w14:solidFill>
          </w14:textFill>
        </w:rPr>
        <w:t>万元，主要包括：基本工资、津贴补贴、奖金、社会保险缴费等支出，其中对个人和家庭补助支出</w:t>
      </w:r>
      <w:r>
        <w:rPr>
          <w:rFonts w:hint="eastAsia" w:ascii="仿宋" w:hAnsi="仿宋" w:eastAsia="仿宋" w:cs="仿宋"/>
          <w:color w:val="000000" w:themeColor="text1"/>
          <w:sz w:val="32"/>
          <w:szCs w:val="32"/>
          <w14:textFill>
            <w14:solidFill>
              <w14:schemeClr w14:val="tx1"/>
            </w14:solidFill>
          </w14:textFill>
        </w:rPr>
        <w:t>55.4</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黑体" w:hAnsi="黑体" w:eastAsia="黑体" w:cs="黑体"/>
          <w:color w:val="000000" w:themeColor="text1"/>
          <w:sz w:val="32"/>
          <w:szCs w:val="32"/>
          <w14:textFill>
            <w14:solidFill>
              <w14:schemeClr w14:val="tx1"/>
            </w14:solidFill>
          </w14:textFill>
        </w:rPr>
        <w:t>　　七、“三公”经费财政拨款预算安排情况说明</w:t>
      </w:r>
      <w:r>
        <w:rPr>
          <w:rFonts w:hint="eastAsia" w:ascii="黑体" w:hAnsi="黑体" w:eastAsia="黑体" w:cs="黑体"/>
          <w:color w:val="000000" w:themeColor="text1"/>
          <w:sz w:val="32"/>
          <w:szCs w:val="32"/>
          <w14:textFill>
            <w14:solidFill>
              <w14:schemeClr w14:val="tx1"/>
            </w14:solidFill>
          </w14:textFill>
        </w:rPr>
        <w:br w:type="textWrapping"/>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2021年财政拨款安排“三公”经费预算,0万元。单位现有公务用车0辆，其中：轿车</w:t>
      </w:r>
      <w:r>
        <w:rPr>
          <w:rFonts w:hint="eastAsia"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辆、越野车</w:t>
      </w:r>
      <w:r>
        <w:rPr>
          <w:rFonts w:hint="eastAsia"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辆、其他乘用车</w:t>
      </w:r>
      <w:r>
        <w:rPr>
          <w:rFonts w:hint="eastAsia"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辆。</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黑体" w:hAnsi="黑体" w:eastAsia="黑体" w:cs="黑体"/>
          <w:color w:val="000000" w:themeColor="text1"/>
          <w:sz w:val="32"/>
          <w:szCs w:val="32"/>
          <w14:textFill>
            <w14:solidFill>
              <w14:schemeClr w14:val="tx1"/>
            </w14:solidFill>
          </w14:textFill>
        </w:rPr>
        <w:t>　　八、政府性基金预算支出情况说明</w:t>
      </w:r>
      <w:r>
        <w:rPr>
          <w:rFonts w:hint="eastAsia" w:ascii="黑体" w:hAnsi="黑体" w:eastAsia="黑体" w:cs="黑体"/>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广元市利州区盘龙第一小学2021年没有使用政府性基金预算拨款安排的支出。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黑体" w:hAnsi="黑体" w:eastAsia="黑体" w:cs="黑体"/>
          <w:color w:val="000000" w:themeColor="text1"/>
          <w:sz w:val="32"/>
          <w:szCs w:val="32"/>
          <w14:textFill>
            <w14:solidFill>
              <w14:schemeClr w14:val="tx1"/>
            </w14:solidFill>
          </w14:textFill>
        </w:rPr>
        <w:t>　　九、国有资本经营预算支出情况说明</w:t>
      </w:r>
      <w:r>
        <w:rPr>
          <w:rFonts w:hint="eastAsia" w:ascii="黑体" w:hAnsi="黑体" w:eastAsia="黑体" w:cs="黑体"/>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广元市利州区盘龙第一小学2021年没有使用国有资本经营预算拨款安排的支出。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黑体" w:hAnsi="黑体" w:eastAsia="黑体" w:cs="黑体"/>
          <w:color w:val="000000" w:themeColor="text1"/>
          <w:sz w:val="32"/>
          <w:szCs w:val="32"/>
          <w14:textFill>
            <w14:solidFill>
              <w14:schemeClr w14:val="tx1"/>
            </w14:solidFill>
          </w14:textFill>
        </w:rPr>
        <w:t>　　十、其他重要事项的情况说明</w:t>
      </w:r>
      <w:r>
        <w:rPr>
          <w:rFonts w:hint="eastAsia" w:ascii="黑体" w:hAnsi="黑体" w:eastAsia="黑体" w:cs="黑体"/>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w:t>
      </w:r>
      <w:r>
        <w:rPr>
          <w:rStyle w:val="7"/>
          <w:rFonts w:hint="eastAsia" w:ascii="仿宋" w:hAnsi="仿宋" w:eastAsia="仿宋" w:cs="仿宋"/>
          <w:color w:val="000000" w:themeColor="text1"/>
          <w:sz w:val="32"/>
          <w:szCs w:val="32"/>
          <w14:textFill>
            <w14:solidFill>
              <w14:schemeClr w14:val="tx1"/>
            </w14:solidFill>
          </w14:textFill>
        </w:rPr>
        <w:t>　</w:t>
      </w:r>
      <w:r>
        <w:rPr>
          <w:rStyle w:val="7"/>
          <w:rFonts w:hint="eastAsia" w:ascii="楷体" w:hAnsi="楷体" w:eastAsia="楷体" w:cs="楷体"/>
          <w:b w:val="0"/>
          <w:bCs/>
          <w:color w:val="000000" w:themeColor="text1"/>
          <w:sz w:val="32"/>
          <w:szCs w:val="32"/>
          <w14:textFill>
            <w14:solidFill>
              <w14:schemeClr w14:val="tx1"/>
            </w14:solidFill>
          </w14:textFill>
        </w:rPr>
        <w:t>（一）政府采购情况</w:t>
      </w:r>
      <w:r>
        <w:rPr>
          <w:rStyle w:val="7"/>
          <w:rFonts w:hint="eastAsia" w:ascii="楷体" w:hAnsi="楷体" w:eastAsia="楷体" w:cs="楷体"/>
          <w:b w:val="0"/>
          <w:bCs/>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2021年，广元市利州区盘龙第一小学自筹资金安排政府采购预算27.9万元，主要用于采购办公设备。</w:t>
      </w:r>
      <w:r>
        <w:rPr>
          <w:rFonts w:hint="eastAsia" w:ascii="仿宋" w:hAnsi="仿宋" w:eastAsia="仿宋" w:cs="仿宋"/>
          <w:color w:val="000000" w:themeColor="text1"/>
          <w:sz w:val="32"/>
          <w:szCs w:val="32"/>
          <w14:textFill>
            <w14:solidFill>
              <w14:schemeClr w14:val="tx1"/>
            </w14:solidFill>
          </w14:textFill>
        </w:rPr>
        <w:br w:type="textWrapping"/>
      </w:r>
      <w:r>
        <w:rPr>
          <w:rStyle w:val="7"/>
          <w:rFonts w:hint="eastAsia" w:ascii="楷体" w:hAnsi="楷体" w:eastAsia="楷体" w:cs="楷体"/>
          <w:b w:val="0"/>
          <w:bCs/>
          <w:color w:val="000000" w:themeColor="text1"/>
          <w:sz w:val="32"/>
          <w:szCs w:val="32"/>
          <w14:textFill>
            <w14:solidFill>
              <w14:schemeClr w14:val="tx1"/>
            </w14:solidFill>
          </w14:textFill>
        </w:rPr>
        <w:t>　　（</w:t>
      </w:r>
      <w:r>
        <w:rPr>
          <w:rStyle w:val="7"/>
          <w:rFonts w:hint="eastAsia" w:ascii="楷体" w:hAnsi="楷体" w:eastAsia="楷体" w:cs="楷体"/>
          <w:b w:val="0"/>
          <w:bCs/>
          <w:color w:val="000000" w:themeColor="text1"/>
          <w:sz w:val="32"/>
          <w:szCs w:val="32"/>
          <w:lang w:eastAsia="zh-CN"/>
          <w14:textFill>
            <w14:solidFill>
              <w14:schemeClr w14:val="tx1"/>
            </w14:solidFill>
          </w14:textFill>
        </w:rPr>
        <w:t>二</w:t>
      </w:r>
      <w:r>
        <w:rPr>
          <w:rStyle w:val="7"/>
          <w:rFonts w:hint="eastAsia" w:ascii="楷体" w:hAnsi="楷体" w:eastAsia="楷体" w:cs="楷体"/>
          <w:b w:val="0"/>
          <w:bCs/>
          <w:color w:val="000000" w:themeColor="text1"/>
          <w:sz w:val="32"/>
          <w:szCs w:val="32"/>
          <w14:textFill>
            <w14:solidFill>
              <w14:schemeClr w14:val="tx1"/>
            </w14:solidFill>
          </w14:textFill>
        </w:rPr>
        <w:t>）国有资产占有使用情况</w:t>
      </w:r>
      <w:r>
        <w:rPr>
          <w:rStyle w:val="7"/>
          <w:rFonts w:hint="eastAsia" w:ascii="楷体" w:hAnsi="楷体" w:eastAsia="楷体" w:cs="楷体"/>
          <w:b w:val="0"/>
          <w:bCs/>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xml:space="preserve">     2021年部门预算未安排(安排）购置车辆及单位价值20万元以上大型设备。</w:t>
      </w:r>
      <w:r>
        <w:rPr>
          <w:rFonts w:hint="eastAsia" w:ascii="仿宋" w:hAnsi="仿宋" w:eastAsia="仿宋" w:cs="仿宋"/>
          <w:color w:val="000000" w:themeColor="text1"/>
          <w:sz w:val="32"/>
          <w:szCs w:val="32"/>
          <w14:textFill>
            <w14:solidFill>
              <w14:schemeClr w14:val="tx1"/>
            </w14:solidFill>
          </w14:textFill>
        </w:rPr>
        <w:br w:type="textWrapping"/>
      </w:r>
      <w:r>
        <w:rPr>
          <w:rStyle w:val="7"/>
          <w:rFonts w:hint="eastAsia" w:ascii="楷体" w:hAnsi="楷体" w:eastAsia="楷体" w:cs="楷体"/>
          <w:b w:val="0"/>
          <w:bCs/>
          <w:color w:val="000000" w:themeColor="text1"/>
          <w:sz w:val="32"/>
          <w:szCs w:val="32"/>
          <w14:textFill>
            <w14:solidFill>
              <w14:schemeClr w14:val="tx1"/>
            </w14:solidFill>
          </w14:textFill>
        </w:rPr>
        <w:t>　　（</w:t>
      </w:r>
      <w:r>
        <w:rPr>
          <w:rStyle w:val="7"/>
          <w:rFonts w:hint="eastAsia" w:ascii="楷体" w:hAnsi="楷体" w:eastAsia="楷体" w:cs="楷体"/>
          <w:b w:val="0"/>
          <w:bCs/>
          <w:color w:val="000000" w:themeColor="text1"/>
          <w:sz w:val="32"/>
          <w:szCs w:val="32"/>
          <w:lang w:eastAsia="zh-CN"/>
          <w14:textFill>
            <w14:solidFill>
              <w14:schemeClr w14:val="tx1"/>
            </w14:solidFill>
          </w14:textFill>
        </w:rPr>
        <w:t>三</w:t>
      </w:r>
      <w:r>
        <w:rPr>
          <w:rStyle w:val="7"/>
          <w:rFonts w:hint="eastAsia" w:ascii="楷体" w:hAnsi="楷体" w:eastAsia="楷体" w:cs="楷体"/>
          <w:b w:val="0"/>
          <w:bCs/>
          <w:color w:val="000000" w:themeColor="text1"/>
          <w:sz w:val="32"/>
          <w:szCs w:val="32"/>
          <w14:textFill>
            <w14:solidFill>
              <w14:schemeClr w14:val="tx1"/>
            </w14:solidFill>
          </w14:textFill>
        </w:rPr>
        <w:t>）绩效目标设置情况</w:t>
      </w:r>
      <w:r>
        <w:rPr>
          <w:rStyle w:val="7"/>
          <w:rFonts w:hint="eastAsia" w:ascii="楷体" w:hAnsi="楷体" w:eastAsia="楷体" w:cs="楷体"/>
          <w:b w:val="0"/>
          <w:bCs/>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绩效目标是预算编制的前提和基础，按照“费随事定”的原则，2021年广元市利州区盘龙第一小学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黑体" w:hAnsi="黑体" w:eastAsia="黑体" w:cs="黑体"/>
          <w:color w:val="000000" w:themeColor="text1"/>
          <w:sz w:val="32"/>
          <w:szCs w:val="32"/>
          <w14:textFill>
            <w14:solidFill>
              <w14:schemeClr w14:val="tx1"/>
            </w14:solidFill>
          </w14:textFill>
        </w:rPr>
        <w:t>　　十一、名词解释</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（一）一般公共预算拨款收入：指区级财政当年拨付的资金。</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（二）上年结转：指以前年度尚未完成，结转到本年仍按原规定用途继续使用的资金。</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（三）一般公共服务（类）财政事务（款）行政运行（项）：指局机关及参公管理事业单位用于保障机构正常运行、开展日常工作的基本支出。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（四）社会保障和就业（类）行政事业单位离退休（款）未归口管理的行政单位离退休（项）：指局机关离退休人员的支出。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（五）社会保障和就业（类）行政事业单位离退休（款）机关事业单位基本养老保险缴费支出（项）：指部门实施养老保险制度由单位缴纳的养老保险费的支出。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（六）社会保障和就业（类）行政事业单位离退休（款）机关事业单位职业年金缴费支出（项）：指部门实施养老保险制度由单位缴纳的职业年金的支出。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（七）卫生健康（类）行政事业单位医疗（款）行政单位医疗（项）：指局机关及参公管理事业单位用于缴纳单位基本医疗保险支出。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（八）卫生健康（类）行政事业单位医疗（款）事业单位医疗（项）：指事业单位用于缴纳单位基本医疗保险支出。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（九）住房保障（类）住房改革支出（款）住房公积金（项）：指按照《住房公积金管理条例》的规定，由单位及其在职职工缴存的长期住房储金。</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（十）基本支出：指为保证机构正常运转，完成日常工作任务而发生的人员支</w:t>
      </w:r>
      <w:bookmarkStart w:id="0" w:name="_GoBack"/>
      <w:bookmarkEnd w:id="0"/>
      <w:r>
        <w:rPr>
          <w:rFonts w:hint="eastAsia" w:ascii="仿宋" w:hAnsi="仿宋" w:eastAsia="仿宋" w:cs="仿宋"/>
          <w:color w:val="000000" w:themeColor="text1"/>
          <w:sz w:val="32"/>
          <w:szCs w:val="32"/>
          <w14:textFill>
            <w14:solidFill>
              <w14:schemeClr w14:val="tx1"/>
            </w14:solidFill>
          </w14:textFill>
        </w:rPr>
        <w:t>出和公用支出。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（十一）项目支出：指在基本支出之外为完成特定行政任务和事业发展目标所发生的支出。</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color w:val="000000" w:themeColor="text1"/>
          <w:sz w:val="32"/>
          <w:szCs w:val="32"/>
          <w14:textFill>
            <w14:solidFill>
              <w14:schemeClr w14:val="tx1"/>
            </w14:solidFill>
          </w14:textFill>
        </w:rPr>
        <w:t>　　（十二）“三公”经费：纳入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640" w:firstLineChars="200"/>
        <w:textAlignment w:val="auto"/>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bCs/>
          <w:color w:val="000000" w:themeColor="text1"/>
          <w:sz w:val="32"/>
          <w:szCs w:val="32"/>
          <w14:textFill>
            <w14:solidFill>
              <w14:schemeClr w14:val="tx1"/>
            </w14:solidFill>
          </w14:textFill>
        </w:rPr>
        <w:t xml:space="preserve">                         广元市利州区盘龙第一小学</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4640" w:firstLineChars="1450"/>
        <w:textAlignment w:val="auto"/>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2021年3月29日</w:t>
      </w:r>
    </w:p>
    <w:sectPr>
      <w:footerReference r:id="rId3" w:type="default"/>
      <w:pgSz w:w="11906" w:h="16838"/>
      <w:pgMar w:top="1701" w:right="1474" w:bottom="1701" w:left="1587" w:header="851" w:footer="1361"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0YjFkYzlmOTc4YmRhZmY2YTBjOWZhYzBiYjQyMzAifQ=="/>
  </w:docVars>
  <w:rsids>
    <w:rsidRoot w:val="004F514A"/>
    <w:rsid w:val="000234F0"/>
    <w:rsid w:val="000B2ED0"/>
    <w:rsid w:val="000C62AF"/>
    <w:rsid w:val="000F7E8B"/>
    <w:rsid w:val="0012484D"/>
    <w:rsid w:val="0019321F"/>
    <w:rsid w:val="0020247B"/>
    <w:rsid w:val="00204A7A"/>
    <w:rsid w:val="002246DF"/>
    <w:rsid w:val="0022790D"/>
    <w:rsid w:val="0024385F"/>
    <w:rsid w:val="0026122B"/>
    <w:rsid w:val="00312142"/>
    <w:rsid w:val="00340E92"/>
    <w:rsid w:val="003A690F"/>
    <w:rsid w:val="003F084C"/>
    <w:rsid w:val="0042298F"/>
    <w:rsid w:val="004C01BC"/>
    <w:rsid w:val="004F514A"/>
    <w:rsid w:val="006669E2"/>
    <w:rsid w:val="007D2FDC"/>
    <w:rsid w:val="007E0D7C"/>
    <w:rsid w:val="008248D9"/>
    <w:rsid w:val="008352DC"/>
    <w:rsid w:val="0086021F"/>
    <w:rsid w:val="00886C02"/>
    <w:rsid w:val="009073AE"/>
    <w:rsid w:val="0098414D"/>
    <w:rsid w:val="00A235EA"/>
    <w:rsid w:val="00A565DC"/>
    <w:rsid w:val="00A923C1"/>
    <w:rsid w:val="00B72696"/>
    <w:rsid w:val="00C06BFD"/>
    <w:rsid w:val="00CD4B04"/>
    <w:rsid w:val="00CE5135"/>
    <w:rsid w:val="00D33725"/>
    <w:rsid w:val="00D7254E"/>
    <w:rsid w:val="00E14578"/>
    <w:rsid w:val="00F534E3"/>
    <w:rsid w:val="00F724EF"/>
    <w:rsid w:val="00FB1A43"/>
    <w:rsid w:val="00FD1EE3"/>
    <w:rsid w:val="00FD2341"/>
    <w:rsid w:val="012E766D"/>
    <w:rsid w:val="044F5BC4"/>
    <w:rsid w:val="099A6EBD"/>
    <w:rsid w:val="0B974E68"/>
    <w:rsid w:val="0E1168EA"/>
    <w:rsid w:val="0ED54B8C"/>
    <w:rsid w:val="160776AB"/>
    <w:rsid w:val="1A4B3E10"/>
    <w:rsid w:val="1ED53AE3"/>
    <w:rsid w:val="1F746947"/>
    <w:rsid w:val="237F1682"/>
    <w:rsid w:val="24C90A2A"/>
    <w:rsid w:val="25C96B17"/>
    <w:rsid w:val="260A4F3C"/>
    <w:rsid w:val="2DBA1E53"/>
    <w:rsid w:val="30806273"/>
    <w:rsid w:val="43644D8C"/>
    <w:rsid w:val="45BE2AED"/>
    <w:rsid w:val="55860D15"/>
    <w:rsid w:val="578919DC"/>
    <w:rsid w:val="600105C9"/>
    <w:rsid w:val="63871CB5"/>
    <w:rsid w:val="67D245BF"/>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字符"/>
    <w:basedOn w:val="6"/>
    <w:link w:val="3"/>
    <w:qFormat/>
    <w:uiPriority w:val="99"/>
    <w:rPr>
      <w:rFonts w:ascii="Times New Roman" w:hAnsi="Times New Roman" w:eastAsia="宋体" w:cs="Times New Roman"/>
      <w:sz w:val="18"/>
      <w:szCs w:val="18"/>
    </w:rPr>
  </w:style>
  <w:style w:type="character" w:customStyle="1" w:styleId="10">
    <w:name w:val="页脚 字符"/>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2454</Words>
  <Characters>2673</Characters>
  <Lines>20</Lines>
  <Paragraphs>5</Paragraphs>
  <TotalTime>7</TotalTime>
  <ScaleCrop>false</ScaleCrop>
  <LinksUpToDate>false</LinksUpToDate>
  <CharactersWithSpaces>2778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2022-06-02T07:18:00Z</dcterms:created>
  <dc:creator>微软用户</dc:creator>
  <cp:lastModifiedBy>相识是缘</cp:lastModifiedBy>
  <cp:lastPrinted>2019-07-23T02:42:00Z</cp:lastPrinted>
  <dcterms:modified xsi:type="dcterms:W3CDTF">2022-06-14T10:20:57Z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A50DA6E7096547DBB594E7BD1C017E90</vt:lpwstr>
  </property>
</Properties>
</file>