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广元市利州区东城实验学校</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spacing w:line="600" w:lineRule="exact"/>
        <w:ind w:firstLine="643" w:firstLineChars="200"/>
        <w:textAlignment w:val="baseline"/>
        <w:rPr>
          <w:b/>
          <w:sz w:val="32"/>
          <w:szCs w:val="32"/>
        </w:rPr>
      </w:pP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spacing w:line="576" w:lineRule="exact"/>
        <w:ind w:left="0" w:firstLine="640" w:firstLineChars="200"/>
        <w:rPr>
          <w:color w:val="000000"/>
          <w:sz w:val="28"/>
          <w:szCs w:val="28"/>
        </w:rPr>
      </w:pPr>
      <w:r>
        <w:rPr>
          <w:rFonts w:hint="eastAsia" w:ascii="仿宋" w:hAnsi="仿宋" w:eastAsia="仿宋" w:cs="仿宋"/>
          <w:sz w:val="32"/>
          <w:szCs w:val="32"/>
        </w:rPr>
        <w:t>广元市利州区东城实验学校编制440名，其中：专业技术编制437名，工勤编制1名，管理编2人。在职人员总数433人，其中专业技术人员429人，工勤人员3人，管理人员1人；退休人员69人。</w:t>
      </w:r>
      <w:r>
        <w:rPr>
          <w:rFonts w:hint="eastAsia"/>
          <w:color w:val="000000"/>
          <w:sz w:val="28"/>
          <w:szCs w:val="28"/>
        </w:rPr>
        <w:t>固定资产总额</w:t>
      </w:r>
      <w:r>
        <w:rPr>
          <w:rFonts w:hint="eastAsia" w:ascii="仿宋" w:hAnsi="仿宋" w:eastAsia="仿宋" w:cs="仿宋"/>
          <w:sz w:val="32"/>
          <w:szCs w:val="32"/>
        </w:rPr>
        <w:t>5789.57</w:t>
      </w:r>
      <w:r>
        <w:rPr>
          <w:rFonts w:hint="eastAsia"/>
          <w:color w:val="000000"/>
          <w:sz w:val="28"/>
          <w:szCs w:val="28"/>
        </w:rPr>
        <w:t>万元。</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snapToGrid/>
        <w:spacing w:line="576" w:lineRule="exact"/>
        <w:ind w:left="0" w:firstLine="640" w:firstLineChars="200"/>
        <w:rPr>
          <w:rFonts w:ascii="仿宋" w:hAnsi="仿宋" w:eastAsia="仿宋" w:cs="仿宋"/>
          <w:sz w:val="32"/>
          <w:szCs w:val="32"/>
        </w:rPr>
      </w:pPr>
      <w:r>
        <w:rPr>
          <w:rFonts w:hint="eastAsia" w:ascii="仿宋" w:hAnsi="仿宋" w:eastAsia="仿宋" w:cs="仿宋"/>
          <w:sz w:val="32"/>
          <w:szCs w:val="32"/>
        </w:rPr>
        <w:t>实施中、小学义务教育，促进基础教育发展。初中、小学学历教育（相关社会服务）。</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ascii="仿宋" w:hAnsi="仿宋" w:eastAsia="仿宋" w:cs="仿宋"/>
          <w:sz w:val="32"/>
          <w:szCs w:val="32"/>
        </w:rPr>
      </w:pPr>
      <w:r>
        <w:rPr>
          <w:rFonts w:hint="eastAsia" w:ascii="仿宋" w:hAnsi="仿宋" w:eastAsia="仿宋" w:cs="仿宋"/>
          <w:sz w:val="32"/>
          <w:szCs w:val="32"/>
        </w:rPr>
        <w:t>广元市利州区东城实验学校</w:t>
      </w:r>
      <w:r>
        <w:rPr>
          <w:rFonts w:hint="eastAsia"/>
          <w:color w:val="000000"/>
          <w:sz w:val="28"/>
          <w:szCs w:val="28"/>
        </w:rPr>
        <w:t>2021年部门预算收入总数</w:t>
      </w:r>
      <w:r>
        <w:rPr>
          <w:rFonts w:hint="eastAsia" w:ascii="仿宋" w:hAnsi="仿宋" w:eastAsia="仿宋" w:cs="仿宋"/>
          <w:sz w:val="32"/>
          <w:szCs w:val="32"/>
        </w:rPr>
        <w:t>5596.10</w:t>
      </w:r>
      <w:r>
        <w:rPr>
          <w:rFonts w:hint="eastAsia"/>
          <w:color w:val="000000"/>
          <w:sz w:val="28"/>
          <w:szCs w:val="28"/>
        </w:rPr>
        <w:t>万元，</w:t>
      </w:r>
      <w:r>
        <w:rPr>
          <w:rFonts w:hint="eastAsia" w:ascii="仿宋" w:hAnsi="仿宋" w:eastAsia="仿宋" w:cs="仿宋"/>
          <w:sz w:val="32"/>
          <w:szCs w:val="32"/>
        </w:rPr>
        <w:t>较2020年部门预算收入总数总数5348.57万元增长4.63%。2021年部门预算支出总数5596.10万元，较2020年部门预算支出总数5348.57万元增长4.63%。</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广元市利州区东城实验学校2021年部门基本支出预算总数5596.10万元，其中人员支出5348.66万元，公用支出141.26万元,支个人和家庭的补助支出106.17万元。</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广元市利州区东城实验学校2021年部门预算安排专项资金0.00万元。</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（明细项目见附表）</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ascii="仿宋" w:hAnsi="仿宋" w:eastAsia="仿宋" w:cs="仿宋"/>
          <w:sz w:val="32"/>
          <w:szCs w:val="32"/>
        </w:rPr>
      </w:pPr>
      <w:r>
        <w:rPr>
          <w:rFonts w:hint="eastAsia" w:ascii="仿宋" w:hAnsi="仿宋" w:eastAsia="仿宋" w:cs="仿宋"/>
          <w:sz w:val="32"/>
          <w:szCs w:val="32"/>
        </w:rPr>
        <w:t>广元市利州区东城实验学校2021年部门预算收入总数5596.10万元，较2020年部门预算收入总数5348.57万元增长4.63%。2021年部门预算支出总数5596.10万元，较2020年部门预算支出总数5348.57万元增长4.63%。</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楷体" w:hAnsi="楷体" w:eastAsia="楷体" w:cs="楷体"/>
          <w:b w:val="0"/>
          <w:bCs w:val="0"/>
          <w:sz w:val="32"/>
          <w:szCs w:val="32"/>
        </w:rPr>
      </w:pPr>
      <w:r>
        <w:rPr>
          <w:rFonts w:hint="eastAsia" w:ascii="黑体" w:hAnsi="黑体" w:eastAsia="黑体" w:cs="黑体"/>
          <w:b w:val="0"/>
          <w:bCs/>
          <w:sz w:val="32"/>
          <w:szCs w:val="32"/>
        </w:rPr>
        <w:t>五、一般公共预算当年拨款情况说明</w:t>
      </w:r>
      <w:r>
        <w:rPr>
          <w:rFonts w:hint="eastAsia" w:ascii="黑体" w:hAnsi="黑体" w:eastAsia="黑体" w:cs="黑体"/>
          <w:b w:val="0"/>
          <w:bCs/>
          <w:sz w:val="32"/>
          <w:szCs w:val="32"/>
        </w:rPr>
        <w:br w:type="textWrapping"/>
      </w:r>
      <w:r>
        <w:rPr>
          <w:rFonts w:hint="eastAsia" w:ascii="楷体" w:hAnsi="楷体" w:eastAsia="楷体" w:cs="楷体"/>
          <w:b w:val="0"/>
          <w:bCs w:val="0"/>
          <w:sz w:val="32"/>
          <w:szCs w:val="32"/>
        </w:rPr>
        <w:t xml:space="preserve">　 </w:t>
      </w:r>
      <w:r>
        <w:rPr>
          <w:rFonts w:hint="eastAsia" w:ascii="楷体" w:hAnsi="楷体" w:eastAsia="楷体" w:cs="楷体"/>
          <w:b w:val="0"/>
          <w:bCs w:val="0"/>
          <w:color w:val="000000"/>
          <w:sz w:val="32"/>
          <w:szCs w:val="32"/>
        </w:rPr>
        <w:t>（一）一般公共预算当年拨款规模变化情况</w:t>
      </w:r>
      <w:r>
        <w:rPr>
          <w:rStyle w:val="7"/>
          <w:rFonts w:hint="eastAsia" w:ascii="楷体" w:hAnsi="楷体" w:eastAsia="楷体" w:cs="楷体"/>
          <w:b w:val="0"/>
          <w:bCs w:val="0"/>
          <w:sz w:val="32"/>
          <w:szCs w:val="32"/>
        </w:rPr>
        <w:br w:type="textWrapping"/>
      </w:r>
      <w:r>
        <w:rPr>
          <w:rFonts w:hint="eastAsia" w:ascii="仿宋" w:hAnsi="仿宋" w:eastAsia="仿宋" w:cs="仿宋"/>
          <w:b/>
          <w:sz w:val="32"/>
          <w:szCs w:val="32"/>
        </w:rPr>
        <w:t xml:space="preserve">    </w:t>
      </w:r>
      <w:r>
        <w:rPr>
          <w:rFonts w:hint="eastAsia" w:ascii="仿宋" w:hAnsi="仿宋" w:eastAsia="仿宋" w:cs="仿宋"/>
          <w:sz w:val="32"/>
          <w:szCs w:val="32"/>
        </w:rPr>
        <w:t>2021年一般公共预算当年拨款5596.10万元，比2020年预算数增加247.5336万元，主要原因是人员支出预算增加。</w:t>
      </w:r>
      <w:r>
        <w:rPr>
          <w:rFonts w:hint="eastAsia" w:ascii="仿宋" w:hAnsi="仿宋" w:eastAsia="仿宋" w:cs="仿宋"/>
          <w:sz w:val="32"/>
          <w:szCs w:val="32"/>
        </w:rPr>
        <w:br w:type="textWrapping"/>
      </w:r>
      <w:r>
        <w:rPr>
          <w:rFonts w:hint="eastAsia" w:ascii="楷体" w:hAnsi="楷体" w:eastAsia="楷体" w:cs="楷体"/>
          <w:b w:val="0"/>
          <w:bCs w:val="0"/>
          <w:sz w:val="32"/>
          <w:szCs w:val="32"/>
        </w:rPr>
        <w:t>　  （二）一般公共预算当年拨款结构情况</w:t>
      </w:r>
      <w:r>
        <w:rPr>
          <w:rFonts w:hint="eastAsia" w:ascii="楷体" w:hAnsi="楷体" w:eastAsia="楷体" w:cs="楷体"/>
          <w:b w:val="0"/>
          <w:bCs w:val="0"/>
          <w:sz w:val="32"/>
          <w:szCs w:val="32"/>
        </w:rPr>
        <w:br w:type="textWrapping"/>
      </w:r>
      <w:r>
        <w:rPr>
          <w:rFonts w:hint="eastAsia" w:ascii="仿宋" w:hAnsi="仿宋" w:eastAsia="仿宋" w:cs="仿宋"/>
          <w:color w:val="0000FF"/>
          <w:sz w:val="32"/>
          <w:szCs w:val="32"/>
        </w:rPr>
        <w:t xml:space="preserve">　  </w:t>
      </w:r>
      <w:r>
        <w:rPr>
          <w:rFonts w:hint="eastAsia" w:ascii="仿宋" w:hAnsi="仿宋" w:eastAsia="仿宋" w:cs="仿宋"/>
          <w:sz w:val="32"/>
          <w:szCs w:val="32"/>
        </w:rPr>
        <w:t>教育支出4385.54万元，占78.36%；社会保障和就业支出537.36万元，占9.60%；卫生健康支出285.15万元，占5.11%；住房保障支出388.14万元，占6.93%。</w:t>
      </w:r>
      <w:r>
        <w:rPr>
          <w:rFonts w:hint="eastAsia" w:ascii="仿宋" w:hAnsi="仿宋" w:eastAsia="仿宋" w:cs="仿宋"/>
          <w:sz w:val="32"/>
          <w:szCs w:val="32"/>
        </w:rPr>
        <w:br w:type="textWrapping"/>
      </w:r>
      <w:r>
        <w:rPr>
          <w:rFonts w:hint="eastAsia" w:ascii="楷体" w:hAnsi="楷体" w:eastAsia="楷体" w:cs="楷体"/>
          <w:b w:val="0"/>
          <w:bCs w:val="0"/>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val="0"/>
        <w:snapToGrid/>
        <w:spacing w:line="576" w:lineRule="exact"/>
        <w:ind w:left="0" w:firstLine="643" w:firstLineChars="200"/>
        <w:jc w:val="left"/>
        <w:rPr>
          <w:rFonts w:hint="eastAsia" w:ascii="仿宋" w:hAnsi="仿宋" w:eastAsia="仿宋" w:cs="仿宋"/>
          <w:color w:val="000000"/>
          <w:sz w:val="32"/>
          <w:szCs w:val="32"/>
        </w:rPr>
      </w:pPr>
      <w:r>
        <w:rPr>
          <w:rFonts w:hint="eastAsia" w:ascii="仿宋" w:hAnsi="仿宋" w:eastAsia="仿宋" w:cs="仿宋"/>
          <w:b/>
          <w:bCs/>
          <w:sz w:val="32"/>
          <w:szCs w:val="32"/>
        </w:rPr>
        <w:t>1.教育支出（类）普通教育（款）教育（项）：</w:t>
      </w:r>
      <w:r>
        <w:rPr>
          <w:rFonts w:hint="eastAsia" w:ascii="仿宋" w:hAnsi="仿宋" w:eastAsia="仿宋" w:cs="仿宋"/>
          <w:color w:val="000000"/>
          <w:sz w:val="32"/>
          <w:szCs w:val="32"/>
        </w:rPr>
        <w:t>2021年预算数为4385.54万元，主要用于：学校正常运转的基本支出，包括基本工资、津贴补贴、基础绩效奖等人员经费以及办公费、印刷费、水电费等日常公用经费,保障学校正常运转。</w:t>
      </w:r>
    </w:p>
    <w:p>
      <w:pPr>
        <w:keepNext w:val="0"/>
        <w:keepLines w:val="0"/>
        <w:pageBreakBefore w:val="0"/>
        <w:widowControl w:val="0"/>
        <w:kinsoku/>
        <w:wordWrap/>
        <w:overflowPunct/>
        <w:topLinePunct w:val="0"/>
        <w:autoSpaceDE/>
        <w:autoSpaceDN/>
        <w:bidi w:val="0"/>
        <w:adjustRightInd w:val="0"/>
        <w:snapToGrid/>
        <w:spacing w:line="576" w:lineRule="exact"/>
        <w:ind w:left="0" w:firstLine="643" w:firstLineChars="200"/>
        <w:jc w:val="left"/>
        <w:rPr>
          <w:rFonts w:hint="eastAsia" w:ascii="仿宋" w:hAnsi="仿宋" w:eastAsia="仿宋" w:cs="仿宋"/>
          <w:color w:val="000000"/>
          <w:sz w:val="32"/>
          <w:szCs w:val="32"/>
        </w:rPr>
      </w:pPr>
      <w:r>
        <w:rPr>
          <w:rFonts w:hint="eastAsia" w:ascii="仿宋" w:hAnsi="仿宋" w:eastAsia="仿宋" w:cs="仿宋"/>
          <w:b/>
          <w:bCs/>
          <w:sz w:val="32"/>
          <w:szCs w:val="32"/>
        </w:rPr>
        <w:t>2. 社会保障和就业支出（类）行政事业单位离退休（款）机关事业单位基本养老保险缴费支出（项）：</w:t>
      </w:r>
      <w:r>
        <w:rPr>
          <w:rFonts w:hint="eastAsia" w:ascii="仿宋" w:hAnsi="仿宋" w:eastAsia="仿宋" w:cs="仿宋"/>
          <w:color w:val="000000"/>
          <w:sz w:val="32"/>
          <w:szCs w:val="32"/>
        </w:rPr>
        <w:t>2021年预算数为537.36万元，主要用于：</w:t>
      </w:r>
      <w:r>
        <w:rPr>
          <w:rFonts w:hint="eastAsia" w:ascii="仿宋" w:hAnsi="仿宋" w:eastAsia="仿宋" w:cs="仿宋"/>
          <w:sz w:val="32"/>
          <w:szCs w:val="32"/>
        </w:rPr>
        <w:t>保障单位职工基本养老保险缴费支出。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3.</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color w:val="000000"/>
          <w:sz w:val="32"/>
          <w:szCs w:val="32"/>
        </w:rPr>
        <w:t>2021年</w:t>
      </w:r>
      <w:r>
        <w:rPr>
          <w:rFonts w:hint="eastAsia" w:ascii="仿宋" w:hAnsi="仿宋" w:eastAsia="仿宋" w:cs="仿宋"/>
          <w:sz w:val="32"/>
          <w:szCs w:val="32"/>
        </w:rPr>
        <w:t>预算数为285.15万元，主</w:t>
      </w:r>
      <w:r>
        <w:rPr>
          <w:rFonts w:hint="eastAsia" w:ascii="仿宋" w:hAnsi="仿宋" w:eastAsia="仿宋" w:cs="仿宋"/>
          <w:color w:val="000000"/>
          <w:sz w:val="32"/>
          <w:szCs w:val="32"/>
        </w:rPr>
        <w:t>要用于：事业单位基本医疗保险缴费支出。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4</w:t>
      </w:r>
      <w:r>
        <w:rPr>
          <w:rFonts w:hint="eastAsia" w:ascii="仿宋" w:hAnsi="仿宋" w:eastAsia="仿宋" w:cs="仿宋"/>
          <w:b/>
          <w:bCs/>
          <w:sz w:val="32"/>
          <w:szCs w:val="32"/>
        </w:rPr>
        <w:t>.住房保障（类）住房改革支出（款）住房公积金（项）</w:t>
      </w:r>
      <w:r>
        <w:rPr>
          <w:rFonts w:hint="eastAsia" w:ascii="仿宋" w:hAnsi="仿宋" w:eastAsia="仿宋" w:cs="仿宋"/>
          <w:color w:val="000000"/>
          <w:sz w:val="32"/>
          <w:szCs w:val="32"/>
        </w:rPr>
        <w:t>2021年预</w:t>
      </w:r>
      <w:r>
        <w:rPr>
          <w:rFonts w:hint="eastAsia" w:ascii="仿宋" w:hAnsi="仿宋" w:eastAsia="仿宋" w:cs="仿宋"/>
          <w:sz w:val="32"/>
          <w:szCs w:val="32"/>
        </w:rPr>
        <w:t>算数为388.14万元</w:t>
      </w:r>
      <w:r>
        <w:rPr>
          <w:rFonts w:hint="eastAsia" w:ascii="仿宋" w:hAnsi="仿宋" w:eastAsia="仿宋" w:cs="仿宋"/>
          <w:color w:val="000000"/>
          <w:sz w:val="32"/>
          <w:szCs w:val="32"/>
        </w:rPr>
        <w:t>，主要用于：部门按人力资源和社会保障部、财政部规定的基本工资和津贴补贴以及规定比例为职工缴纳的住房公积金支出。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六、一般公共预算基本支出情况说明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利州区东城实验学校2021年一般公共预算基本支出5596.10万元，其中：人员经费5348.66万元，主要包括：基本工资、津贴补贴、奖金、社会保险缴费等支出。公用经费141.26万元，主要包括：办公费、水费、电费、邮电费、印刷费、差旅费、维修（护）费、物业管理费、劳务费等支出。对个人和家庭补助支出106.17万元。</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七、“三公”经费财政拨款预算安排情况说明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2021年财政拨款安排“三公”经费预算0.00万元。其中：2021年安排公务接待费预算0.00万元，安排公车购置及运行维护费0.00万元。</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2021年未安排公务用车购置费。</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2021年安排公务用车运行维护费0万元。</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w:t>
      </w:r>
      <w:r>
        <w:rPr>
          <w:rFonts w:hint="eastAsia" w:ascii="黑体" w:hAnsi="黑体" w:eastAsia="黑体" w:cs="黑体"/>
          <w:b w:val="0"/>
          <w:bCs w:val="0"/>
          <w:sz w:val="32"/>
          <w:szCs w:val="32"/>
        </w:rPr>
        <w:t>　八、政府性基金预算支出情况说明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广元市利州区东城实验学校2021年没有使用政府性基金预算拨款安排的支出。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九、国有资本经营预算支出情况说明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广元市利州区东城实验学校2021年没有使用国有资本经营预算拨款安排的支出。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十、其他重要事项的情况说明</w:t>
      </w:r>
      <w:r>
        <w:rPr>
          <w:rFonts w:hint="eastAsia" w:ascii="黑体" w:hAnsi="黑体" w:eastAsia="黑体" w:cs="黑体"/>
          <w:b w:val="0"/>
          <w:bCs w:val="0"/>
          <w:color w:val="000000"/>
          <w:sz w:val="32"/>
          <w:szCs w:val="32"/>
        </w:rPr>
        <w:br w:type="textWrapping"/>
      </w:r>
      <w:r>
        <w:rPr>
          <w:rFonts w:hint="eastAsia" w:ascii="楷体" w:hAnsi="楷体" w:eastAsia="楷体" w:cs="楷体"/>
          <w:b w:val="0"/>
          <w:bCs w:val="0"/>
          <w:sz w:val="32"/>
          <w:szCs w:val="32"/>
        </w:rPr>
        <w:t>　　（一）政府采购情况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2021年，广元市利州区东城实验学校未安排政府采购预算。</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黑体" w:hAnsi="黑体" w:eastAsia="黑体" w:cs="黑体"/>
          <w:b w:val="0"/>
          <w:bCs w:val="0"/>
          <w:color w:val="000000"/>
          <w:sz w:val="32"/>
          <w:szCs w:val="32"/>
        </w:rPr>
      </w:pPr>
      <w:r>
        <w:rPr>
          <w:rFonts w:hint="eastAsia" w:ascii="楷体" w:hAnsi="楷体" w:eastAsia="楷体" w:cs="楷体"/>
          <w:b w:val="0"/>
          <w:bCs w:val="0"/>
          <w:sz w:val="32"/>
          <w:szCs w:val="32"/>
        </w:rPr>
        <w:t>（二）国有资产占有使用情况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截至2021年底，广元市利州区东城实验学校无车辆。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2021年部门预算未安排(安排）购置车辆及单位价值20万元以上大型设备。</w:t>
      </w:r>
      <w:r>
        <w:rPr>
          <w:rFonts w:hint="eastAsia" w:ascii="仿宋" w:hAnsi="仿宋" w:eastAsia="仿宋" w:cs="仿宋"/>
          <w:color w:val="000000"/>
          <w:sz w:val="32"/>
          <w:szCs w:val="32"/>
        </w:rPr>
        <w:br w:type="textWrapping"/>
      </w:r>
      <w:bookmarkStart w:id="0" w:name="_GoBack"/>
      <w:r>
        <w:rPr>
          <w:rFonts w:hint="eastAsia" w:ascii="楷体" w:hAnsi="楷体" w:eastAsia="楷体" w:cs="楷体"/>
          <w:b w:val="0"/>
          <w:bCs w:val="0"/>
          <w:sz w:val="32"/>
          <w:szCs w:val="32"/>
        </w:rPr>
        <w:t>　　（三）绩效目标设置情况</w:t>
      </w:r>
      <w:r>
        <w:rPr>
          <w:rFonts w:hint="eastAsia" w:ascii="楷体" w:hAnsi="楷体" w:eastAsia="楷体" w:cs="楷体"/>
          <w:b w:val="0"/>
          <w:bCs w:val="0"/>
          <w:sz w:val="32"/>
          <w:szCs w:val="32"/>
        </w:rPr>
        <w:br w:type="textWrapping"/>
      </w:r>
      <w:bookmarkEnd w:id="0"/>
      <w:r>
        <w:rPr>
          <w:rFonts w:hint="eastAsia" w:ascii="仿宋" w:hAnsi="仿宋" w:eastAsia="仿宋" w:cs="仿宋"/>
          <w:color w:val="000000"/>
          <w:sz w:val="32"/>
          <w:szCs w:val="32"/>
        </w:rPr>
        <w:t>　　绩效目标是预算编制的前提和基础，按照“费随事定”的原则，2021年广元市利州区东城实验学校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十一、名词解释</w:t>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（四）社会保障和就业（类）行政事业单位离退休（款）未归口管理的行政单位离退休（项）：指局机关离退休人员的支出。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（七）卫生健康（类）行政事业单位医疗（款）行政单位医疗（项）：指局机关及参公管理事业单位用于缴纳单位基本医疗保险支出。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纳入区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sz w:val="32"/>
          <w:szCs w:val="32"/>
        </w:rPr>
        <w:br w:type="textWrapping"/>
      </w: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spacing w:line="576" w:lineRule="exact"/>
        <w:ind w:left="0" w:firstLine="640" w:firstLineChars="200"/>
        <w:textAlignment w:val="baseline"/>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spacing w:line="576" w:lineRule="exact"/>
        <w:ind w:left="0" w:firstLine="640" w:firstLineChars="200"/>
        <w:jc w:val="center"/>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广元市利州区东城实验学校</w:t>
      </w:r>
    </w:p>
    <w:p>
      <w:pPr>
        <w:keepNext w:val="0"/>
        <w:keepLines w:val="0"/>
        <w:pageBreakBefore w:val="0"/>
        <w:widowControl w:val="0"/>
        <w:kinsoku/>
        <w:wordWrap/>
        <w:overflowPunct/>
        <w:topLinePunct w:val="0"/>
        <w:autoSpaceDE/>
        <w:autoSpaceDN/>
        <w:bidi w:val="0"/>
        <w:snapToGrid/>
        <w:spacing w:line="576" w:lineRule="exact"/>
        <w:ind w:left="0" w:right="1283" w:rightChars="611" w:firstLine="640" w:firstLineChars="200"/>
        <w:jc w:val="righ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2021年3月29日</w:t>
      </w:r>
    </w:p>
    <w:sectPr>
      <w:footerReference r:id="rId3" w:type="default"/>
      <w:pgSz w:w="11906" w:h="16838"/>
      <w:pgMar w:top="1701" w:right="1474" w:bottom="1701" w:left="1587"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00F35"/>
    <w:rsid w:val="000234F0"/>
    <w:rsid w:val="000F7E8B"/>
    <w:rsid w:val="0012484D"/>
    <w:rsid w:val="0019321F"/>
    <w:rsid w:val="002002DA"/>
    <w:rsid w:val="0020247B"/>
    <w:rsid w:val="00204A7A"/>
    <w:rsid w:val="0022790D"/>
    <w:rsid w:val="0024385F"/>
    <w:rsid w:val="0026122B"/>
    <w:rsid w:val="00293066"/>
    <w:rsid w:val="002D1E95"/>
    <w:rsid w:val="00312142"/>
    <w:rsid w:val="003A690F"/>
    <w:rsid w:val="003F084C"/>
    <w:rsid w:val="00404105"/>
    <w:rsid w:val="004C01BC"/>
    <w:rsid w:val="004F514A"/>
    <w:rsid w:val="006669E2"/>
    <w:rsid w:val="006A476B"/>
    <w:rsid w:val="006A7B11"/>
    <w:rsid w:val="007359EB"/>
    <w:rsid w:val="007D2FDC"/>
    <w:rsid w:val="007E0D7C"/>
    <w:rsid w:val="0086021F"/>
    <w:rsid w:val="00886C02"/>
    <w:rsid w:val="009073AE"/>
    <w:rsid w:val="00943A7E"/>
    <w:rsid w:val="00A565DC"/>
    <w:rsid w:val="00A923C1"/>
    <w:rsid w:val="00AC2EAA"/>
    <w:rsid w:val="00B119AC"/>
    <w:rsid w:val="00B84337"/>
    <w:rsid w:val="00BB737B"/>
    <w:rsid w:val="00C06BFD"/>
    <w:rsid w:val="00C94ABD"/>
    <w:rsid w:val="00CD4B04"/>
    <w:rsid w:val="00CE5135"/>
    <w:rsid w:val="00D33725"/>
    <w:rsid w:val="00E14578"/>
    <w:rsid w:val="00EA4825"/>
    <w:rsid w:val="00FB1A43"/>
    <w:rsid w:val="00FD2341"/>
    <w:rsid w:val="012E766D"/>
    <w:rsid w:val="044F5BC4"/>
    <w:rsid w:val="099A6EBD"/>
    <w:rsid w:val="0B630D0D"/>
    <w:rsid w:val="0B974E68"/>
    <w:rsid w:val="0E1168EA"/>
    <w:rsid w:val="0ED54B8C"/>
    <w:rsid w:val="10C075FA"/>
    <w:rsid w:val="160776AB"/>
    <w:rsid w:val="162435F4"/>
    <w:rsid w:val="1A4B3E10"/>
    <w:rsid w:val="1B850779"/>
    <w:rsid w:val="1BBC5CD8"/>
    <w:rsid w:val="1E195747"/>
    <w:rsid w:val="1ED53AE3"/>
    <w:rsid w:val="1F746947"/>
    <w:rsid w:val="2054466C"/>
    <w:rsid w:val="237F1682"/>
    <w:rsid w:val="23C11D80"/>
    <w:rsid w:val="24C90A2A"/>
    <w:rsid w:val="25C96B17"/>
    <w:rsid w:val="260A4F3C"/>
    <w:rsid w:val="29062194"/>
    <w:rsid w:val="299352FA"/>
    <w:rsid w:val="2DBA1E53"/>
    <w:rsid w:val="30806273"/>
    <w:rsid w:val="31183214"/>
    <w:rsid w:val="31A677E9"/>
    <w:rsid w:val="321E2CF1"/>
    <w:rsid w:val="35B23392"/>
    <w:rsid w:val="43644D8C"/>
    <w:rsid w:val="45BE2AED"/>
    <w:rsid w:val="4A9F39C0"/>
    <w:rsid w:val="4C417191"/>
    <w:rsid w:val="4F377634"/>
    <w:rsid w:val="51D01543"/>
    <w:rsid w:val="55860D15"/>
    <w:rsid w:val="578919DC"/>
    <w:rsid w:val="5CAE226A"/>
    <w:rsid w:val="600105C9"/>
    <w:rsid w:val="62385F19"/>
    <w:rsid w:val="63AF12DB"/>
    <w:rsid w:val="67D245BF"/>
    <w:rsid w:val="715F72EE"/>
    <w:rsid w:val="73C51294"/>
    <w:rsid w:val="74AB75CC"/>
    <w:rsid w:val="785F0829"/>
    <w:rsid w:val="7BD06D36"/>
    <w:rsid w:val="7F9A28DC"/>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421</Words>
  <Characters>2400</Characters>
  <Lines>20</Lines>
  <Paragraphs>5</Paragraphs>
  <TotalTime>5</TotalTime>
  <ScaleCrop>false</ScaleCrop>
  <LinksUpToDate>false</LinksUpToDate>
  <CharactersWithSpaces>2816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2022-06-14T10:56:30Z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2AAABA817FA44068AAD4D8A3B58CEB42</vt:lpwstr>
  </property>
</Properties>
</file>