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广元市利州区宝珠小学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2021年部门预算情况说明</w:t>
      </w:r>
    </w:p>
    <w:p>
      <w:pPr>
        <w:jc w:val="center"/>
        <w:rPr>
          <w:rFonts w:ascii="方正小标宋简体" w:hAnsi="方正小标宋简体" w:eastAsia="方正小标宋简体" w:cs="方正小标宋简体"/>
          <w:b/>
          <w:sz w:val="36"/>
          <w:szCs w:val="36"/>
        </w:rPr>
      </w:pP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广元市利州区宝珠小学总编制20名，其中管理岗位1人，专业技术岗位19人。在职人员总数32人，其中编制人员20人，特岗计划教师4人，临聘人员8人；离退休人员23人。固定资</w:t>
      </w:r>
      <w:bookmarkStart w:id="0" w:name="_GoBack"/>
      <w:bookmarkEnd w:id="0"/>
      <w:r>
        <w:rPr>
          <w:rFonts w:hint="eastAsia" w:ascii="仿宋_GB2312" w:eastAsia="仿宋_GB2312"/>
          <w:color w:val="000000" w:themeColor="text1"/>
          <w:sz w:val="32"/>
          <w:szCs w:val="32"/>
          <w14:textFill>
            <w14:solidFill>
              <w14:schemeClr w14:val="tx1"/>
            </w14:solidFill>
          </w14:textFill>
        </w:rPr>
        <w:t>产总额443.14万元。</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二、主要职能职责</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宝珠小学</w:t>
      </w:r>
      <w:r>
        <w:rPr>
          <w:rFonts w:hint="eastAsia" w:ascii="仿宋" w:hAnsi="仿宋" w:eastAsia="仿宋"/>
          <w:color w:val="000000" w:themeColor="text1"/>
          <w:sz w:val="32"/>
          <w:szCs w:val="32"/>
          <w14:textFill>
            <w14:solidFill>
              <w14:schemeClr w14:val="tx1"/>
            </w14:solidFill>
          </w14:textFill>
        </w:rPr>
        <w:t>是经利州区编制委员会批准成立的，在区教育局领导下的一所乡镇小学。我校的主要职能是：实施小学义务教育，小学学历教育。</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负责</w:t>
      </w:r>
      <w:r>
        <w:rPr>
          <w:rFonts w:ascii="仿宋" w:hAnsi="仿宋" w:eastAsia="仿宋"/>
          <w:color w:val="000000" w:themeColor="text1"/>
          <w:sz w:val="32"/>
          <w:szCs w:val="32"/>
          <w14:textFill>
            <w14:solidFill>
              <w14:schemeClr w14:val="tx1"/>
            </w14:solidFill>
          </w14:textFill>
        </w:rPr>
        <w:t>推进义务教育均衡发展和促进教育公平，全面实施素质教育；对基础教育发展水平、质量的监测工作。</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（三）</w:t>
      </w:r>
      <w:r>
        <w:rPr>
          <w:rFonts w:ascii="仿宋" w:hAnsi="仿宋" w:eastAsia="仿宋"/>
          <w:color w:val="000000" w:themeColor="text1"/>
          <w:sz w:val="32"/>
          <w:szCs w:val="32"/>
          <w14:textFill>
            <w14:solidFill>
              <w14:schemeClr w14:val="tx1"/>
            </w14:solidFill>
          </w14:textFill>
        </w:rPr>
        <w:t>负责配合各级人民政府依法动员、组织适龄儿童、少年入学，严格控制学生辍学，依法保证适龄儿童、少年接受九年义务教育。</w:t>
      </w:r>
      <w:r>
        <w:rPr>
          <w:color w:val="000000" w:themeColor="text1"/>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负责</w:t>
      </w:r>
      <w:r>
        <w:rPr>
          <w:rFonts w:ascii="仿宋" w:hAnsi="仿宋" w:eastAsia="仿宋"/>
          <w:color w:val="000000" w:themeColor="text1"/>
          <w:sz w:val="32"/>
          <w:szCs w:val="32"/>
          <w14:textFill>
            <w14:solidFill>
              <w14:schemeClr w14:val="tx1"/>
            </w14:solidFill>
          </w14:textFill>
        </w:rPr>
        <w:t>依法治校、安全、综合治理、档案、保密、计划生育工作</w:t>
      </w:r>
      <w:r>
        <w:rPr>
          <w:rFonts w:hint="eastAsia" w:ascii="仿宋" w:hAnsi="仿宋" w:eastAsia="仿宋"/>
          <w:color w:val="000000" w:themeColor="text1"/>
          <w:sz w:val="32"/>
          <w:szCs w:val="32"/>
          <w14:textFill>
            <w14:solidFill>
              <w14:schemeClr w14:val="tx1"/>
            </w14:solidFill>
          </w14:textFill>
        </w:rPr>
        <w:t>，完成</w:t>
      </w:r>
      <w:r>
        <w:rPr>
          <w:rFonts w:ascii="仿宋" w:hAnsi="仿宋" w:eastAsia="仿宋"/>
          <w:color w:val="000000" w:themeColor="text1"/>
          <w:sz w:val="32"/>
          <w:szCs w:val="32"/>
          <w14:textFill>
            <w14:solidFill>
              <w14:schemeClr w14:val="tx1"/>
            </w14:solidFill>
          </w14:textFill>
        </w:rPr>
        <w:t>学校体育、卫生与艺术教育工作。</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负责</w:t>
      </w:r>
      <w:r>
        <w:rPr>
          <w:rFonts w:ascii="仿宋" w:hAnsi="仿宋" w:eastAsia="仿宋"/>
          <w:color w:val="000000" w:themeColor="text1"/>
          <w:sz w:val="32"/>
          <w:szCs w:val="32"/>
          <w14:textFill>
            <w14:solidFill>
              <w14:schemeClr w14:val="tx1"/>
            </w14:solidFill>
          </w14:textFill>
        </w:rPr>
        <w:t>组织实施各级各类教师资格证书制度；统筹</w:t>
      </w:r>
      <w:r>
        <w:rPr>
          <w:rFonts w:hint="eastAsia" w:ascii="仿宋" w:hAnsi="仿宋" w:eastAsia="仿宋"/>
          <w:color w:val="000000" w:themeColor="text1"/>
          <w:sz w:val="32"/>
          <w:szCs w:val="32"/>
          <w14:textFill>
            <w14:solidFill>
              <w14:schemeClr w14:val="tx1"/>
            </w14:solidFill>
          </w14:textFill>
        </w:rPr>
        <w:t>安排</w:t>
      </w:r>
      <w:r>
        <w:rPr>
          <w:rFonts w:ascii="仿宋" w:hAnsi="仿宋" w:eastAsia="仿宋"/>
          <w:color w:val="000000" w:themeColor="text1"/>
          <w:sz w:val="32"/>
          <w:szCs w:val="32"/>
          <w14:textFill>
            <w14:solidFill>
              <w14:schemeClr w14:val="tx1"/>
            </w14:solidFill>
          </w14:textFill>
        </w:rPr>
        <w:t>学校教师和管理人员队伍建设；</w:t>
      </w:r>
      <w:r>
        <w:rPr>
          <w:rFonts w:hint="eastAsia" w:ascii="仿宋" w:hAnsi="仿宋" w:eastAsia="仿宋"/>
          <w:color w:val="000000" w:themeColor="text1"/>
          <w:sz w:val="32"/>
          <w:szCs w:val="32"/>
          <w14:textFill>
            <w14:solidFill>
              <w14:schemeClr w14:val="tx1"/>
            </w14:solidFill>
          </w14:textFill>
        </w:rPr>
        <w:t>完成</w:t>
      </w:r>
      <w:r>
        <w:rPr>
          <w:rFonts w:ascii="仿宋" w:hAnsi="仿宋" w:eastAsia="仿宋"/>
          <w:color w:val="000000" w:themeColor="text1"/>
          <w:sz w:val="32"/>
          <w:szCs w:val="32"/>
          <w14:textFill>
            <w14:solidFill>
              <w14:schemeClr w14:val="tx1"/>
            </w14:solidFill>
          </w14:textFill>
        </w:rPr>
        <w:t>教师的继续教育和课程改革新教材的培训工作；</w:t>
      </w:r>
      <w:r>
        <w:rPr>
          <w:rFonts w:hint="eastAsia" w:ascii="仿宋" w:hAnsi="仿宋" w:eastAsia="仿宋"/>
          <w:color w:val="000000" w:themeColor="text1"/>
          <w:sz w:val="32"/>
          <w:szCs w:val="32"/>
          <w14:textFill>
            <w14:solidFill>
              <w14:schemeClr w14:val="tx1"/>
            </w14:solidFill>
          </w14:textFill>
        </w:rPr>
        <w:t>加强</w:t>
      </w:r>
      <w:r>
        <w:rPr>
          <w:rFonts w:ascii="仿宋" w:hAnsi="仿宋" w:eastAsia="仿宋"/>
          <w:color w:val="000000" w:themeColor="text1"/>
          <w:sz w:val="32"/>
          <w:szCs w:val="32"/>
          <w14:textFill>
            <w14:solidFill>
              <w14:schemeClr w14:val="tx1"/>
            </w14:solidFill>
          </w14:textFill>
        </w:rPr>
        <w:t xml:space="preserve">人才队伍建设。 </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负责完成</w:t>
      </w:r>
      <w:r>
        <w:rPr>
          <w:rFonts w:ascii="仿宋" w:hAnsi="仿宋" w:eastAsia="仿宋"/>
          <w:color w:val="000000" w:themeColor="text1"/>
          <w:sz w:val="32"/>
          <w:szCs w:val="32"/>
          <w14:textFill>
            <w14:solidFill>
              <w14:schemeClr w14:val="tx1"/>
            </w14:solidFill>
          </w14:textFill>
        </w:rPr>
        <w:t>教育方面的对外交流与合作、对外宣传</w:t>
      </w:r>
      <w:r>
        <w:rPr>
          <w:rFonts w:hint="eastAsia" w:ascii="仿宋" w:hAnsi="仿宋" w:eastAsia="仿宋"/>
          <w:color w:val="000000" w:themeColor="text1"/>
          <w:sz w:val="32"/>
          <w:szCs w:val="32"/>
          <w14:textFill>
            <w14:solidFill>
              <w14:schemeClr w14:val="tx1"/>
            </w14:solidFill>
          </w14:textFill>
        </w:rPr>
        <w:t>，完成</w:t>
      </w:r>
      <w:r>
        <w:rPr>
          <w:rFonts w:ascii="仿宋" w:hAnsi="仿宋" w:eastAsia="仿宋"/>
          <w:color w:val="000000" w:themeColor="text1"/>
          <w:sz w:val="32"/>
          <w:szCs w:val="32"/>
          <w14:textFill>
            <w14:solidFill>
              <w14:schemeClr w14:val="tx1"/>
            </w14:solidFill>
          </w14:textFill>
        </w:rPr>
        <w:t>后勤保障、信息化建设以及教学仪器设备和图书资料装备工作</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（七）</w:t>
      </w:r>
      <w:r>
        <w:rPr>
          <w:rFonts w:ascii="仿宋" w:hAnsi="仿宋" w:eastAsia="仿宋"/>
          <w:color w:val="000000" w:themeColor="text1"/>
          <w:sz w:val="32"/>
          <w:szCs w:val="32"/>
          <w14:textFill>
            <w14:solidFill>
              <w14:schemeClr w14:val="tx1"/>
            </w14:solidFill>
          </w14:textFill>
        </w:rPr>
        <w:t>负责按照教育主管单位发布的指导性教学计划、教学大纲，组织实施教育教学活动。</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（八）</w:t>
      </w:r>
      <w:r>
        <w:rPr>
          <w:rFonts w:ascii="仿宋" w:hAnsi="仿宋" w:eastAsia="仿宋"/>
          <w:color w:val="000000" w:themeColor="text1"/>
          <w:sz w:val="32"/>
          <w:szCs w:val="32"/>
          <w14:textFill>
            <w14:solidFill>
              <w14:schemeClr w14:val="tx1"/>
            </w14:solidFill>
          </w14:textFill>
        </w:rPr>
        <w:t>负责依据国家教育单位有关教学计划、课程设置等方面的规定，决定和实施本校的教学计划，组织教学评比、集体评课，对学生进行统一考核、考试等。</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三、预算收支情况说明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广元市利州区宝珠小学202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年部门预算收入总数</w:t>
      </w:r>
      <w:r>
        <w:rPr>
          <w:rFonts w:ascii="仿宋" w:hAnsi="仿宋" w:eastAsia="仿宋" w:cs="仿宋"/>
          <w:color w:val="000000" w:themeColor="text1"/>
          <w:sz w:val="32"/>
          <w:szCs w:val="32"/>
          <w14:textFill>
            <w14:solidFill>
              <w14:schemeClr w14:val="tx1"/>
            </w14:solidFill>
          </w14:textFill>
        </w:rPr>
        <w:t>384.01</w:t>
      </w:r>
      <w:r>
        <w:rPr>
          <w:rFonts w:hint="eastAsia" w:ascii="仿宋" w:hAnsi="仿宋" w:eastAsia="仿宋" w:cs="仿宋"/>
          <w:color w:val="000000" w:themeColor="text1"/>
          <w:sz w:val="32"/>
          <w:szCs w:val="32"/>
          <w14:textFill>
            <w14:solidFill>
              <w14:schemeClr w14:val="tx1"/>
            </w14:solidFill>
          </w14:textFill>
        </w:rPr>
        <w:t>万元，较202</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年部门预算收入总数</w:t>
      </w:r>
      <w:r>
        <w:rPr>
          <w:rFonts w:ascii="仿宋" w:hAnsi="仿宋" w:eastAsia="仿宋" w:cs="仿宋"/>
          <w:color w:val="000000" w:themeColor="text1"/>
          <w:sz w:val="32"/>
          <w:szCs w:val="32"/>
          <w14:textFill>
            <w14:solidFill>
              <w14:schemeClr w14:val="tx1"/>
            </w14:solidFill>
          </w14:textFill>
        </w:rPr>
        <w:t>358</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04</w:t>
      </w:r>
      <w:r>
        <w:rPr>
          <w:rFonts w:hint="eastAsia" w:ascii="仿宋" w:hAnsi="仿宋" w:eastAsia="仿宋" w:cs="仿宋"/>
          <w:color w:val="000000" w:themeColor="text1"/>
          <w:sz w:val="32"/>
          <w:szCs w:val="32"/>
          <w14:textFill>
            <w14:solidFill>
              <w14:schemeClr w14:val="tx1"/>
            </w14:solidFill>
          </w14:textFill>
        </w:rPr>
        <w:t>万元增加7</w:t>
      </w:r>
      <w:r>
        <w:rPr>
          <w:rFonts w:ascii="仿宋" w:hAnsi="仿宋" w:eastAsia="仿宋" w:cs="仿宋"/>
          <w:color w:val="000000" w:themeColor="text1"/>
          <w:sz w:val="32"/>
          <w:szCs w:val="32"/>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年部门预算支出总数</w:t>
      </w:r>
      <w:r>
        <w:rPr>
          <w:rFonts w:ascii="仿宋" w:hAnsi="仿宋" w:eastAsia="仿宋" w:cs="仿宋"/>
          <w:color w:val="000000" w:themeColor="text1"/>
          <w:sz w:val="32"/>
          <w:szCs w:val="32"/>
          <w14:textFill>
            <w14:solidFill>
              <w14:schemeClr w14:val="tx1"/>
            </w14:solidFill>
          </w14:textFill>
        </w:rPr>
        <w:t>384.01</w:t>
      </w:r>
      <w:r>
        <w:rPr>
          <w:rFonts w:hint="eastAsia" w:ascii="仿宋" w:hAnsi="仿宋" w:eastAsia="仿宋" w:cs="仿宋"/>
          <w:color w:val="000000" w:themeColor="text1"/>
          <w:sz w:val="32"/>
          <w:szCs w:val="32"/>
          <w14:textFill>
            <w14:solidFill>
              <w14:schemeClr w14:val="tx1"/>
            </w14:solidFill>
          </w14:textFill>
        </w:rPr>
        <w:t>万元，较202</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年部门预算支出总数</w:t>
      </w:r>
      <w:r>
        <w:rPr>
          <w:rFonts w:ascii="仿宋" w:hAnsi="仿宋" w:eastAsia="仿宋" w:cs="仿宋"/>
          <w:color w:val="000000" w:themeColor="text1"/>
          <w:sz w:val="32"/>
          <w:szCs w:val="32"/>
          <w14:textFill>
            <w14:solidFill>
              <w14:schemeClr w14:val="tx1"/>
            </w14:solidFill>
          </w14:textFill>
        </w:rPr>
        <w:t>358</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04</w:t>
      </w:r>
      <w:r>
        <w:rPr>
          <w:rFonts w:hint="eastAsia" w:ascii="仿宋" w:hAnsi="仿宋" w:eastAsia="仿宋" w:cs="仿宋"/>
          <w:color w:val="000000" w:themeColor="text1"/>
          <w:sz w:val="32"/>
          <w:szCs w:val="32"/>
          <w14:textFill>
            <w14:solidFill>
              <w14:schemeClr w14:val="tx1"/>
            </w14:solidFill>
          </w14:textFill>
        </w:rPr>
        <w:t>万元增加7</w:t>
      </w:r>
      <w:r>
        <w:rPr>
          <w:rFonts w:ascii="仿宋" w:hAnsi="仿宋" w:eastAsia="仿宋" w:cs="仿宋"/>
          <w:color w:val="000000" w:themeColor="text1"/>
          <w:sz w:val="32"/>
          <w:szCs w:val="32"/>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广元市利州区宝珠小学202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年部门基本支出预算总数</w:t>
      </w:r>
      <w:r>
        <w:rPr>
          <w:rFonts w:ascii="仿宋" w:hAnsi="仿宋" w:eastAsia="仿宋" w:cs="仿宋"/>
          <w:color w:val="000000" w:themeColor="text1"/>
          <w:sz w:val="32"/>
          <w:szCs w:val="32"/>
          <w14:textFill>
            <w14:solidFill>
              <w14:schemeClr w14:val="tx1"/>
            </w14:solidFill>
          </w14:textFill>
        </w:rPr>
        <w:t>384.01</w:t>
      </w:r>
      <w:r>
        <w:rPr>
          <w:rFonts w:hint="eastAsia" w:ascii="仿宋" w:hAnsi="仿宋" w:eastAsia="仿宋" w:cs="仿宋"/>
          <w:color w:val="000000" w:themeColor="text1"/>
          <w:sz w:val="32"/>
          <w:szCs w:val="32"/>
          <w14:textFill>
            <w14:solidFill>
              <w14:schemeClr w14:val="tx1"/>
            </w14:solidFill>
          </w14:textFill>
        </w:rPr>
        <w:t>万元，其中：人员支出</w:t>
      </w:r>
      <w:r>
        <w:rPr>
          <w:rFonts w:ascii="仿宋" w:hAnsi="仿宋" w:eastAsia="仿宋" w:cs="仿宋"/>
          <w:color w:val="000000" w:themeColor="text1"/>
          <w:sz w:val="32"/>
          <w:szCs w:val="32"/>
          <w14:textFill>
            <w14:solidFill>
              <w14:schemeClr w14:val="tx1"/>
            </w14:solidFill>
          </w14:textFill>
        </w:rPr>
        <w:t>334</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59</w:t>
      </w:r>
      <w:r>
        <w:rPr>
          <w:rFonts w:hint="eastAsia" w:ascii="仿宋" w:hAnsi="仿宋" w:eastAsia="仿宋" w:cs="仿宋"/>
          <w:color w:val="000000" w:themeColor="text1"/>
          <w:sz w:val="32"/>
          <w:szCs w:val="32"/>
          <w14:textFill>
            <w14:solidFill>
              <w14:schemeClr w14:val="tx1"/>
            </w14:solidFill>
          </w14:textFill>
        </w:rPr>
        <w:t>万元，公用支出</w:t>
      </w:r>
      <w:r>
        <w:rPr>
          <w:rFonts w:ascii="仿宋" w:hAnsi="仿宋" w:eastAsia="仿宋" w:cs="仿宋"/>
          <w:color w:val="000000" w:themeColor="text1"/>
          <w:sz w:val="32"/>
          <w:szCs w:val="32"/>
          <w14:textFill>
            <w14:solidFill>
              <w14:schemeClr w14:val="tx1"/>
            </w14:solidFill>
          </w14:textFill>
        </w:rPr>
        <w:t>11.3</w:t>
      </w:r>
      <w:r>
        <w:rPr>
          <w:rFonts w:hint="eastAsia" w:ascii="仿宋" w:hAnsi="仿宋" w:eastAsia="仿宋" w:cs="仿宋"/>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广元市利州区宝珠小学202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年部门预算收入总数</w:t>
      </w:r>
      <w:r>
        <w:rPr>
          <w:rFonts w:ascii="仿宋" w:hAnsi="仿宋" w:eastAsia="仿宋" w:cs="仿宋"/>
          <w:color w:val="000000" w:themeColor="text1"/>
          <w:sz w:val="32"/>
          <w:szCs w:val="32"/>
          <w14:textFill>
            <w14:solidFill>
              <w14:schemeClr w14:val="tx1"/>
            </w14:solidFill>
          </w14:textFill>
        </w:rPr>
        <w:t>384.01</w:t>
      </w:r>
      <w:r>
        <w:rPr>
          <w:rFonts w:hint="eastAsia" w:ascii="仿宋" w:hAnsi="仿宋" w:eastAsia="仿宋" w:cs="仿宋"/>
          <w:color w:val="000000" w:themeColor="text1"/>
          <w:sz w:val="32"/>
          <w:szCs w:val="32"/>
          <w14:textFill>
            <w14:solidFill>
              <w14:schemeClr w14:val="tx1"/>
            </w14:solidFill>
          </w14:textFill>
        </w:rPr>
        <w:t>万元，较2021年部门预算收入总数</w:t>
      </w:r>
      <w:r>
        <w:rPr>
          <w:rFonts w:ascii="仿宋" w:hAnsi="仿宋" w:eastAsia="仿宋" w:cs="仿宋"/>
          <w:color w:val="000000" w:themeColor="text1"/>
          <w:sz w:val="32"/>
          <w:szCs w:val="32"/>
          <w14:textFill>
            <w14:solidFill>
              <w14:schemeClr w14:val="tx1"/>
            </w14:solidFill>
          </w14:textFill>
        </w:rPr>
        <w:t>358</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04</w:t>
      </w:r>
      <w:r>
        <w:rPr>
          <w:rFonts w:hint="eastAsia" w:ascii="仿宋" w:hAnsi="仿宋" w:eastAsia="仿宋" w:cs="仿宋"/>
          <w:color w:val="000000" w:themeColor="text1"/>
          <w:sz w:val="32"/>
          <w:szCs w:val="32"/>
          <w14:textFill>
            <w14:solidFill>
              <w14:schemeClr w14:val="tx1"/>
            </w14:solidFill>
          </w14:textFill>
        </w:rPr>
        <w:t>万元增加7</w:t>
      </w:r>
      <w:r>
        <w:rPr>
          <w:rFonts w:ascii="仿宋" w:hAnsi="仿宋" w:eastAsia="仿宋" w:cs="仿宋"/>
          <w:color w:val="000000" w:themeColor="text1"/>
          <w:sz w:val="32"/>
          <w:szCs w:val="32"/>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%；2022年部门预算支出总数</w:t>
      </w:r>
      <w:r>
        <w:rPr>
          <w:rFonts w:ascii="仿宋" w:hAnsi="仿宋" w:eastAsia="仿宋" w:cs="仿宋"/>
          <w:color w:val="000000" w:themeColor="text1"/>
          <w:sz w:val="32"/>
          <w:szCs w:val="32"/>
          <w14:textFill>
            <w14:solidFill>
              <w14:schemeClr w14:val="tx1"/>
            </w14:solidFill>
          </w14:textFill>
        </w:rPr>
        <w:t>384.01</w:t>
      </w:r>
      <w:r>
        <w:rPr>
          <w:rFonts w:hint="eastAsia" w:ascii="仿宋" w:hAnsi="仿宋" w:eastAsia="仿宋" w:cs="仿宋"/>
          <w:color w:val="000000" w:themeColor="text1"/>
          <w:sz w:val="32"/>
          <w:szCs w:val="32"/>
          <w14:textFill>
            <w14:solidFill>
              <w14:schemeClr w14:val="tx1"/>
            </w14:solidFill>
          </w14:textFill>
        </w:rPr>
        <w:t>万元，较2021年部门预算支出总数</w:t>
      </w:r>
      <w:r>
        <w:rPr>
          <w:rFonts w:ascii="仿宋" w:hAnsi="仿宋" w:eastAsia="仿宋" w:cs="仿宋"/>
          <w:color w:val="000000" w:themeColor="text1"/>
          <w:sz w:val="32"/>
          <w:szCs w:val="32"/>
          <w14:textFill>
            <w14:solidFill>
              <w14:schemeClr w14:val="tx1"/>
            </w14:solidFill>
          </w14:textFill>
        </w:rPr>
        <w:t>358</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04</w:t>
      </w:r>
      <w:r>
        <w:rPr>
          <w:rFonts w:hint="eastAsia" w:ascii="仿宋" w:hAnsi="仿宋" w:eastAsia="仿宋" w:cs="仿宋"/>
          <w:color w:val="000000" w:themeColor="text1"/>
          <w:sz w:val="32"/>
          <w:szCs w:val="32"/>
          <w14:textFill>
            <w14:solidFill>
              <w14:schemeClr w14:val="tx1"/>
            </w14:solidFill>
          </w14:textFill>
        </w:rPr>
        <w:t>万元增加7</w:t>
      </w:r>
      <w:r>
        <w:rPr>
          <w:rFonts w:ascii="仿宋" w:hAnsi="仿宋" w:eastAsia="仿宋" w:cs="仿宋"/>
          <w:color w:val="000000" w:themeColor="text1"/>
          <w:sz w:val="32"/>
          <w:szCs w:val="32"/>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年一般公共预算当年拨款</w:t>
      </w:r>
      <w:r>
        <w:rPr>
          <w:rFonts w:ascii="仿宋" w:hAnsi="仿宋" w:eastAsia="仿宋" w:cs="仿宋"/>
          <w:color w:val="000000" w:themeColor="text1"/>
          <w:sz w:val="32"/>
          <w:szCs w:val="32"/>
          <w14:textFill>
            <w14:solidFill>
              <w14:schemeClr w14:val="tx1"/>
            </w14:solidFill>
          </w14:textFill>
        </w:rPr>
        <w:t>384.01</w:t>
      </w:r>
      <w:r>
        <w:rPr>
          <w:rFonts w:hint="eastAsia" w:ascii="仿宋" w:hAnsi="仿宋" w:eastAsia="仿宋" w:cs="仿宋"/>
          <w:color w:val="000000" w:themeColor="text1"/>
          <w:sz w:val="32"/>
          <w:szCs w:val="32"/>
          <w14:textFill>
            <w14:solidFill>
              <w14:schemeClr w14:val="tx1"/>
            </w14:solidFill>
          </w14:textFill>
        </w:rPr>
        <w:t>万元，比202</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年预算数增加</w:t>
      </w:r>
      <w:r>
        <w:rPr>
          <w:rFonts w:ascii="仿宋" w:hAnsi="仿宋" w:eastAsia="仿宋" w:cs="仿宋"/>
          <w:color w:val="000000" w:themeColor="text1"/>
          <w:sz w:val="32"/>
          <w:szCs w:val="32"/>
          <w14:textFill>
            <w14:solidFill>
              <w14:schemeClr w14:val="tx1"/>
            </w14:solidFill>
          </w14:textFill>
        </w:rPr>
        <w:t>25.97</w:t>
      </w:r>
      <w:r>
        <w:rPr>
          <w:rFonts w:hint="eastAsia" w:ascii="仿宋" w:hAnsi="仿宋" w:eastAsia="仿宋" w:cs="仿宋"/>
          <w:color w:val="000000" w:themeColor="text1"/>
          <w:sz w:val="32"/>
          <w:szCs w:val="32"/>
          <w14:textFill>
            <w14:solidFill>
              <w14:schemeClr w14:val="tx1"/>
            </w14:solidFill>
          </w14:textFill>
        </w:rPr>
        <w:t>万元，主要原因是在编人员支出预算增加.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教育支出</w:t>
      </w:r>
      <w:r>
        <w:rPr>
          <w:rFonts w:ascii="仿宋" w:hAnsi="仿宋" w:eastAsia="仿宋" w:cs="仿宋"/>
          <w:color w:val="000000" w:themeColor="text1"/>
          <w:sz w:val="32"/>
          <w:szCs w:val="32"/>
          <w14:textFill>
            <w14:solidFill>
              <w14:schemeClr w14:val="tx1"/>
            </w14:solidFill>
          </w14:textFill>
        </w:rPr>
        <w:t>312</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万元，占8</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%；社会保障和就业支出</w:t>
      </w:r>
      <w:r>
        <w:rPr>
          <w:rFonts w:ascii="仿宋" w:hAnsi="仿宋" w:eastAsia="仿宋" w:cs="仿宋"/>
          <w:color w:val="000000" w:themeColor="text1"/>
          <w:sz w:val="32"/>
          <w:szCs w:val="32"/>
          <w14:textFill>
            <w14:solidFill>
              <w14:schemeClr w14:val="tx1"/>
            </w14:solidFill>
          </w14:textFill>
        </w:rPr>
        <w:t>31.94</w:t>
      </w:r>
      <w:r>
        <w:rPr>
          <w:rFonts w:hint="eastAsia" w:ascii="仿宋" w:hAnsi="仿宋" w:eastAsia="仿宋" w:cs="仿宋"/>
          <w:color w:val="000000" w:themeColor="text1"/>
          <w:sz w:val="32"/>
          <w:szCs w:val="32"/>
          <w14:textFill>
            <w14:solidFill>
              <w14:schemeClr w14:val="tx1"/>
            </w14:solidFill>
          </w14:textFill>
        </w:rPr>
        <w:t>万元，占</w:t>
      </w:r>
      <w:r>
        <w:rPr>
          <w:rFonts w:ascii="仿宋" w:hAnsi="仿宋" w:eastAsia="仿宋" w:cs="仿宋"/>
          <w:color w:val="000000" w:themeColor="text1"/>
          <w:sz w:val="32"/>
          <w:szCs w:val="32"/>
          <w14:textFill>
            <w14:solidFill>
              <w14:schemeClr w14:val="tx1"/>
            </w14:solidFill>
          </w14:textFill>
        </w:rPr>
        <w:t>8.32</w:t>
      </w:r>
      <w:r>
        <w:rPr>
          <w:rFonts w:hint="eastAsia" w:ascii="仿宋" w:hAnsi="仿宋" w:eastAsia="仿宋" w:cs="仿宋"/>
          <w:color w:val="000000" w:themeColor="text1"/>
          <w:sz w:val="32"/>
          <w:szCs w:val="32"/>
          <w14:textFill>
            <w14:solidFill>
              <w14:schemeClr w14:val="tx1"/>
            </w14:solidFill>
          </w14:textFill>
        </w:rPr>
        <w:t>%；卫生健康支出</w:t>
      </w:r>
      <w:r>
        <w:rPr>
          <w:rFonts w:ascii="仿宋" w:hAnsi="仿宋" w:eastAsia="仿宋" w:cs="仿宋"/>
          <w:color w:val="000000" w:themeColor="text1"/>
          <w:sz w:val="32"/>
          <w:szCs w:val="32"/>
          <w14:textFill>
            <w14:solidFill>
              <w14:schemeClr w14:val="tx1"/>
            </w14:solidFill>
          </w14:textFill>
        </w:rPr>
        <w:t>17.54</w:t>
      </w:r>
      <w:r>
        <w:rPr>
          <w:rFonts w:hint="eastAsia" w:ascii="仿宋" w:hAnsi="仿宋" w:eastAsia="仿宋" w:cs="仿宋"/>
          <w:color w:val="000000" w:themeColor="text1"/>
          <w:sz w:val="32"/>
          <w:szCs w:val="32"/>
          <w14:textFill>
            <w14:solidFill>
              <w14:schemeClr w14:val="tx1"/>
            </w14:solidFill>
          </w14:textFill>
        </w:rPr>
        <w:t>万元，占</w:t>
      </w:r>
      <w:r>
        <w:rPr>
          <w:rFonts w:ascii="仿宋" w:hAnsi="仿宋" w:eastAsia="仿宋" w:cs="仿宋"/>
          <w:color w:val="000000" w:themeColor="text1"/>
          <w:sz w:val="32"/>
          <w:szCs w:val="32"/>
          <w14:textFill>
            <w14:solidFill>
              <w14:schemeClr w14:val="tx1"/>
            </w14:solidFill>
          </w14:textFill>
        </w:rPr>
        <w:t>4.57</w:t>
      </w:r>
      <w:r>
        <w:rPr>
          <w:rFonts w:hint="eastAsia" w:ascii="仿宋" w:hAnsi="仿宋" w:eastAsia="仿宋" w:cs="仿宋"/>
          <w:color w:val="000000" w:themeColor="text1"/>
          <w:sz w:val="32"/>
          <w:szCs w:val="32"/>
          <w14:textFill>
            <w14:solidFill>
              <w14:schemeClr w14:val="tx1"/>
            </w14:solidFill>
          </w14:textFill>
        </w:rPr>
        <w:t>%；住房保障支出</w:t>
      </w:r>
      <w:r>
        <w:rPr>
          <w:rFonts w:ascii="仿宋" w:hAnsi="仿宋" w:eastAsia="仿宋" w:cs="仿宋"/>
          <w:color w:val="000000" w:themeColor="text1"/>
          <w:sz w:val="32"/>
          <w:szCs w:val="32"/>
          <w14:textFill>
            <w14:solidFill>
              <w14:schemeClr w14:val="tx1"/>
            </w14:solidFill>
          </w14:textFill>
        </w:rPr>
        <w:t>22.39</w:t>
      </w:r>
      <w:r>
        <w:rPr>
          <w:rFonts w:hint="eastAsia" w:ascii="仿宋" w:hAnsi="仿宋" w:eastAsia="仿宋" w:cs="仿宋"/>
          <w:color w:val="000000" w:themeColor="text1"/>
          <w:sz w:val="32"/>
          <w:szCs w:val="32"/>
          <w14:textFill>
            <w14:solidFill>
              <w14:schemeClr w14:val="tx1"/>
            </w14:solidFill>
          </w14:textFill>
        </w:rPr>
        <w:t>万元，占</w:t>
      </w:r>
      <w:r>
        <w:rPr>
          <w:rFonts w:ascii="仿宋" w:hAnsi="仿宋" w:eastAsia="仿宋" w:cs="仿宋"/>
          <w:color w:val="000000" w:themeColor="text1"/>
          <w:sz w:val="32"/>
          <w:szCs w:val="32"/>
          <w14:textFill>
            <w14:solidFill>
              <w14:schemeClr w14:val="tx1"/>
            </w14:solidFill>
          </w14:textFill>
        </w:rPr>
        <w:t>5.83</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rPr>
          <w:rFonts w:ascii="仿宋" w:hAnsi="仿宋" w:eastAsia="仿宋_GB2312" w:cs="仿宋"/>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1.教育支出（类）普通教育（款）初中教育（项）：</w:t>
      </w:r>
      <w:r>
        <w:rPr>
          <w:rStyle w:val="7"/>
          <w:rFonts w:hint="eastAsia" w:ascii="仿宋_GB2312" w:eastAsia="仿宋_GB2312"/>
          <w:b w:val="0"/>
          <w:bCs/>
          <w:color w:val="000000" w:themeColor="text1"/>
          <w:sz w:val="32"/>
          <w:szCs w:val="32"/>
          <w14:textFill>
            <w14:solidFill>
              <w14:schemeClr w14:val="tx1"/>
            </w14:solidFill>
          </w14:textFill>
        </w:rPr>
        <w:t>202</w:t>
      </w:r>
      <w:r>
        <w:rPr>
          <w:rStyle w:val="7"/>
          <w:rFonts w:ascii="仿宋_GB2312" w:eastAsia="仿宋_GB2312"/>
          <w:b w:val="0"/>
          <w:bCs/>
          <w:color w:val="000000" w:themeColor="text1"/>
          <w:sz w:val="32"/>
          <w:szCs w:val="32"/>
          <w14:textFill>
            <w14:solidFill>
              <w14:schemeClr w14:val="tx1"/>
            </w14:solidFill>
          </w14:textFill>
        </w:rPr>
        <w:t>1</w:t>
      </w:r>
      <w:r>
        <w:rPr>
          <w:rStyle w:val="7"/>
          <w:rFonts w:hint="eastAsia" w:ascii="仿宋_GB2312" w:eastAsia="仿宋_GB2312"/>
          <w:b w:val="0"/>
          <w:bCs/>
          <w:color w:val="000000" w:themeColor="text1"/>
          <w:sz w:val="32"/>
          <w:szCs w:val="32"/>
          <w14:textFill>
            <w14:solidFill>
              <w14:schemeClr w14:val="tx1"/>
            </w14:solidFill>
          </w14:textFill>
        </w:rPr>
        <w:t>年预算数为</w:t>
      </w:r>
      <w:r>
        <w:rPr>
          <w:rFonts w:ascii="仿宋" w:hAnsi="仿宋" w:eastAsia="仿宋" w:cs="仿宋"/>
          <w:color w:val="000000" w:themeColor="text1"/>
          <w:sz w:val="32"/>
          <w:szCs w:val="32"/>
          <w14:textFill>
            <w14:solidFill>
              <w14:schemeClr w14:val="tx1"/>
            </w14:solidFill>
          </w14:textFill>
        </w:rPr>
        <w:t>312</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14</w:t>
      </w:r>
      <w:r>
        <w:rPr>
          <w:rStyle w:val="7"/>
          <w:rFonts w:hint="eastAsia" w:ascii="仿宋_GB2312" w:eastAsia="仿宋_GB2312"/>
          <w:b w:val="0"/>
          <w:bCs/>
          <w:color w:val="000000" w:themeColor="text1"/>
          <w:sz w:val="32"/>
          <w:szCs w:val="32"/>
          <w14:textFill>
            <w14:solidFill>
              <w14:schemeClr w14:val="tx1"/>
            </w14:solidFill>
          </w14:textFill>
        </w:rPr>
        <w:t>万元，主要用于：</w:t>
      </w:r>
      <w:r>
        <w:rPr>
          <w:rFonts w:hint="eastAsia" w:ascii="仿宋" w:hAnsi="仿宋" w:eastAsia="仿宋" w:cs="仿宋"/>
          <w:color w:val="000000" w:themeColor="text1"/>
          <w:sz w:val="32"/>
          <w:szCs w:val="32"/>
          <w14:textFill>
            <w14:solidFill>
              <w14:schemeClr w14:val="tx1"/>
            </w14:solidFill>
          </w14:textFill>
        </w:rPr>
        <w:t>正常运转的基本支出，包括基本工资、津贴补贴、基础绩效奖等人员经费以及办公费、印刷费、水电费等日常公用经费,保障部门正常运转</w:t>
      </w:r>
      <w:r>
        <w:rPr>
          <w:rFonts w:hint="eastAsia" w:ascii="仿宋" w:hAnsi="仿宋" w:eastAsia="仿宋_GB2312" w:cs="仿宋"/>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2.社会保障和就业支出（类）行政事业单位离退休（款）机关事业单位基本养老保险缴费支出（项）：</w:t>
      </w:r>
      <w:r>
        <w:rPr>
          <w:rFonts w:hint="eastAsia" w:ascii="仿宋" w:hAnsi="仿宋" w:eastAsia="仿宋" w:cs="仿宋"/>
          <w:color w:val="000000" w:themeColor="text1"/>
          <w:sz w:val="32"/>
          <w:szCs w:val="32"/>
          <w14:textFill>
            <w14:solidFill>
              <w14:schemeClr w14:val="tx1"/>
            </w14:solidFill>
          </w14:textFill>
        </w:rPr>
        <w:t>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年预算数为</w:t>
      </w:r>
      <w:r>
        <w:rPr>
          <w:rFonts w:ascii="仿宋" w:hAnsi="仿宋" w:eastAsia="仿宋" w:cs="仿宋"/>
          <w:color w:val="000000" w:themeColor="text1"/>
          <w:sz w:val="32"/>
          <w:szCs w:val="32"/>
          <w14:textFill>
            <w14:solidFill>
              <w14:schemeClr w14:val="tx1"/>
            </w14:solidFill>
          </w14:textFill>
        </w:rPr>
        <w:t>29.89</w:t>
      </w:r>
      <w:r>
        <w:rPr>
          <w:rFonts w:hint="eastAsia" w:ascii="仿宋" w:hAnsi="仿宋" w:eastAsia="仿宋" w:cs="仿宋"/>
          <w:color w:val="000000" w:themeColor="text1"/>
          <w:sz w:val="32"/>
          <w:szCs w:val="32"/>
          <w14:textFill>
            <w14:solidFill>
              <w14:schemeClr w14:val="tx1"/>
            </w14:solidFill>
          </w14:textFill>
        </w:rPr>
        <w:t>万元，主要用于：保障单位基本养老保险缴费支出。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3.社会保障和就业支出（类）其它社会保障和就业支出（款）其它社会保障和就业支出（项）：</w:t>
      </w:r>
      <w:r>
        <w:rPr>
          <w:rFonts w:hint="eastAsia" w:ascii="仿宋" w:hAnsi="仿宋" w:eastAsia="仿宋" w:cs="仿宋"/>
          <w:color w:val="000000" w:themeColor="text1"/>
          <w:sz w:val="32"/>
          <w:szCs w:val="32"/>
          <w14:textFill>
            <w14:solidFill>
              <w14:schemeClr w14:val="tx1"/>
            </w14:solidFill>
          </w14:textFill>
        </w:rPr>
        <w:t>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年预算数为</w:t>
      </w:r>
      <w:r>
        <w:rPr>
          <w:rFonts w:ascii="仿宋" w:hAnsi="仿宋" w:eastAsia="仿宋" w:cs="仿宋"/>
          <w:color w:val="000000" w:themeColor="text1"/>
          <w:sz w:val="32"/>
          <w:szCs w:val="32"/>
          <w14:textFill>
            <w14:solidFill>
              <w14:schemeClr w14:val="tx1"/>
            </w14:solidFill>
          </w14:textFill>
        </w:rPr>
        <w:t>2.05</w:t>
      </w:r>
      <w:r>
        <w:rPr>
          <w:rFonts w:hint="eastAsia" w:ascii="仿宋" w:hAnsi="仿宋" w:eastAsia="仿宋" w:cs="仿宋"/>
          <w:color w:val="000000" w:themeColor="text1"/>
          <w:sz w:val="32"/>
          <w:szCs w:val="32"/>
          <w14:textFill>
            <w14:solidFill>
              <w14:schemeClr w14:val="tx1"/>
            </w14:solidFill>
          </w14:textFill>
        </w:rPr>
        <w:t>万元，主要用于：保障单位工伤、失业等社保缴费支出。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14:textFill>
            <w14:solidFill>
              <w14:schemeClr w14:val="tx1"/>
            </w14:solidFill>
          </w14:textFill>
        </w:rPr>
        <w:t>卫生健康支出（类）行政事业单位医疗（款）事业单位医疗（项）：</w:t>
      </w:r>
      <w:r>
        <w:rPr>
          <w:rFonts w:hint="eastAsia" w:ascii="仿宋" w:hAnsi="仿宋" w:eastAsia="仿宋" w:cs="仿宋"/>
          <w:color w:val="000000" w:themeColor="text1"/>
          <w:sz w:val="32"/>
          <w:szCs w:val="32"/>
          <w14:textFill>
            <w14:solidFill>
              <w14:schemeClr w14:val="tx1"/>
            </w14:solidFill>
          </w14:textFill>
        </w:rPr>
        <w:t>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年预算数为1</w:t>
      </w:r>
      <w:r>
        <w:rPr>
          <w:rFonts w:ascii="仿宋" w:hAnsi="仿宋" w:eastAsia="仿宋" w:cs="仿宋"/>
          <w:color w:val="000000" w:themeColor="text1"/>
          <w:sz w:val="32"/>
          <w:szCs w:val="32"/>
          <w14:textFill>
            <w14:solidFill>
              <w14:schemeClr w14:val="tx1"/>
            </w14:solidFill>
          </w14:textFill>
        </w:rPr>
        <w:t>7.54</w:t>
      </w:r>
      <w:r>
        <w:rPr>
          <w:rFonts w:hint="eastAsia" w:ascii="仿宋" w:hAnsi="仿宋" w:eastAsia="仿宋" w:cs="仿宋"/>
          <w:color w:val="000000" w:themeColor="text1"/>
          <w:sz w:val="32"/>
          <w:szCs w:val="32"/>
          <w14:textFill>
            <w14:solidFill>
              <w14:schemeClr w14:val="tx1"/>
            </w14:solidFill>
          </w14:textFill>
        </w:rPr>
        <w:t>万元，主要用于：单位基本医疗保险缴费支出。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5.住房保障（类）住房改革支出（款）住房公积金（项）</w:t>
      </w:r>
      <w:r>
        <w:rPr>
          <w:rFonts w:hint="eastAsia" w:ascii="仿宋" w:hAnsi="仿宋" w:eastAsia="仿宋" w:cs="仿宋"/>
          <w:color w:val="000000" w:themeColor="text1"/>
          <w:sz w:val="32"/>
          <w:szCs w:val="32"/>
          <w14:textFill>
            <w14:solidFill>
              <w14:schemeClr w14:val="tx1"/>
            </w14:solidFill>
          </w14:textFill>
        </w:rPr>
        <w:t>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年预算数为</w:t>
      </w:r>
      <w:r>
        <w:rPr>
          <w:rFonts w:ascii="仿宋" w:hAnsi="仿宋" w:eastAsia="仿宋" w:cs="仿宋"/>
          <w:color w:val="000000" w:themeColor="text1"/>
          <w:sz w:val="32"/>
          <w:szCs w:val="32"/>
          <w14:textFill>
            <w14:solidFill>
              <w14:schemeClr w14:val="tx1"/>
            </w14:solidFill>
          </w14:textFill>
        </w:rPr>
        <w:t>22.39</w:t>
      </w:r>
      <w:r>
        <w:rPr>
          <w:rFonts w:hint="eastAsia" w:ascii="仿宋" w:hAnsi="仿宋" w:eastAsia="仿宋" w:cs="仿宋"/>
          <w:color w:val="000000" w:themeColor="text1"/>
          <w:sz w:val="32"/>
          <w:szCs w:val="32"/>
          <w14:textFill>
            <w14:solidFill>
              <w14:schemeClr w14:val="tx1"/>
            </w14:solidFill>
          </w14:textFill>
        </w:rPr>
        <w:t>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广元市利州区宝珠小学202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年一般公共预算基本支出</w:t>
      </w:r>
      <w:r>
        <w:rPr>
          <w:rFonts w:ascii="仿宋" w:hAnsi="仿宋" w:eastAsia="仿宋" w:cs="仿宋"/>
          <w:color w:val="000000" w:themeColor="text1"/>
          <w:sz w:val="32"/>
          <w:szCs w:val="32"/>
          <w14:textFill>
            <w14:solidFill>
              <w14:schemeClr w14:val="tx1"/>
            </w14:solidFill>
          </w14:textFill>
        </w:rPr>
        <w:t>384.01</w:t>
      </w:r>
      <w:r>
        <w:rPr>
          <w:rFonts w:hint="eastAsia" w:ascii="仿宋" w:hAnsi="仿宋" w:eastAsia="仿宋" w:cs="仿宋"/>
          <w:color w:val="000000" w:themeColor="text1"/>
          <w:sz w:val="32"/>
          <w:szCs w:val="32"/>
          <w14:textFill>
            <w14:solidFill>
              <w14:schemeClr w14:val="tx1"/>
            </w14:solidFill>
          </w14:textFill>
        </w:rPr>
        <w:t>万元，其中：人员经费</w:t>
      </w:r>
      <w:r>
        <w:rPr>
          <w:rFonts w:ascii="仿宋" w:hAnsi="仿宋" w:eastAsia="仿宋" w:cs="仿宋"/>
          <w:color w:val="000000" w:themeColor="text1"/>
          <w:sz w:val="32"/>
          <w:szCs w:val="32"/>
          <w14:textFill>
            <w14:solidFill>
              <w14:schemeClr w14:val="tx1"/>
            </w14:solidFill>
          </w14:textFill>
        </w:rPr>
        <w:t>334.59</w:t>
      </w:r>
      <w:r>
        <w:rPr>
          <w:rFonts w:hint="eastAsia" w:ascii="仿宋" w:hAnsi="仿宋" w:eastAsia="仿宋" w:cs="仿宋"/>
          <w:color w:val="000000" w:themeColor="text1"/>
          <w:sz w:val="32"/>
          <w:szCs w:val="32"/>
          <w14:textFill>
            <w14:solidFill>
              <w14:schemeClr w14:val="tx1"/>
            </w14:solidFill>
          </w14:textFill>
        </w:rPr>
        <w:t>万元，主要包括：基本工资、津贴补贴、奖金、社会保险缴费等支出。公用经费</w:t>
      </w:r>
      <w:r>
        <w:rPr>
          <w:rFonts w:ascii="仿宋" w:hAnsi="仿宋" w:eastAsia="仿宋" w:cs="仿宋"/>
          <w:color w:val="000000" w:themeColor="text1"/>
          <w:sz w:val="32"/>
          <w:szCs w:val="32"/>
          <w14:textFill>
            <w14:solidFill>
              <w14:schemeClr w14:val="tx1"/>
            </w14:solidFill>
          </w14:textFill>
        </w:rPr>
        <w:t>11.3</w:t>
      </w:r>
      <w:r>
        <w:rPr>
          <w:rFonts w:hint="eastAsia" w:ascii="仿宋" w:hAnsi="仿宋" w:eastAsia="仿宋" w:cs="仿宋"/>
          <w:color w:val="000000" w:themeColor="text1"/>
          <w:sz w:val="32"/>
          <w:szCs w:val="32"/>
          <w14:textFill>
            <w14:solidFill>
              <w14:schemeClr w14:val="tx1"/>
            </w14:solidFill>
          </w14:textFill>
        </w:rPr>
        <w:t>万元，主要包括：办公费、水费、电费、邮电费、印刷费、差旅费、维修（护）费、物业管理费、劳务费等支出。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七、“三公”经费财政拨款预算安排情况说明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年财政拨款安排“三公”经费预算0万元，较202</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年部门预算收入0万元减少0。其中：202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年安排公务接待费预算0万元，未安排公车购置及运行维护费。</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广元市利州区宝珠小学202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年没有使用政府性基金预算拨款安排的支出。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广元市利州区宝珠小学202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年没有使用国有资本经营预算拨款安排的支出。</w:t>
      </w:r>
    </w:p>
    <w:p>
      <w:pPr>
        <w:keepNext w:val="0"/>
        <w:keepLines w:val="0"/>
        <w:pageBreakBefore w:val="0"/>
        <w:widowControl w:val="0"/>
        <w:kinsoku/>
        <w:wordWrap/>
        <w:overflowPunct/>
        <w:topLinePunct w:val="0"/>
        <w:autoSpaceDE/>
        <w:autoSpaceDN/>
        <w:bidi w:val="0"/>
        <w:snapToGrid w:val="0"/>
        <w:spacing w:line="576" w:lineRule="exact"/>
        <w:ind w:firstLine="840" w:firstLineChars="3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十、其他重要事项的情况说明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（一）政府采购情况</w:t>
      </w:r>
      <w:r>
        <w:rPr>
          <w:rStyle w:val="7"/>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2021年，宝珠小学未安排政府采购预算</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黑体" w:hAnsi="黑体" w:eastAsia="黑体" w:cs="黑体"/>
          <w:color w:val="000000" w:themeColor="text1"/>
          <w:sz w:val="28"/>
          <w:szCs w:val="28"/>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（二）国有资产占有使用情况</w:t>
      </w:r>
      <w:r>
        <w:rPr>
          <w:rStyle w:val="7"/>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截至2021年底，学校无车辆。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2021年学校预算未安排(安排）购置车辆及单位价值20万元以上大型设备。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color w:val="000000" w:themeColor="text1"/>
          <w:sz w:val="28"/>
          <w14:textFill>
            <w14:solidFill>
              <w14:schemeClr w14:val="tx1"/>
            </w14:solidFill>
          </w14:textFill>
        </w:rPr>
        <w:t>　 　</w:t>
      </w:r>
      <w:r>
        <w:rPr>
          <w:rFonts w:hint="eastAsia" w:ascii="黑体" w:hAnsi="黑体" w:eastAsia="黑体" w:cs="黑体"/>
          <w:color w:val="000000" w:themeColor="text1"/>
          <w:sz w:val="28"/>
          <w:szCs w:val="28"/>
          <w14:textFill>
            <w14:solidFill>
              <w14:schemeClr w14:val="tx1"/>
            </w14:solidFill>
          </w14:textFill>
        </w:rPr>
        <w:t>十一、名词解释</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（一）一般公共预算拨款收入：</w:t>
      </w:r>
      <w:r>
        <w:rPr>
          <w:rFonts w:hint="eastAsia" w:ascii="仿宋" w:hAnsi="仿宋" w:eastAsia="仿宋" w:cs="仿宋"/>
          <w:color w:val="000000" w:themeColor="text1"/>
          <w:sz w:val="32"/>
          <w:szCs w:val="32"/>
          <w14:textFill>
            <w14:solidFill>
              <w14:schemeClr w14:val="tx1"/>
            </w14:solidFill>
          </w14:textFill>
        </w:rPr>
        <w:t>指区级财政当年拨付的资金。</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（二）上年结转：</w:t>
      </w:r>
      <w:r>
        <w:rPr>
          <w:rFonts w:hint="eastAsia" w:ascii="仿宋" w:hAnsi="仿宋" w:eastAsia="仿宋" w:cs="仿宋"/>
          <w:color w:val="000000" w:themeColor="text1"/>
          <w:sz w:val="32"/>
          <w:szCs w:val="32"/>
          <w14:textFill>
            <w14:solidFill>
              <w14:schemeClr w14:val="tx1"/>
            </w14:solidFill>
          </w14:textFill>
        </w:rPr>
        <w:t>指以前年度尚未完成，结转到本年仍按原规定用途继续使用的资金。</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（三）一般公共服务（类）财政事务（款）行政运行（项）：</w:t>
      </w:r>
      <w:r>
        <w:rPr>
          <w:rFonts w:hint="eastAsia" w:ascii="仿宋" w:hAnsi="仿宋" w:eastAsia="仿宋" w:cs="仿宋"/>
          <w:color w:val="000000" w:themeColor="text1"/>
          <w:sz w:val="32"/>
          <w:szCs w:val="32"/>
          <w14:textFill>
            <w14:solidFill>
              <w14:schemeClr w14:val="tx1"/>
            </w14:solidFill>
          </w14:textFill>
        </w:rPr>
        <w:t>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（四）社会保障和就业（类）行政事业单位离退休（款）未归口管理的行政单位离退休（项）：</w:t>
      </w:r>
      <w:r>
        <w:rPr>
          <w:rFonts w:hint="eastAsia" w:ascii="仿宋" w:hAnsi="仿宋" w:eastAsia="仿宋" w:cs="仿宋"/>
          <w:color w:val="000000" w:themeColor="text1"/>
          <w:sz w:val="32"/>
          <w:szCs w:val="32"/>
          <w14:textFill>
            <w14:solidFill>
              <w14:schemeClr w14:val="tx1"/>
            </w14:solidFill>
          </w14:textFill>
        </w:rPr>
        <w:t>指局机关离退休人员的支出。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（五）社会保障和就业（类）行政事业单位离退休（款）机关事业单位基本养老保险缴费支出（项）：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指部门实施养老保险制度由单位缴纳的养老保险费的支出。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（六）社会保障和就业（类）行政事业单位离退休（款）机关事业单位职业年金缴费支出（项）：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指部门实施养老保险制度由单位缴纳的职业年金的支出。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（七）卫生健康（类）行政事业单位医疗（款）行政单位医疗（项）：</w:t>
      </w:r>
      <w:r>
        <w:rPr>
          <w:rFonts w:hint="eastAsia" w:ascii="仿宋" w:hAnsi="仿宋" w:eastAsia="仿宋" w:cs="仿宋"/>
          <w:color w:val="000000" w:themeColor="text1"/>
          <w:sz w:val="32"/>
          <w:szCs w:val="32"/>
          <w14:textFill>
            <w14:solidFill>
              <w14:schemeClr w14:val="tx1"/>
            </w14:solidFill>
          </w14:textFill>
        </w:rPr>
        <w:t>指局机关及参公管理事业单位用于缴纳单位基本医疗保险支出。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（八）卫生健康（类）行政事业单位医疗（款）事业单位医疗（项）：</w:t>
      </w:r>
      <w:r>
        <w:rPr>
          <w:rFonts w:hint="eastAsia" w:ascii="仿宋" w:hAnsi="仿宋" w:eastAsia="仿宋" w:cs="仿宋"/>
          <w:color w:val="000000" w:themeColor="text1"/>
          <w:sz w:val="32"/>
          <w:szCs w:val="32"/>
          <w14:textFill>
            <w14:solidFill>
              <w14:schemeClr w14:val="tx1"/>
            </w14:solidFill>
          </w14:textFill>
        </w:rPr>
        <w:t>指事业单位用于缴纳单位基本医疗保险支出。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（九）住房保障（类）住房改革支出（款）住房公积金（项）：</w:t>
      </w:r>
      <w:r>
        <w:rPr>
          <w:rFonts w:hint="eastAsia" w:ascii="仿宋" w:hAnsi="仿宋" w:eastAsia="仿宋" w:cs="仿宋"/>
          <w:color w:val="000000" w:themeColor="text1"/>
          <w:sz w:val="32"/>
          <w:szCs w:val="32"/>
          <w14:textFill>
            <w14:solidFill>
              <w14:schemeClr w14:val="tx1"/>
            </w14:solidFill>
          </w14:textFill>
        </w:rPr>
        <w:t>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（十）基本支出：</w:t>
      </w:r>
      <w:r>
        <w:rPr>
          <w:rFonts w:hint="eastAsia" w:ascii="仿宋" w:hAnsi="仿宋" w:eastAsia="仿宋" w:cs="仿宋"/>
          <w:color w:val="000000" w:themeColor="text1"/>
          <w:sz w:val="32"/>
          <w:szCs w:val="32"/>
          <w14:textFill>
            <w14:solidFill>
              <w14:schemeClr w14:val="tx1"/>
            </w14:solidFill>
          </w14:textFill>
        </w:rPr>
        <w:t>指为保证机构正常运转，完成日常工作任务而发生的人员支出和公用支出。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（十一）项目支出：</w:t>
      </w:r>
      <w:r>
        <w:rPr>
          <w:rFonts w:hint="eastAsia" w:ascii="仿宋" w:hAnsi="仿宋" w:eastAsia="仿宋" w:cs="仿宋"/>
          <w:color w:val="000000" w:themeColor="text1"/>
          <w:sz w:val="32"/>
          <w:szCs w:val="32"/>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（十二）“三公”经费：</w:t>
      </w:r>
      <w:r>
        <w:rPr>
          <w:rFonts w:hint="eastAsia" w:ascii="仿宋" w:hAnsi="仿宋" w:eastAsia="仿宋" w:cs="仿宋"/>
          <w:color w:val="000000" w:themeColor="text1"/>
          <w:sz w:val="32"/>
          <w:szCs w:val="32"/>
          <w14:textFill>
            <w14:solidFill>
              <w14:schemeClr w14:val="tx1"/>
            </w14:solidFill>
          </w14:textFill>
        </w:rPr>
        <w:t>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p>
    <w:p>
      <w:pPr>
        <w:adjustRightInd w:val="0"/>
        <w:ind w:firstLine="640" w:firstLineChars="200"/>
        <w:rPr>
          <w:rFonts w:ascii="仿宋" w:hAnsi="仿宋" w:eastAsia="仿宋" w:cs="仿宋"/>
          <w:sz w:val="32"/>
          <w:szCs w:val="32"/>
        </w:rPr>
      </w:pPr>
    </w:p>
    <w:p>
      <w:pPr>
        <w:adjustRightInd w:val="0"/>
        <w:ind w:firstLine="640" w:firstLineChars="200"/>
        <w:rPr>
          <w:rFonts w:ascii="仿宋" w:hAnsi="仿宋" w:eastAsia="仿宋" w:cs="仿宋"/>
          <w:sz w:val="32"/>
          <w:szCs w:val="32"/>
        </w:rPr>
      </w:pPr>
    </w:p>
    <w:p>
      <w:pPr>
        <w:adjustRightInd w:val="0"/>
        <w:ind w:left="0" w:leftChars="0" w:right="320" w:firstLine="4598" w:firstLineChars="1437"/>
        <w:jc w:val="left"/>
        <w:rPr>
          <w:rFonts w:ascii="华文仿宋" w:hAnsi="华文仿宋" w:eastAsia="华文仿宋" w:cs="华文仿宋"/>
          <w:sz w:val="32"/>
          <w:szCs w:val="32"/>
        </w:rPr>
      </w:pPr>
      <w:r>
        <w:rPr>
          <w:rFonts w:hint="eastAsia" w:ascii="华文仿宋" w:hAnsi="华文仿宋" w:eastAsia="华文仿宋" w:cs="华文仿宋"/>
          <w:sz w:val="32"/>
          <w:szCs w:val="32"/>
        </w:rPr>
        <w:t>广元市利州区宝珠小学</w:t>
      </w:r>
    </w:p>
    <w:p>
      <w:pPr>
        <w:adjustRightInd w:val="0"/>
        <w:ind w:firstLine="5120" w:firstLineChars="1600"/>
        <w:rPr>
          <w:rFonts w:ascii="华文仿宋" w:hAnsi="华文仿宋" w:eastAsia="华文仿宋" w:cs="华文仿宋"/>
          <w:sz w:val="32"/>
          <w:szCs w:val="32"/>
        </w:rPr>
      </w:pPr>
      <w:r>
        <w:rPr>
          <w:rFonts w:hint="eastAsia" w:ascii="华文仿宋" w:hAnsi="华文仿宋" w:eastAsia="华文仿宋" w:cs="华文仿宋"/>
          <w:sz w:val="32"/>
          <w:szCs w:val="32"/>
        </w:rPr>
        <w:t>2</w:t>
      </w:r>
      <w:r>
        <w:rPr>
          <w:rFonts w:ascii="华文仿宋" w:hAnsi="华文仿宋" w:eastAsia="华文仿宋" w:cs="华文仿宋"/>
          <w:sz w:val="32"/>
          <w:szCs w:val="32"/>
        </w:rPr>
        <w:t>021</w:t>
      </w:r>
      <w:r>
        <w:rPr>
          <w:rFonts w:hint="eastAsia" w:ascii="华文仿宋" w:hAnsi="华文仿宋" w:eastAsia="华文仿宋" w:cs="华文仿宋"/>
          <w:sz w:val="32"/>
          <w:szCs w:val="32"/>
        </w:rPr>
        <w:t>年3月29日</w:t>
      </w:r>
    </w:p>
    <w:p>
      <w:pPr>
        <w:adjustRightInd w:val="0"/>
        <w:ind w:firstLine="640" w:firstLineChars="200"/>
        <w:rPr>
          <w:rFonts w:ascii="仿宋" w:hAnsi="仿宋" w:eastAsia="仿宋" w:cs="仿宋"/>
          <w:sz w:val="32"/>
          <w:szCs w:val="32"/>
        </w:rPr>
      </w:pPr>
    </w:p>
    <w:sectPr>
      <w:footerReference r:id="rId3" w:type="default"/>
      <w:pgSz w:w="11906" w:h="16838"/>
      <w:pgMar w:top="1701" w:right="1474" w:bottom="1701" w:left="1587"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YjFkYzlmOTc4YmRhZmY2YTBjOWZhYzBiYjQyMzAifQ=="/>
  </w:docVars>
  <w:rsids>
    <w:rsidRoot w:val="004F514A"/>
    <w:rsid w:val="000234F0"/>
    <w:rsid w:val="000F5BF6"/>
    <w:rsid w:val="000F605E"/>
    <w:rsid w:val="0019321F"/>
    <w:rsid w:val="001A2834"/>
    <w:rsid w:val="001C6F70"/>
    <w:rsid w:val="0022790D"/>
    <w:rsid w:val="0024385F"/>
    <w:rsid w:val="00244584"/>
    <w:rsid w:val="00245023"/>
    <w:rsid w:val="0026122B"/>
    <w:rsid w:val="00263416"/>
    <w:rsid w:val="002E21DF"/>
    <w:rsid w:val="0030383A"/>
    <w:rsid w:val="00371FAB"/>
    <w:rsid w:val="003F084C"/>
    <w:rsid w:val="00441A11"/>
    <w:rsid w:val="004A6D41"/>
    <w:rsid w:val="004C01BC"/>
    <w:rsid w:val="004F176D"/>
    <w:rsid w:val="004F514A"/>
    <w:rsid w:val="00532B15"/>
    <w:rsid w:val="005E068A"/>
    <w:rsid w:val="006369AE"/>
    <w:rsid w:val="00707B91"/>
    <w:rsid w:val="00775D42"/>
    <w:rsid w:val="007D2FDC"/>
    <w:rsid w:val="007E0D7C"/>
    <w:rsid w:val="009073AE"/>
    <w:rsid w:val="00952836"/>
    <w:rsid w:val="0099137E"/>
    <w:rsid w:val="00A061BD"/>
    <w:rsid w:val="00A565DC"/>
    <w:rsid w:val="00A730DB"/>
    <w:rsid w:val="00AE5819"/>
    <w:rsid w:val="00B66A89"/>
    <w:rsid w:val="00B93C99"/>
    <w:rsid w:val="00C06BFD"/>
    <w:rsid w:val="00C92E7F"/>
    <w:rsid w:val="00CD4B04"/>
    <w:rsid w:val="00D133C9"/>
    <w:rsid w:val="00DB5BAE"/>
    <w:rsid w:val="00DF4F15"/>
    <w:rsid w:val="00E14578"/>
    <w:rsid w:val="00E24065"/>
    <w:rsid w:val="00E64BA7"/>
    <w:rsid w:val="00E84011"/>
    <w:rsid w:val="00F24E1B"/>
    <w:rsid w:val="00FD038A"/>
    <w:rsid w:val="00FD2341"/>
    <w:rsid w:val="012E766D"/>
    <w:rsid w:val="044F5BC4"/>
    <w:rsid w:val="055010B2"/>
    <w:rsid w:val="05826170"/>
    <w:rsid w:val="07A84670"/>
    <w:rsid w:val="099A6EBD"/>
    <w:rsid w:val="0B974E68"/>
    <w:rsid w:val="0E1168EA"/>
    <w:rsid w:val="0ED54B8C"/>
    <w:rsid w:val="0F023468"/>
    <w:rsid w:val="153F5099"/>
    <w:rsid w:val="15B00996"/>
    <w:rsid w:val="160776AB"/>
    <w:rsid w:val="19C60B49"/>
    <w:rsid w:val="1A4B3E10"/>
    <w:rsid w:val="1BA5207D"/>
    <w:rsid w:val="1ED53AE3"/>
    <w:rsid w:val="1F746947"/>
    <w:rsid w:val="237F1682"/>
    <w:rsid w:val="24C90A2A"/>
    <w:rsid w:val="25C96B17"/>
    <w:rsid w:val="260A4F3C"/>
    <w:rsid w:val="2A872D6E"/>
    <w:rsid w:val="2DBA1E53"/>
    <w:rsid w:val="30806273"/>
    <w:rsid w:val="31E1690A"/>
    <w:rsid w:val="346F7F38"/>
    <w:rsid w:val="36923CBA"/>
    <w:rsid w:val="3738282C"/>
    <w:rsid w:val="377B3B75"/>
    <w:rsid w:val="40B07EC1"/>
    <w:rsid w:val="43644D8C"/>
    <w:rsid w:val="45BE2AED"/>
    <w:rsid w:val="55860D15"/>
    <w:rsid w:val="55A8466E"/>
    <w:rsid w:val="578919DC"/>
    <w:rsid w:val="5BC41E48"/>
    <w:rsid w:val="5C11641F"/>
    <w:rsid w:val="5E581537"/>
    <w:rsid w:val="600105C9"/>
    <w:rsid w:val="67D245BF"/>
    <w:rsid w:val="6BFD59B6"/>
    <w:rsid w:val="6D030990"/>
    <w:rsid w:val="6F675394"/>
    <w:rsid w:val="73534428"/>
    <w:rsid w:val="739F0F83"/>
    <w:rsid w:val="73E12860"/>
    <w:rsid w:val="74AB75CC"/>
    <w:rsid w:val="76FB3EF2"/>
    <w:rsid w:val="785F0829"/>
    <w:rsid w:val="78A94490"/>
    <w:rsid w:val="7BD06D36"/>
    <w:rsid w:val="7E1549F8"/>
    <w:rsid w:val="7EC14E79"/>
    <w:rsid w:val="7F584219"/>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2571</Words>
  <Characters>2819</Characters>
  <Lines>20</Lines>
  <Paragraphs>5</Paragraphs>
  <TotalTime>105</TotalTime>
  <ScaleCrop>false</ScaleCrop>
  <LinksUpToDate>false</LinksUpToDate>
  <CharactersWithSpaces>2855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2022-06-02T05:12:00Z</dcterms:created>
  <dc:creator>微软用户</dc:creator>
  <cp:lastModifiedBy>lzjyj</cp:lastModifiedBy>
  <cp:lastPrinted>2019-07-23T02:42:00Z</cp:lastPrinted>
  <dcterms:modified xsi:type="dcterms:W3CDTF">2022-06-14T10:37:12Z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commondata">
    <vt:lpwstr>eyJoZGlkIjoiM2IwYzUyYTNmMTAwZTc0MTM5Y2ZlOTY2Yjk0ZjJmNmYifQ==</vt:lpwstr>
  </property>
  <property fmtid="{D5CDD505-2E9C-101B-9397-08002B2CF9AE}" pid="4" name="ICV">
    <vt:lpwstr>75A4F0507679409382CE2507F34B2B47</vt:lpwstr>
  </property>
</Properties>
</file>