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广元市利州区龙王小学</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2021年部门预算情况说明</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bCs/>
          <w:sz w:val="32"/>
          <w:szCs w:val="32"/>
        </w:rPr>
      </w:pP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sz w:val="32"/>
          <w:szCs w:val="32"/>
        </w:rPr>
      </w:pPr>
      <w:r>
        <w:rPr>
          <w:rFonts w:hint="eastAsia" w:ascii="黑体" w:hAnsi="黑体" w:eastAsia="黑体" w:cs="黑体"/>
          <w:sz w:val="32"/>
          <w:szCs w:val="32"/>
        </w:rPr>
        <w:t>一、基本情况</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rPr>
        <w:t>我校是一所单设小学，占地面积4490平方米，建筑面积2582平方米。现有在职教职工15人。当年编制数量为10。另有遗属3人，保安1人，退休人员13人。</w:t>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sz w:val="32"/>
          <w:szCs w:val="32"/>
        </w:rPr>
      </w:pPr>
      <w:r>
        <w:rPr>
          <w:rFonts w:hint="eastAsia" w:ascii="黑体" w:hAnsi="黑体" w:eastAsia="黑体" w:cs="黑体"/>
          <w:sz w:val="32"/>
          <w:szCs w:val="32"/>
        </w:rPr>
        <w:t>二、主要职能职责</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贯彻执行党和国家关于教育改革和发展的各项方针、政策，执行实施上级部门对学校教育事业发展规划和有关教育的规范性文件。</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严格执行上级部门关于教育经费、教育拨款、教育基建的办法和方案；贯彻执行上级部门有关学生资助工作方针和政策，落实学校贫困家庭学生资助工作。</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推进学校义务教育均衡发展和促进教育公平，全面实施素质教育，控辍保学。</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严格执行各级各类教师资格证书制度；统筹规划学校教师和管理人员队伍建设；负责学校全体教师的继续教育和课程改革新教材的培训工作；加强学校教育人才队伍建设。</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贯彻执行国家语言文字工作的方针、政策，推广普通话、推行规范汉字。</w:t>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sz w:val="32"/>
          <w:szCs w:val="32"/>
        </w:rPr>
      </w:pPr>
      <w:r>
        <w:rPr>
          <w:rFonts w:hint="eastAsia" w:ascii="黑体" w:hAnsi="黑体" w:eastAsia="黑体" w:cs="黑体"/>
          <w:sz w:val="32"/>
          <w:szCs w:val="32"/>
        </w:rPr>
        <w:t>三、预算收支情况说明</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sz w:val="32"/>
          <w:szCs w:val="32"/>
        </w:rPr>
      </w:pPr>
      <w:r>
        <w:rPr>
          <w:rFonts w:hint="eastAsia" w:ascii="仿宋" w:hAnsi="仿宋" w:eastAsia="仿宋" w:cs="仿宋"/>
          <w:sz w:val="32"/>
          <w:szCs w:val="32"/>
        </w:rPr>
        <w:t>广元市利州区龙王小学2021年部门预算收入总数236.99万元，较2020年部门预算收入总数236.28万元增长0.30%。2021年部门预算支出总数236.99万元，较2020年部门预算支出总数236.28万元增长0.30%。</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sz w:val="32"/>
          <w:szCs w:val="32"/>
        </w:rPr>
      </w:pPr>
      <w:r>
        <w:rPr>
          <w:rFonts w:hint="eastAsia" w:ascii="仿宋" w:hAnsi="仿宋" w:eastAsia="仿宋" w:cs="仿宋"/>
          <w:sz w:val="32"/>
          <w:szCs w:val="32"/>
        </w:rPr>
        <w:t>广元市利州区龙王小学2021年部门基本支出预算总数236.99万元，其中人员支出230.13万元，公用支出6.86万元。</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spacing w:val="-17"/>
          <w:sz w:val="32"/>
          <w:szCs w:val="32"/>
        </w:rPr>
      </w:pPr>
      <w:r>
        <w:rPr>
          <w:rFonts w:hint="eastAsia" w:ascii="仿宋" w:hAnsi="仿宋" w:eastAsia="仿宋" w:cs="仿宋"/>
          <w:sz w:val="32"/>
          <w:szCs w:val="32"/>
        </w:rPr>
        <w:t>广</w:t>
      </w:r>
      <w:r>
        <w:rPr>
          <w:rFonts w:hint="eastAsia" w:ascii="仿宋" w:hAnsi="仿宋" w:eastAsia="仿宋" w:cs="仿宋"/>
          <w:spacing w:val="-17"/>
          <w:sz w:val="32"/>
          <w:szCs w:val="32"/>
        </w:rPr>
        <w:t>元市利州区龙王小学2021年部门预算安排专项资金0万元。</w:t>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sz w:val="32"/>
          <w:szCs w:val="32"/>
        </w:rPr>
      </w:pPr>
      <w:r>
        <w:rPr>
          <w:rFonts w:hint="eastAsia" w:ascii="黑体" w:hAnsi="黑体" w:eastAsia="黑体" w:cs="黑体"/>
          <w:sz w:val="32"/>
          <w:szCs w:val="32"/>
        </w:rPr>
        <w:t>四、财政拨款收支预算情况说明</w:t>
      </w:r>
    </w:p>
    <w:p>
      <w:pPr>
        <w:keepNext w:val="0"/>
        <w:keepLines w:val="0"/>
        <w:pageBreakBefore w:val="0"/>
        <w:kinsoku/>
        <w:overflowPunct/>
        <w:topLinePunct w:val="0"/>
        <w:autoSpaceDE/>
        <w:autoSpaceDN/>
        <w:bidi w:val="0"/>
        <w:snapToGrid w:val="0"/>
        <w:spacing w:line="576" w:lineRule="exact"/>
        <w:ind w:left="0" w:firstLine="640" w:firstLineChars="200"/>
        <w:jc w:val="both"/>
        <w:rPr>
          <w:rFonts w:hint="eastAsia" w:ascii="仿宋" w:hAnsi="仿宋" w:eastAsia="仿宋" w:cs="仿宋"/>
          <w:sz w:val="32"/>
          <w:szCs w:val="32"/>
        </w:rPr>
      </w:pPr>
      <w:r>
        <w:rPr>
          <w:rFonts w:hint="eastAsia" w:ascii="仿宋" w:hAnsi="仿宋" w:eastAsia="仿宋" w:cs="仿宋"/>
          <w:sz w:val="32"/>
          <w:szCs w:val="32"/>
        </w:rPr>
        <w:t>广元市利州区龙王小学2021年部门预算财政拨款收入总数236.99万元，较2020年部门预算财政拨款收入总数236.28万元增长0.30%。2021年部门预算财政拨款支出总数236.99万元，较2020年部门预算财政拨款支出总数236.28万元增长0.30%。</w:t>
      </w:r>
    </w:p>
    <w:p>
      <w:pPr>
        <w:keepNext w:val="0"/>
        <w:keepLines w:val="0"/>
        <w:pageBreakBefore w:val="0"/>
        <w:numPr>
          <w:numId w:val="0"/>
        </w:numPr>
        <w:kinsoku/>
        <w:overflowPunct/>
        <w:topLinePunct w:val="0"/>
        <w:autoSpaceDE/>
        <w:autoSpaceDN/>
        <w:bidi w:val="0"/>
        <w:adjustRightInd w:val="0"/>
        <w:snapToGrid w:val="0"/>
        <w:spacing w:line="576" w:lineRule="exact"/>
        <w:ind w:firstLine="640" w:firstLineChars="200"/>
        <w:jc w:val="both"/>
        <w:rPr>
          <w:rFonts w:hint="eastAsia" w:ascii="仿宋" w:hAnsi="仿宋" w:eastAsia="仿宋" w:cs="仿宋"/>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一般公共预算当年拨款情况说明</w:t>
      </w:r>
      <w:r>
        <w:rPr>
          <w:rFonts w:hint="eastAsia" w:ascii="黑体" w:hAnsi="黑体" w:eastAsia="黑体" w:cs="黑体"/>
          <w:sz w:val="32"/>
          <w:szCs w:val="32"/>
        </w:rPr>
        <w:br w:type="textWrapping"/>
      </w:r>
      <w:r>
        <w:rPr>
          <w:rFonts w:hint="eastAsia" w:ascii="楷体" w:hAnsi="楷体" w:eastAsia="楷体" w:cs="楷体"/>
          <w:b w:val="0"/>
          <w:bCs w:val="0"/>
          <w:color w:val="000000"/>
          <w:sz w:val="32"/>
          <w:szCs w:val="32"/>
          <w:lang w:val="en-US" w:eastAsia="zh-CN"/>
        </w:rPr>
        <w:t>　　（一）一般公共预算当年拨款规模变化情况</w:t>
      </w:r>
      <w:r>
        <w:rPr>
          <w:rFonts w:hint="eastAsia" w:ascii="楷体" w:hAnsi="楷体" w:eastAsia="楷体" w:cs="楷体"/>
          <w:b w:val="0"/>
          <w:bCs w:val="0"/>
          <w:color w:val="000000"/>
          <w:sz w:val="32"/>
          <w:szCs w:val="32"/>
          <w:lang w:val="en-US" w:eastAsia="zh-CN"/>
        </w:rPr>
        <w:br w:type="textWrapping"/>
      </w:r>
      <w:r>
        <w:rPr>
          <w:rStyle w:val="8"/>
          <w:rFonts w:hint="eastAsia" w:ascii="仿宋" w:hAnsi="仿宋" w:eastAsia="仿宋" w:cs="仿宋"/>
          <w:sz w:val="32"/>
          <w:szCs w:val="32"/>
        </w:rPr>
        <w:t xml:space="preserve">     </w:t>
      </w:r>
      <w:r>
        <w:rPr>
          <w:rFonts w:hint="eastAsia" w:ascii="仿宋" w:hAnsi="仿宋" w:eastAsia="仿宋" w:cs="仿宋"/>
          <w:sz w:val="32"/>
          <w:szCs w:val="32"/>
        </w:rPr>
        <w:t>2021年一般公共预算当年拨款236.99万元，比2020年预算数增加0.71万元，主要原因是人员支出预算支出增加。</w:t>
      </w:r>
      <w:r>
        <w:rPr>
          <w:rFonts w:hint="eastAsia" w:ascii="仿宋" w:hAnsi="仿宋" w:eastAsia="仿宋" w:cs="仿宋"/>
          <w:sz w:val="32"/>
          <w:szCs w:val="32"/>
        </w:rPr>
        <w:br w:type="textWrapping"/>
      </w:r>
      <w:r>
        <w:rPr>
          <w:rFonts w:hint="eastAsia" w:ascii="楷体" w:hAnsi="楷体" w:eastAsia="楷体" w:cs="楷体"/>
          <w:b w:val="0"/>
          <w:bCs w:val="0"/>
          <w:color w:val="000000"/>
          <w:sz w:val="32"/>
          <w:szCs w:val="32"/>
          <w:lang w:val="en-US" w:eastAsia="zh-CN"/>
        </w:rPr>
        <w:t>　　（二）一般公共预算当年拨款结构情况</w:t>
      </w:r>
      <w:r>
        <w:rPr>
          <w:rFonts w:hint="eastAsia" w:ascii="楷体" w:hAnsi="楷体" w:eastAsia="楷体" w:cs="楷体"/>
          <w:b w:val="0"/>
          <w:bCs w:val="0"/>
          <w:color w:val="000000"/>
          <w:sz w:val="32"/>
          <w:szCs w:val="32"/>
          <w:lang w:val="en-US" w:eastAsia="zh-CN"/>
        </w:rPr>
        <w:br w:type="textWrapping"/>
      </w:r>
      <w:r>
        <w:rPr>
          <w:rFonts w:hint="eastAsia" w:ascii="楷体" w:hAnsi="楷体" w:eastAsia="楷体" w:cs="楷体"/>
          <w:b w:val="0"/>
          <w:bCs w:val="0"/>
          <w:color w:val="000000"/>
          <w:sz w:val="32"/>
          <w:szCs w:val="32"/>
          <w:lang w:val="en-US" w:eastAsia="zh-CN"/>
        </w:rPr>
        <w:t xml:space="preserve">    </w:t>
      </w:r>
      <w:r>
        <w:rPr>
          <w:rFonts w:hint="eastAsia" w:ascii="仿宋" w:hAnsi="仿宋" w:eastAsia="仿宋" w:cs="仿宋"/>
          <w:sz w:val="32"/>
          <w:szCs w:val="32"/>
        </w:rPr>
        <w:t>工资福利支出209.34万元，占88%；日常公用支出6.85万元，占3%；对个人和家庭补助支出20.80万元，占9%。</w:t>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（三）一般公共预算当年拨款具体使用情况</w:t>
      </w:r>
    </w:p>
    <w:p>
      <w:pPr>
        <w:keepNext w:val="0"/>
        <w:keepLines w:val="0"/>
        <w:pageBreakBefore w:val="0"/>
        <w:widowControl/>
        <w:kinsoku/>
        <w:overflowPunct/>
        <w:topLinePunct w:val="0"/>
        <w:autoSpaceDE/>
        <w:autoSpaceDN/>
        <w:bidi w:val="0"/>
        <w:snapToGrid w:val="0"/>
        <w:spacing w:line="576" w:lineRule="exact"/>
        <w:ind w:left="0" w:firstLine="640" w:firstLineChars="200"/>
        <w:jc w:val="both"/>
        <w:rPr>
          <w:rFonts w:hint="eastAsia" w:ascii="仿宋" w:hAnsi="仿宋" w:eastAsia="仿宋" w:cs="仿宋"/>
          <w:sz w:val="32"/>
          <w:szCs w:val="32"/>
        </w:rPr>
      </w:pPr>
      <w:r>
        <w:rPr>
          <w:rFonts w:hint="eastAsia" w:ascii="仿宋" w:hAnsi="仿宋" w:eastAsia="仿宋" w:cs="仿宋"/>
          <w:sz w:val="32"/>
          <w:szCs w:val="32"/>
        </w:rPr>
        <w:t>1. 小学教育，2021年预算数为192.34万元，主要用于：单位正常运转的基本支出，包括基本工资、津贴补贴等人员经费。</w:t>
      </w:r>
    </w:p>
    <w:p>
      <w:pPr>
        <w:keepNext w:val="0"/>
        <w:keepLines w:val="0"/>
        <w:pageBreakBefore w:val="0"/>
        <w:widowControl/>
        <w:kinsoku/>
        <w:overflowPunct/>
        <w:topLinePunct w:val="0"/>
        <w:autoSpaceDE/>
        <w:autoSpaceDN/>
        <w:bidi w:val="0"/>
        <w:snapToGrid w:val="0"/>
        <w:spacing w:line="576" w:lineRule="exact"/>
        <w:ind w:left="0" w:firstLine="640" w:firstLineChars="200"/>
        <w:jc w:val="both"/>
        <w:rPr>
          <w:rFonts w:hint="eastAsia" w:ascii="仿宋" w:hAnsi="仿宋" w:eastAsia="仿宋" w:cs="仿宋"/>
          <w:sz w:val="32"/>
          <w:szCs w:val="32"/>
        </w:rPr>
      </w:pPr>
      <w:r>
        <w:rPr>
          <w:rFonts w:hint="eastAsia" w:ascii="仿宋" w:hAnsi="仿宋" w:eastAsia="仿宋" w:cs="仿宋"/>
          <w:sz w:val="32"/>
          <w:szCs w:val="32"/>
        </w:rPr>
        <w:t>2.机关事业单位基本养老保险缴费，2021年预算数为18.54万元，主要用于：单位基本养老保险缴费支出。</w:t>
      </w:r>
      <w:r>
        <w:rPr>
          <w:rFonts w:hint="eastAsia" w:ascii="仿宋" w:hAnsi="仿宋" w:eastAsia="仿宋" w:cs="仿宋"/>
          <w:sz w:val="32"/>
          <w:szCs w:val="32"/>
        </w:rPr>
        <w:br w:type="textWrapping"/>
      </w:r>
      <w:r>
        <w:rPr>
          <w:rFonts w:hint="eastAsia" w:ascii="仿宋" w:hAnsi="仿宋" w:eastAsia="仿宋" w:cs="仿宋"/>
          <w:sz w:val="32"/>
          <w:szCs w:val="32"/>
        </w:rPr>
        <w:t>　　3.  财政对失业保险基金的补助，2021年预算数为0.69万元，主要用于：单位失业保险经费支出。</w:t>
      </w:r>
    </w:p>
    <w:p>
      <w:pPr>
        <w:keepNext w:val="0"/>
        <w:keepLines w:val="0"/>
        <w:pageBreakBefore w:val="0"/>
        <w:widowControl/>
        <w:kinsoku/>
        <w:overflowPunct/>
        <w:topLinePunct w:val="0"/>
        <w:autoSpaceDE/>
        <w:autoSpaceDN/>
        <w:bidi w:val="0"/>
        <w:snapToGrid w:val="0"/>
        <w:spacing w:line="576" w:lineRule="exact"/>
        <w:ind w:left="0" w:firstLine="640" w:firstLineChars="200"/>
        <w:jc w:val="both"/>
        <w:rPr>
          <w:rFonts w:hint="eastAsia" w:ascii="仿宋" w:hAnsi="仿宋" w:eastAsia="仿宋" w:cs="仿宋"/>
          <w:sz w:val="32"/>
          <w:szCs w:val="32"/>
        </w:rPr>
      </w:pPr>
      <w:r>
        <w:rPr>
          <w:rFonts w:hint="eastAsia" w:ascii="仿宋" w:hAnsi="仿宋" w:eastAsia="仿宋" w:cs="仿宋"/>
          <w:sz w:val="32"/>
          <w:szCs w:val="32"/>
        </w:rPr>
        <w:t>4.  财政对工伤保险基金的补助，2021年预算数为0.58万元，主要用于：单位工伤保险经费支出。</w:t>
      </w:r>
      <w:r>
        <w:rPr>
          <w:rFonts w:hint="eastAsia" w:ascii="仿宋" w:hAnsi="仿宋" w:eastAsia="仿宋" w:cs="仿宋"/>
          <w:sz w:val="32"/>
          <w:szCs w:val="32"/>
        </w:rPr>
        <w:br w:type="textWrapping"/>
      </w:r>
      <w:r>
        <w:rPr>
          <w:rFonts w:hint="eastAsia" w:ascii="仿宋" w:hAnsi="仿宋" w:eastAsia="仿宋" w:cs="仿宋"/>
          <w:sz w:val="32"/>
          <w:szCs w:val="32"/>
        </w:rPr>
        <w:t>　  5. 卫生健康支出（类）行政事业单位医疗（款）行政单位医疗（项）2021年预算数为10.95万元，主要用于：单位基本医疗保险缴费支出。</w:t>
      </w:r>
      <w:r>
        <w:rPr>
          <w:rFonts w:hint="eastAsia" w:ascii="仿宋" w:hAnsi="仿宋" w:eastAsia="仿宋" w:cs="仿宋"/>
          <w:sz w:val="32"/>
          <w:szCs w:val="32"/>
        </w:rPr>
        <w:br w:type="textWrapping"/>
      </w:r>
      <w:r>
        <w:rPr>
          <w:rFonts w:hint="eastAsia" w:ascii="仿宋" w:hAnsi="仿宋" w:eastAsia="仿宋" w:cs="仿宋"/>
          <w:sz w:val="32"/>
          <w:szCs w:val="32"/>
        </w:rPr>
        <w:t xml:space="preserve">    6.住房保障（类）住房改革支出（款）住房公积金（项）2021年预算数为13.89万元，主要用于：按人力资源和社会保障部、财政部规定的基本工资和津贴补贴以及规定比例为职工缴纳的住房公积金支出。</w:t>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sz w:val="32"/>
          <w:szCs w:val="32"/>
        </w:rPr>
      </w:pPr>
      <w:r>
        <w:rPr>
          <w:rFonts w:hint="eastAsia" w:ascii="黑体" w:hAnsi="黑体" w:eastAsia="黑体" w:cs="黑体"/>
          <w:sz w:val="32"/>
          <w:szCs w:val="32"/>
        </w:rPr>
        <w:t>六、一般公共预算基本支出情况说明</w:t>
      </w:r>
      <w:r>
        <w:rPr>
          <w:rFonts w:hint="eastAsia" w:ascii="黑体" w:hAnsi="黑体" w:eastAsia="黑体" w:cs="黑体"/>
          <w:sz w:val="32"/>
          <w:szCs w:val="32"/>
        </w:rPr>
        <w:br w:type="textWrapping"/>
      </w:r>
      <w:r>
        <w:rPr>
          <w:rFonts w:hint="eastAsia" w:ascii="仿宋" w:hAnsi="仿宋" w:eastAsia="仿宋" w:cs="仿宋"/>
          <w:sz w:val="32"/>
          <w:szCs w:val="32"/>
        </w:rPr>
        <w:t>　　广元市利州区龙王小学2021年一般公共预算基本支出236.99万元，其中：人员经费209.34万元，主要包括：基本工资、津贴补贴、奖金、社会保险缴费等支出。公用经费6.85万元，主要包括：办公费、水费、电费、邮电费、印刷费、差旅费、维修（护）费、物业管理费、劳务费等支出。对个人和家庭补助支出20.80万元。</w:t>
      </w:r>
      <w:r>
        <w:rPr>
          <w:rFonts w:hint="eastAsia" w:ascii="仿宋" w:hAnsi="仿宋" w:eastAsia="仿宋" w:cs="仿宋"/>
          <w:sz w:val="32"/>
          <w:szCs w:val="32"/>
        </w:rPr>
        <w:br w:type="textWrapping"/>
      </w:r>
      <w:r>
        <w:rPr>
          <w:rFonts w:hint="eastAsia" w:ascii="黑体" w:hAnsi="黑体" w:eastAsia="黑体" w:cs="黑体"/>
          <w:sz w:val="32"/>
          <w:szCs w:val="32"/>
        </w:rPr>
        <w:t>　　七、“三公”经费财政拨款预算安排情况说明</w:t>
      </w:r>
      <w:r>
        <w:rPr>
          <w:rFonts w:hint="eastAsia" w:ascii="黑体" w:hAnsi="黑体" w:eastAsia="黑体" w:cs="黑体"/>
          <w:sz w:val="32"/>
          <w:szCs w:val="32"/>
        </w:rPr>
        <w:br w:type="textWrapping"/>
      </w:r>
      <w:r>
        <w:rPr>
          <w:rFonts w:hint="eastAsia" w:ascii="仿宋" w:hAnsi="仿宋" w:eastAsia="仿宋" w:cs="仿宋"/>
          <w:sz w:val="32"/>
          <w:szCs w:val="32"/>
        </w:rPr>
        <w:t>　  2021年财政拨款安排“三公”经费预算0万元。</w:t>
      </w:r>
    </w:p>
    <w:p>
      <w:pPr>
        <w:keepNext w:val="0"/>
        <w:keepLines w:val="0"/>
        <w:pageBreakBefore w:val="0"/>
        <w:kinsoku/>
        <w:overflowPunct/>
        <w:topLinePunct w:val="0"/>
        <w:autoSpaceDE/>
        <w:autoSpaceDN/>
        <w:bidi w:val="0"/>
        <w:snapToGrid w:val="0"/>
        <w:spacing w:line="576" w:lineRule="exact"/>
        <w:ind w:left="0" w:firstLine="640" w:firstLineChars="200"/>
        <w:jc w:val="both"/>
        <w:textAlignment w:val="baseline"/>
        <w:rPr>
          <w:rFonts w:hint="eastAsia" w:ascii="仿宋" w:hAnsi="仿宋" w:eastAsia="仿宋" w:cs="仿宋"/>
          <w:color w:val="000000"/>
          <w:sz w:val="32"/>
          <w:szCs w:val="32"/>
        </w:rPr>
      </w:pPr>
      <w:r>
        <w:rPr>
          <w:rFonts w:hint="eastAsia" w:ascii="仿宋" w:hAnsi="仿宋" w:eastAsia="仿宋" w:cs="仿宋"/>
          <w:sz w:val="32"/>
          <w:szCs w:val="32"/>
        </w:rPr>
        <w:t>单位现有公务用车0辆，其中：轿车0辆、越野车0辆、其他乘用车0辆。</w:t>
      </w:r>
      <w:r>
        <w:rPr>
          <w:rFonts w:hint="eastAsia" w:ascii="仿宋" w:hAnsi="仿宋" w:eastAsia="仿宋" w:cs="仿宋"/>
          <w:sz w:val="32"/>
          <w:szCs w:val="32"/>
        </w:rPr>
        <w:br w:type="textWrapping"/>
      </w:r>
      <w:r>
        <w:rPr>
          <w:rFonts w:hint="eastAsia" w:ascii="仿宋" w:hAnsi="仿宋" w:eastAsia="仿宋" w:cs="仿宋"/>
          <w:sz w:val="32"/>
          <w:szCs w:val="32"/>
        </w:rPr>
        <w:t>　　2021年未安排公务用车购置费。</w:t>
      </w:r>
      <w:r>
        <w:rPr>
          <w:rFonts w:hint="eastAsia" w:ascii="仿宋" w:hAnsi="仿宋" w:eastAsia="仿宋" w:cs="仿宋"/>
          <w:sz w:val="32"/>
          <w:szCs w:val="32"/>
        </w:rPr>
        <w:br w:type="textWrapping"/>
      </w:r>
      <w:r>
        <w:rPr>
          <w:rFonts w:hint="eastAsia" w:ascii="仿宋" w:hAnsi="仿宋" w:eastAsia="仿宋" w:cs="仿宋"/>
          <w:sz w:val="32"/>
          <w:szCs w:val="32"/>
        </w:rPr>
        <w:t>　　2021年安排公务用车运行维护费0万元。</w:t>
      </w:r>
      <w:r>
        <w:rPr>
          <w:rFonts w:hint="eastAsia" w:ascii="仿宋" w:hAnsi="仿宋" w:eastAsia="仿宋" w:cs="仿宋"/>
          <w:sz w:val="32"/>
          <w:szCs w:val="32"/>
        </w:rPr>
        <w:br w:type="textWrapping"/>
      </w:r>
      <w:r>
        <w:rPr>
          <w:rFonts w:hint="eastAsia" w:ascii="黑体" w:hAnsi="黑体" w:eastAsia="黑体" w:cs="黑体"/>
          <w:sz w:val="32"/>
          <w:szCs w:val="32"/>
        </w:rPr>
        <w:t>　　八、政府性基金预算支出情况说明</w:t>
      </w:r>
      <w:r>
        <w:rPr>
          <w:rFonts w:hint="eastAsia" w:ascii="黑体" w:hAnsi="黑体" w:eastAsia="黑体" w:cs="黑体"/>
          <w:sz w:val="32"/>
          <w:szCs w:val="32"/>
        </w:rPr>
        <w:br w:type="textWrapping"/>
      </w:r>
      <w:r>
        <w:rPr>
          <w:rFonts w:hint="eastAsia" w:ascii="仿宋" w:hAnsi="仿宋" w:eastAsia="仿宋" w:cs="仿宋"/>
          <w:sz w:val="32"/>
          <w:szCs w:val="32"/>
        </w:rPr>
        <w:t>　　广元市利州区龙王小学2021年没有使用政府性基金预算拨款安排的支出。</w:t>
      </w:r>
      <w:r>
        <w:rPr>
          <w:rFonts w:hint="eastAsia" w:ascii="仿宋" w:hAnsi="仿宋" w:eastAsia="仿宋" w:cs="仿宋"/>
          <w:sz w:val="32"/>
          <w:szCs w:val="32"/>
        </w:rPr>
        <w:br w:type="textWrapping"/>
      </w:r>
      <w:r>
        <w:rPr>
          <w:rFonts w:hint="eastAsia" w:ascii="黑体" w:hAnsi="黑体" w:eastAsia="黑体" w:cs="黑体"/>
          <w:sz w:val="32"/>
          <w:szCs w:val="32"/>
        </w:rPr>
        <w:t>　　九、国有资本经营预算支出情况说明</w:t>
      </w:r>
      <w:r>
        <w:rPr>
          <w:rFonts w:hint="eastAsia" w:ascii="黑体" w:hAnsi="黑体" w:eastAsia="黑体" w:cs="黑体"/>
          <w:sz w:val="32"/>
          <w:szCs w:val="32"/>
        </w:rPr>
        <w:br w:type="textWrapping"/>
      </w:r>
      <w:r>
        <w:rPr>
          <w:rFonts w:hint="eastAsia" w:ascii="仿宋" w:hAnsi="仿宋" w:eastAsia="仿宋" w:cs="仿宋"/>
          <w:sz w:val="32"/>
          <w:szCs w:val="32"/>
        </w:rPr>
        <w:t>　　广元市利州区龙王小学2021年没有使用国有资本经营预算拨款安排的支出。</w:t>
      </w:r>
      <w:r>
        <w:rPr>
          <w:rFonts w:hint="eastAsia" w:ascii="仿宋" w:hAnsi="仿宋" w:eastAsia="仿宋" w:cs="仿宋"/>
          <w:sz w:val="32"/>
          <w:szCs w:val="32"/>
        </w:rPr>
        <w:br w:type="textWrapping"/>
      </w:r>
      <w:r>
        <w:rPr>
          <w:rFonts w:hint="eastAsia" w:ascii="黑体" w:hAnsi="黑体" w:eastAsia="黑体" w:cs="黑体"/>
          <w:sz w:val="32"/>
          <w:szCs w:val="32"/>
        </w:rPr>
        <w:t>　　十、其他重要事项的情况说明</w:t>
      </w:r>
      <w:r>
        <w:rPr>
          <w:rFonts w:hint="eastAsia" w:ascii="黑体" w:hAnsi="黑体" w:eastAsia="黑体" w:cs="黑体"/>
          <w:sz w:val="32"/>
          <w:szCs w:val="32"/>
        </w:rPr>
        <w:br w:type="textWrapping"/>
      </w:r>
      <w:r>
        <w:rPr>
          <w:rFonts w:hint="eastAsia" w:ascii="楷体" w:hAnsi="楷体" w:eastAsia="楷体" w:cs="楷体"/>
          <w:b w:val="0"/>
          <w:bCs w:val="0"/>
          <w:color w:val="000000"/>
          <w:sz w:val="32"/>
          <w:szCs w:val="32"/>
          <w:lang w:val="en-US" w:eastAsia="zh-CN"/>
        </w:rPr>
        <w:t>　　（一）政府采购情况</w:t>
      </w:r>
      <w:r>
        <w:rPr>
          <w:rFonts w:hint="eastAsia" w:ascii="楷体" w:hAnsi="楷体" w:eastAsia="楷体" w:cs="楷体"/>
          <w:b w:val="0"/>
          <w:bCs w:val="0"/>
          <w:color w:val="000000"/>
          <w:sz w:val="32"/>
          <w:szCs w:val="32"/>
          <w:lang w:val="en-US" w:eastAsia="zh-CN"/>
        </w:rPr>
        <w:br w:type="textWrapping"/>
      </w:r>
      <w:r>
        <w:rPr>
          <w:rFonts w:hint="eastAsia" w:ascii="仿宋" w:hAnsi="仿宋" w:eastAsia="仿宋" w:cs="仿宋"/>
          <w:color w:val="000000"/>
          <w:sz w:val="32"/>
          <w:szCs w:val="32"/>
        </w:rPr>
        <w:t>　　2021年，大石小学未安排政府采购预算</w:t>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黑体" w:hAnsi="黑体" w:eastAsia="黑体" w:cs="黑体"/>
          <w:sz w:val="32"/>
          <w:szCs w:val="32"/>
        </w:rPr>
      </w:pPr>
      <w:r>
        <w:rPr>
          <w:rFonts w:hint="eastAsia" w:ascii="楷体" w:hAnsi="楷体" w:eastAsia="楷体" w:cs="楷体"/>
          <w:b w:val="0"/>
          <w:bCs w:val="0"/>
          <w:color w:val="000000"/>
          <w:sz w:val="32"/>
          <w:szCs w:val="32"/>
          <w:lang w:val="en-US" w:eastAsia="zh-CN"/>
        </w:rPr>
        <w:t>（二）国有资产占有使用情况</w:t>
      </w:r>
      <w:r>
        <w:rPr>
          <w:rFonts w:hint="eastAsia" w:ascii="楷体" w:hAnsi="楷体" w:eastAsia="楷体" w:cs="楷体"/>
          <w:b w:val="0"/>
          <w:bCs w:val="0"/>
          <w:color w:val="000000"/>
          <w:sz w:val="32"/>
          <w:szCs w:val="32"/>
          <w:lang w:val="en-US" w:eastAsia="zh-CN"/>
        </w:rPr>
        <w:br w:type="textWrapping"/>
      </w:r>
      <w:r>
        <w:rPr>
          <w:rFonts w:hint="eastAsia" w:ascii="仿宋" w:hAnsi="仿宋" w:eastAsia="仿宋" w:cs="仿宋"/>
          <w:color w:val="000000"/>
          <w:sz w:val="32"/>
          <w:szCs w:val="32"/>
        </w:rPr>
        <w:t>　　 截至2021年底，龙王小学无车辆。</w:t>
      </w:r>
      <w:r>
        <w:rPr>
          <w:rFonts w:hint="eastAsia" w:ascii="仿宋" w:hAnsi="仿宋" w:eastAsia="仿宋" w:cs="仿宋"/>
          <w:color w:val="000000"/>
          <w:sz w:val="32"/>
          <w:szCs w:val="32"/>
        </w:rPr>
        <w:br w:type="textWrapping"/>
      </w:r>
      <w:r>
        <w:rPr>
          <w:rFonts w:hint="eastAsia" w:ascii="仿宋" w:hAnsi="仿宋" w:eastAsia="仿宋" w:cs="仿宋"/>
          <w:color w:val="000000"/>
          <w:sz w:val="32"/>
          <w:szCs w:val="32"/>
        </w:rPr>
        <w:t xml:space="preserve">     2021年部门预算未安排(安排）购置车辆及单位价值20万元以上大型设备。</w:t>
      </w:r>
      <w:r>
        <w:rPr>
          <w:rFonts w:hint="eastAsia" w:ascii="仿宋" w:hAnsi="仿宋" w:eastAsia="仿宋" w:cs="仿宋"/>
          <w:color w:val="000000"/>
          <w:sz w:val="32"/>
          <w:szCs w:val="32"/>
        </w:rPr>
        <w:br w:type="textWrapping"/>
      </w:r>
      <w:r>
        <w:rPr>
          <w:rFonts w:hint="eastAsia" w:ascii="楷体" w:hAnsi="楷体" w:eastAsia="楷体" w:cs="楷体"/>
          <w:b w:val="0"/>
          <w:bCs w:val="0"/>
          <w:color w:val="000000"/>
          <w:sz w:val="32"/>
          <w:szCs w:val="32"/>
          <w:lang w:val="en-US" w:eastAsia="zh-CN"/>
        </w:rPr>
        <w:t xml:space="preserve">    </w:t>
      </w:r>
      <w:r>
        <w:rPr>
          <w:rStyle w:val="8"/>
          <w:rFonts w:hint="eastAsia" w:ascii="楷体" w:hAnsi="楷体" w:eastAsia="楷体" w:cs="楷体"/>
          <w:b w:val="0"/>
          <w:bCs w:val="0"/>
          <w:sz w:val="32"/>
          <w:szCs w:val="32"/>
        </w:rPr>
        <w:t>（三）绩效目标设置情况</w:t>
      </w:r>
      <w:r>
        <w:rPr>
          <w:rStyle w:val="8"/>
          <w:rFonts w:hint="eastAsia" w:ascii="楷体" w:hAnsi="楷体" w:eastAsia="楷体" w:cs="楷体"/>
          <w:b w:val="0"/>
          <w:bCs w:val="0"/>
          <w:sz w:val="32"/>
          <w:szCs w:val="32"/>
        </w:rPr>
        <w:br w:type="textWrapping"/>
      </w:r>
      <w:r>
        <w:rPr>
          <w:rFonts w:hint="eastAsia" w:ascii="仿宋" w:hAnsi="仿宋" w:eastAsia="仿宋" w:cs="仿宋"/>
          <w:sz w:val="32"/>
          <w:szCs w:val="32"/>
        </w:rPr>
        <w:t>　　绩效目标是预算编制的前提和基础，按照“费随事定”的原则，2021年广元市利州区龙王小学所有项目按要求编制了项目绩效目标,从项目完成、项目效益、满意度等方面设置了绩效指标，综合反映项目预期完成的数量、成本、时效、质量，预期达到的社会效益、经济效益、可持续影响以及服务对象满意度等情况；同时编制了部门整体绩效目标。</w:t>
      </w:r>
      <w:r>
        <w:rPr>
          <w:rFonts w:hint="eastAsia" w:ascii="仿宋" w:hAnsi="仿宋" w:eastAsia="仿宋" w:cs="仿宋"/>
          <w:sz w:val="32"/>
          <w:szCs w:val="32"/>
        </w:rPr>
        <w:br w:type="textWrapping"/>
      </w:r>
      <w:r>
        <w:rPr>
          <w:rFonts w:hint="eastAsia" w:ascii="黑体" w:hAnsi="黑体" w:eastAsia="黑体" w:cs="黑体"/>
          <w:sz w:val="32"/>
          <w:szCs w:val="32"/>
        </w:rPr>
        <w:t>　　十一、名词解释</w:t>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bCs/>
          <w:sz w:val="32"/>
          <w:szCs w:val="32"/>
        </w:rPr>
      </w:pPr>
      <w:r>
        <w:rPr>
          <w:rFonts w:hint="eastAsia" w:ascii="仿宋" w:hAnsi="仿宋" w:eastAsia="仿宋" w:cs="仿宋"/>
          <w:sz w:val="32"/>
          <w:szCs w:val="32"/>
        </w:rPr>
        <w:t>（一）一般公共预算拨款收入：指区级财政当年拨付的资金。</w:t>
      </w:r>
      <w:r>
        <w:rPr>
          <w:rFonts w:hint="eastAsia" w:ascii="仿宋" w:hAnsi="仿宋" w:eastAsia="仿宋" w:cs="仿宋"/>
          <w:sz w:val="32"/>
          <w:szCs w:val="32"/>
        </w:rPr>
        <w:br w:type="textWrapping"/>
      </w:r>
      <w:r>
        <w:rPr>
          <w:rFonts w:hint="eastAsia" w:ascii="仿宋" w:hAnsi="仿宋" w:eastAsia="仿宋" w:cs="仿宋"/>
          <w:sz w:val="32"/>
          <w:szCs w:val="32"/>
        </w:rPr>
        <w:t>　　（二）上年结转：指以前年度尚未完成，结转到本年仍按原规定用途继续使用的资金。</w:t>
      </w:r>
      <w:r>
        <w:rPr>
          <w:rFonts w:hint="eastAsia" w:ascii="仿宋" w:hAnsi="仿宋" w:eastAsia="仿宋" w:cs="仿宋"/>
          <w:sz w:val="32"/>
          <w:szCs w:val="32"/>
        </w:rPr>
        <w:br w:type="textWrapping"/>
      </w:r>
      <w:r>
        <w:rPr>
          <w:rFonts w:hint="eastAsia" w:ascii="仿宋" w:hAnsi="仿宋" w:eastAsia="仿宋" w:cs="仿宋"/>
          <w:sz w:val="32"/>
          <w:szCs w:val="32"/>
        </w:rPr>
        <w:t>　　（三）一般公共服务（类）财政事务（款）行政运行（项）：指局机关及参公管理事业单位用于保障机构正常运行、开展日常工作的基本支出。</w:t>
      </w:r>
      <w:r>
        <w:rPr>
          <w:rFonts w:hint="eastAsia" w:ascii="仿宋" w:hAnsi="仿宋" w:eastAsia="仿宋" w:cs="仿宋"/>
          <w:sz w:val="32"/>
          <w:szCs w:val="32"/>
        </w:rPr>
        <w:br w:type="textWrapping"/>
      </w:r>
      <w:r>
        <w:rPr>
          <w:rFonts w:hint="eastAsia" w:ascii="仿宋" w:hAnsi="仿宋" w:eastAsia="仿宋" w:cs="仿宋"/>
          <w:sz w:val="32"/>
          <w:szCs w:val="32"/>
        </w:rPr>
        <w:t>　　（四）社会保障和就业（类）行政事业单位离退休（款）未归口管理的行政单位离退休（项）：指局机关离退休人员的支出。</w:t>
      </w:r>
      <w:r>
        <w:rPr>
          <w:rFonts w:hint="eastAsia" w:ascii="仿宋" w:hAnsi="仿宋" w:eastAsia="仿宋" w:cs="仿宋"/>
          <w:sz w:val="32"/>
          <w:szCs w:val="32"/>
        </w:rPr>
        <w:br w:type="textWrapping"/>
      </w:r>
      <w:r>
        <w:rPr>
          <w:rFonts w:hint="eastAsia" w:ascii="仿宋" w:hAnsi="仿宋" w:eastAsia="仿宋" w:cs="仿宋"/>
          <w:sz w:val="32"/>
          <w:szCs w:val="32"/>
        </w:rPr>
        <w:t>　　（五）社会保障和就业（类）行政事业单位离退休（款）机关事业单位基本养老保险缴费支出（项）：指部门实施养老保险制度由单位缴纳的养老保险费的支出。</w:t>
      </w:r>
      <w:r>
        <w:rPr>
          <w:rFonts w:hint="eastAsia" w:ascii="仿宋" w:hAnsi="仿宋" w:eastAsia="仿宋" w:cs="仿宋"/>
          <w:sz w:val="32"/>
          <w:szCs w:val="32"/>
        </w:rPr>
        <w:br w:type="textWrapping"/>
      </w:r>
      <w:r>
        <w:rPr>
          <w:rFonts w:hint="eastAsia" w:ascii="仿宋" w:hAnsi="仿宋" w:eastAsia="仿宋" w:cs="仿宋"/>
          <w:sz w:val="32"/>
          <w:szCs w:val="32"/>
        </w:rPr>
        <w:t>　　（六）社会保障和就业（类）行政事业单位离退休（款）机关事业单位职业年金缴费支出（项）：指部门实施养老保险制度由单位缴纳的职业年金的支出。</w:t>
      </w:r>
      <w:r>
        <w:rPr>
          <w:rFonts w:hint="eastAsia" w:ascii="仿宋" w:hAnsi="仿宋" w:eastAsia="仿宋" w:cs="仿宋"/>
          <w:sz w:val="32"/>
          <w:szCs w:val="32"/>
        </w:rPr>
        <w:br w:type="textWrapping"/>
      </w:r>
      <w:r>
        <w:rPr>
          <w:rFonts w:hint="eastAsia" w:ascii="仿宋" w:hAnsi="仿宋" w:eastAsia="仿宋" w:cs="仿宋"/>
          <w:sz w:val="32"/>
          <w:szCs w:val="32"/>
        </w:rPr>
        <w:t>　　（七）卫生健康（类）行政事业单位医疗（款）行政单位医疗（项）：指局机关及参公管理事业单位用于缴纳单位基本医疗保险支出。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（八）卫生健康（类）行政事业单位医疗（款）事业单位医疗（项）：指事业单位用于缴纳单位基本医疗保险支出。</w:t>
      </w:r>
      <w:r>
        <w:rPr>
          <w:rFonts w:hint="eastAsia" w:ascii="仿宋" w:hAnsi="仿宋" w:eastAsia="仿宋" w:cs="仿宋"/>
          <w:sz w:val="32"/>
          <w:szCs w:val="32"/>
        </w:rPr>
        <w:br w:type="textWrapping"/>
      </w:r>
      <w:r>
        <w:rPr>
          <w:rFonts w:hint="eastAsia" w:ascii="仿宋" w:hAnsi="仿宋" w:eastAsia="仿宋" w:cs="仿宋"/>
          <w:sz w:val="32"/>
          <w:szCs w:val="32"/>
        </w:rPr>
        <w:t>　　（九）住房保障（类）住房改革支出（款）住房公积金（项）：指按照《住房公积金管理条例》的规定，由单位及其在职职工缴存的长期住房储金。</w:t>
      </w:r>
      <w:r>
        <w:rPr>
          <w:rFonts w:hint="eastAsia" w:ascii="仿宋" w:hAnsi="仿宋" w:eastAsia="仿宋" w:cs="仿宋"/>
          <w:sz w:val="32"/>
          <w:szCs w:val="32"/>
        </w:rPr>
        <w:br w:type="textWrapping"/>
      </w:r>
      <w:r>
        <w:rPr>
          <w:rFonts w:hint="eastAsia" w:ascii="仿宋" w:hAnsi="仿宋" w:eastAsia="仿宋" w:cs="仿宋"/>
          <w:sz w:val="32"/>
          <w:szCs w:val="32"/>
        </w:rPr>
        <w:t>　　（十）基本支出：指为保证机构正常运转，完成日常工作任务而发生的人员支出和公用支出。</w:t>
      </w:r>
      <w:r>
        <w:rPr>
          <w:rFonts w:hint="eastAsia" w:ascii="仿宋" w:hAnsi="仿宋" w:eastAsia="仿宋" w:cs="仿宋"/>
          <w:sz w:val="32"/>
          <w:szCs w:val="32"/>
        </w:rPr>
        <w:br w:type="textWrapping"/>
      </w:r>
      <w:r>
        <w:rPr>
          <w:rFonts w:hint="eastAsia" w:ascii="仿宋" w:hAnsi="仿宋" w:eastAsia="仿宋" w:cs="仿宋"/>
          <w:sz w:val="32"/>
          <w:szCs w:val="32"/>
        </w:rPr>
        <w:t>　　（十一）项目支出：指在基本支出之外为完成特定行政任务和事业发展目标所发生的支出。</w:t>
      </w:r>
      <w:r>
        <w:rPr>
          <w:rFonts w:hint="eastAsia" w:ascii="仿宋" w:hAnsi="仿宋" w:eastAsia="仿宋" w:cs="仿宋"/>
          <w:sz w:val="32"/>
          <w:szCs w:val="32"/>
        </w:rPr>
        <w:br w:type="textWrapping"/>
      </w:r>
      <w:r>
        <w:rPr>
          <w:rFonts w:hint="eastAsia" w:ascii="仿宋" w:hAnsi="仿宋" w:eastAsia="仿宋" w:cs="仿宋"/>
          <w:sz w:val="32"/>
          <w:szCs w:val="32"/>
        </w:rPr>
        <w:t>　　（十二）“三公”经费：纳入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仿宋" w:hAnsi="仿宋" w:eastAsia="仿宋" w:cs="仿宋"/>
          <w:sz w:val="32"/>
          <w:szCs w:val="32"/>
        </w:rPr>
        <w:br w:type="textWrapping"/>
      </w: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bCs/>
          <w:sz w:val="32"/>
          <w:szCs w:val="32"/>
        </w:rPr>
      </w:pPr>
    </w:p>
    <w:p>
      <w:pPr>
        <w:keepNext w:val="0"/>
        <w:keepLines w:val="0"/>
        <w:pageBreakBefore w:val="0"/>
        <w:kinsoku/>
        <w:overflowPunct/>
        <w:topLinePunct w:val="0"/>
        <w:autoSpaceDE/>
        <w:autoSpaceDN/>
        <w:bidi w:val="0"/>
        <w:adjustRightInd w:val="0"/>
        <w:snapToGrid w:val="0"/>
        <w:spacing w:line="576" w:lineRule="exact"/>
        <w:ind w:left="0" w:firstLine="640" w:firstLineChars="200"/>
        <w:jc w:val="both"/>
        <w:rPr>
          <w:rFonts w:hint="eastAsia" w:ascii="仿宋" w:hAnsi="仿宋" w:eastAsia="仿宋" w:cs="仿宋"/>
          <w:bCs/>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val="0"/>
        <w:spacing w:line="576" w:lineRule="exact"/>
        <w:ind w:left="0" w:leftChars="0" w:firstLine="4697" w:firstLineChars="1468"/>
        <w:jc w:val="both"/>
        <w:rPr>
          <w:rFonts w:hint="eastAsia" w:ascii="仿宋" w:hAnsi="仿宋" w:eastAsia="仿宋" w:cs="仿宋"/>
          <w:bCs/>
          <w:sz w:val="32"/>
          <w:szCs w:val="32"/>
        </w:rPr>
      </w:pPr>
      <w:r>
        <w:rPr>
          <w:rFonts w:hint="eastAsia" w:ascii="仿宋" w:hAnsi="仿宋" w:eastAsia="仿宋" w:cs="仿宋"/>
          <w:bCs/>
          <w:sz w:val="32"/>
          <w:szCs w:val="32"/>
        </w:rPr>
        <w:t>广元市利州区龙王小学</w:t>
      </w:r>
    </w:p>
    <w:p>
      <w:pPr>
        <w:keepNext w:val="0"/>
        <w:keepLines w:val="0"/>
        <w:pageBreakBefore w:val="0"/>
        <w:kinsoku/>
        <w:wordWrap/>
        <w:overflowPunct/>
        <w:topLinePunct w:val="0"/>
        <w:autoSpaceDE/>
        <w:autoSpaceDN/>
        <w:bidi w:val="0"/>
        <w:adjustRightInd w:val="0"/>
        <w:snapToGrid w:val="0"/>
        <w:spacing w:line="576" w:lineRule="exact"/>
        <w:ind w:left="0" w:right="1304" w:rightChars="621" w:firstLine="640" w:firstLineChars="200"/>
        <w:jc w:val="right"/>
        <w:rPr>
          <w:rFonts w:hint="eastAsia" w:ascii="仿宋" w:hAnsi="仿宋" w:eastAsia="仿宋" w:cs="仿宋"/>
          <w:sz w:val="32"/>
          <w:szCs w:val="32"/>
          <w:shd w:val="clear" w:color="auto" w:fill="FFFFFF"/>
        </w:rPr>
      </w:pPr>
      <w:r>
        <w:rPr>
          <w:rFonts w:hint="eastAsia" w:ascii="仿宋" w:hAnsi="仿宋" w:eastAsia="仿宋" w:cs="仿宋"/>
          <w:bCs/>
          <w:sz w:val="32"/>
          <w:szCs w:val="32"/>
        </w:rPr>
        <w:t>2021年3月29日</w:t>
      </w:r>
    </w:p>
    <w:sectPr>
      <w:footerReference r:id="rId3" w:type="default"/>
      <w:pgSz w:w="11906" w:h="16838"/>
      <w:pgMar w:top="1701" w:right="1474" w:bottom="1701" w:left="1587" w:header="851" w:footer="133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hNDAyMDQ2YjhlZjY1MzI5ZWZiZmVkODE3MGY1YTMifQ=="/>
  </w:docVars>
  <w:rsids>
    <w:rsidRoot w:val="004F514A"/>
    <w:rsid w:val="000234F0"/>
    <w:rsid w:val="000F7E8B"/>
    <w:rsid w:val="0012484D"/>
    <w:rsid w:val="0019321F"/>
    <w:rsid w:val="0020247B"/>
    <w:rsid w:val="00204A7A"/>
    <w:rsid w:val="0022790D"/>
    <w:rsid w:val="0024385F"/>
    <w:rsid w:val="0026122B"/>
    <w:rsid w:val="00312142"/>
    <w:rsid w:val="003A690F"/>
    <w:rsid w:val="003F084C"/>
    <w:rsid w:val="004C01BC"/>
    <w:rsid w:val="004F514A"/>
    <w:rsid w:val="00623706"/>
    <w:rsid w:val="006669E2"/>
    <w:rsid w:val="007D2FDC"/>
    <w:rsid w:val="007E0D7C"/>
    <w:rsid w:val="0086021F"/>
    <w:rsid w:val="00886C02"/>
    <w:rsid w:val="009073AE"/>
    <w:rsid w:val="00A565DC"/>
    <w:rsid w:val="00A923C1"/>
    <w:rsid w:val="00AD57D0"/>
    <w:rsid w:val="00C06BFD"/>
    <w:rsid w:val="00CD4B04"/>
    <w:rsid w:val="00CE5135"/>
    <w:rsid w:val="00D33725"/>
    <w:rsid w:val="00E14578"/>
    <w:rsid w:val="00FB1A43"/>
    <w:rsid w:val="00FD2341"/>
    <w:rsid w:val="012E766D"/>
    <w:rsid w:val="044F5BC4"/>
    <w:rsid w:val="08ED1D46"/>
    <w:rsid w:val="099A6EBD"/>
    <w:rsid w:val="0B974E68"/>
    <w:rsid w:val="0E1168EA"/>
    <w:rsid w:val="0ED54B8C"/>
    <w:rsid w:val="130363E7"/>
    <w:rsid w:val="160776AB"/>
    <w:rsid w:val="1A4B3E10"/>
    <w:rsid w:val="1E370718"/>
    <w:rsid w:val="1ED53AE3"/>
    <w:rsid w:val="1F746947"/>
    <w:rsid w:val="237F1682"/>
    <w:rsid w:val="24C90A2A"/>
    <w:rsid w:val="25C96B17"/>
    <w:rsid w:val="260A4F3C"/>
    <w:rsid w:val="28670C55"/>
    <w:rsid w:val="2C682708"/>
    <w:rsid w:val="2DBA1E53"/>
    <w:rsid w:val="30806273"/>
    <w:rsid w:val="32C94BE9"/>
    <w:rsid w:val="3720243B"/>
    <w:rsid w:val="39F21A1F"/>
    <w:rsid w:val="43644D8C"/>
    <w:rsid w:val="43B85AAA"/>
    <w:rsid w:val="45BE2AED"/>
    <w:rsid w:val="48E62317"/>
    <w:rsid w:val="4ED31B8C"/>
    <w:rsid w:val="55860D15"/>
    <w:rsid w:val="578919DC"/>
    <w:rsid w:val="5CAB57CE"/>
    <w:rsid w:val="600105C9"/>
    <w:rsid w:val="67D245BF"/>
    <w:rsid w:val="6B645B6B"/>
    <w:rsid w:val="735B5EC9"/>
    <w:rsid w:val="73AE1DD0"/>
    <w:rsid w:val="74AB75CC"/>
    <w:rsid w:val="7678140E"/>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paragraph" w:customStyle="1" w:styleId="9">
    <w:name w:val="Char Char Char1 Char Char Char Char Char Char Char"/>
    <w:basedOn w:val="1"/>
    <w:qFormat/>
    <w:uiPriority w:val="0"/>
    <w:pPr>
      <w:widowControl/>
      <w:spacing w:after="160" w:line="240" w:lineRule="exact"/>
      <w:jc w:val="left"/>
    </w:pPr>
  </w:style>
  <w:style w:type="character" w:customStyle="1" w:styleId="10">
    <w:name w:val="页眉 字符"/>
    <w:basedOn w:val="7"/>
    <w:link w:val="4"/>
    <w:qFormat/>
    <w:uiPriority w:val="99"/>
    <w:rPr>
      <w:rFonts w:ascii="Times New Roman" w:hAnsi="Times New Roman" w:eastAsia="宋体" w:cs="Times New Roman"/>
      <w:sz w:val="18"/>
      <w:szCs w:val="18"/>
    </w:rPr>
  </w:style>
  <w:style w:type="character" w:customStyle="1" w:styleId="11">
    <w:name w:val="页脚 字符"/>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436</Words>
  <Characters>2488</Characters>
  <Lines>20</Lines>
  <Paragraphs>5</Paragraphs>
  <TotalTime>2</TotalTime>
  <ScaleCrop>false</ScaleCrop>
  <LinksUpToDate>false</LinksUpToDate>
  <CharactersWithSpaces>2919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相识是缘</cp:lastModifiedBy>
  <cp:lastPrinted>2019-07-23T02:42:00Z</cp:lastPrinted>
  <dcterms:modified xsi:type="dcterms:W3CDTF">2022-06-14T11:59:46Z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230702707E114FD4BCD859D07BC235B5</vt:lpwstr>
  </property>
</Properties>
</file>