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广元市利州区七一</w:t>
      </w:r>
      <w:bookmarkStart w:id="0" w:name="_GoBack"/>
      <w:bookmarkEnd w:id="0"/>
      <w:r>
        <w:rPr>
          <w:rFonts w:hint="eastAsia" w:ascii="方正小标宋简体" w:hAnsi="方正小标宋简体" w:eastAsia="方正小标宋简体" w:cs="方正小标宋简体"/>
          <w:b w:val="0"/>
          <w:bCs/>
          <w:sz w:val="44"/>
          <w:szCs w:val="44"/>
        </w:rPr>
        <w:t>宝轮小学</w:t>
      </w:r>
    </w:p>
    <w:p>
      <w:pPr>
        <w:keepNext w:val="0"/>
        <w:keepLines w:val="0"/>
        <w:pageBreakBefore w:val="0"/>
        <w:kinsoku/>
        <w:wordWrap/>
        <w:overflowPunct/>
        <w:topLinePunct w:val="0"/>
        <w:autoSpaceDE/>
        <w:autoSpaceDN/>
        <w:bidi w:val="0"/>
        <w:spacing w:line="576"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keepNext w:val="0"/>
        <w:keepLines w:val="0"/>
        <w:pageBreakBefore w:val="0"/>
        <w:kinsoku/>
        <w:wordWrap/>
        <w:overflowPunct/>
        <w:topLinePunct w:val="0"/>
        <w:autoSpaceDE/>
        <w:autoSpaceDN/>
        <w:bidi w:val="0"/>
        <w:spacing w:line="576" w:lineRule="exact"/>
        <w:ind w:left="0" w:right="0"/>
        <w:jc w:val="both"/>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keepNext w:val="0"/>
        <w:keepLines w:val="0"/>
        <w:pageBreakBefore w:val="0"/>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广元市利州区七一宝轮小学隶属广元市利州区教育局下属二级预算单位，学校编制110名，其中事业编制110名。在职人员总数111人，其中工勤人员</w:t>
      </w:r>
      <w:r>
        <w:rPr>
          <w:rFonts w:hint="eastAsia" w:ascii="仿宋" w:hAnsi="仿宋" w:eastAsia="仿宋" w:cs="仿宋"/>
          <w:color w:val="000000"/>
          <w:sz w:val="32"/>
          <w:szCs w:val="32"/>
        </w:rPr>
        <w:t>2</w:t>
      </w:r>
      <w:r>
        <w:rPr>
          <w:rFonts w:hint="eastAsia" w:ascii="仿宋" w:hAnsi="仿宋" w:eastAsia="仿宋" w:cs="仿宋"/>
          <w:color w:val="000000"/>
          <w:sz w:val="32"/>
          <w:szCs w:val="32"/>
        </w:rPr>
        <w:t>人，事业人员109人（含特岗9人）；退休人员70人。固定资产总额2576.66万元。</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二、主要职能职责</w:t>
      </w:r>
    </w:p>
    <w:p>
      <w:pPr>
        <w:keepNext w:val="0"/>
        <w:keepLines w:val="0"/>
        <w:pageBreakBefore w:val="0"/>
        <w:kinsoku/>
        <w:wordWrap/>
        <w:overflowPunct/>
        <w:topLinePunct w:val="0"/>
        <w:autoSpaceDE/>
        <w:autoSpaceDN/>
        <w:bidi w:val="0"/>
        <w:snapToGrid w:val="0"/>
        <w:spacing w:line="576"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rPr>
        <w:t>宣传</w:t>
      </w:r>
      <w:r>
        <w:rPr>
          <w:rFonts w:hint="eastAsia" w:ascii="仿宋" w:hAnsi="仿宋" w:eastAsia="仿宋" w:cs="仿宋"/>
          <w:color w:val="000000"/>
          <w:sz w:val="32"/>
          <w:szCs w:val="32"/>
        </w:rPr>
        <w:t>贯彻执行党和国家关于教育改革和发展的各项方针、政策，</w:t>
      </w:r>
      <w:r>
        <w:rPr>
          <w:rFonts w:hint="eastAsia" w:ascii="仿宋" w:hAnsi="仿宋" w:eastAsia="仿宋" w:cs="仿宋"/>
          <w:color w:val="000000"/>
          <w:sz w:val="32"/>
          <w:szCs w:val="32"/>
        </w:rPr>
        <w:t>坚持依法执教、依法治学，贯彻执行主管教育局的行政规章制度</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snapToGrid w:val="0"/>
        <w:spacing w:line="576"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(二)负责教育经费的统筹管理和</w:t>
      </w:r>
      <w:r>
        <w:rPr>
          <w:rFonts w:hint="eastAsia" w:ascii="仿宋" w:hAnsi="仿宋" w:eastAsia="仿宋" w:cs="仿宋"/>
          <w:color w:val="000000"/>
          <w:sz w:val="32"/>
          <w:szCs w:val="32"/>
        </w:rPr>
        <w:t>合理</w:t>
      </w:r>
      <w:r>
        <w:rPr>
          <w:rFonts w:hint="eastAsia" w:ascii="仿宋" w:hAnsi="仿宋" w:eastAsia="仿宋" w:cs="仿宋"/>
          <w:color w:val="000000"/>
          <w:sz w:val="32"/>
          <w:szCs w:val="32"/>
        </w:rPr>
        <w:t>使用</w:t>
      </w:r>
      <w:r>
        <w:rPr>
          <w:rFonts w:hint="eastAsia" w:ascii="仿宋" w:hAnsi="仿宋" w:eastAsia="仿宋" w:cs="仿宋"/>
          <w:color w:val="000000"/>
          <w:sz w:val="32"/>
          <w:szCs w:val="32"/>
        </w:rPr>
        <w:t>，改善办学条件</w:t>
      </w:r>
      <w:r>
        <w:rPr>
          <w:rFonts w:hint="eastAsia" w:ascii="仿宋" w:hAnsi="仿宋" w:eastAsia="仿宋" w:cs="仿宋"/>
          <w:color w:val="000000"/>
          <w:sz w:val="32"/>
          <w:szCs w:val="32"/>
        </w:rPr>
        <w:t>；宣传贯彻执行国家和省市</w:t>
      </w:r>
      <w:r>
        <w:rPr>
          <w:rFonts w:hint="eastAsia" w:ascii="仿宋" w:hAnsi="仿宋" w:eastAsia="仿宋" w:cs="仿宋"/>
          <w:color w:val="000000"/>
          <w:sz w:val="32"/>
          <w:szCs w:val="32"/>
        </w:rPr>
        <w:t>区</w:t>
      </w:r>
      <w:r>
        <w:rPr>
          <w:rFonts w:hint="eastAsia" w:ascii="仿宋" w:hAnsi="仿宋" w:eastAsia="仿宋" w:cs="仿宋"/>
          <w:color w:val="000000"/>
          <w:sz w:val="32"/>
          <w:szCs w:val="32"/>
        </w:rPr>
        <w:t>有关学生资助工作方针和政策，</w:t>
      </w:r>
      <w:r>
        <w:rPr>
          <w:rFonts w:hint="eastAsia" w:ascii="仿宋" w:hAnsi="仿宋" w:eastAsia="仿宋" w:cs="仿宋"/>
          <w:color w:val="000000"/>
          <w:sz w:val="32"/>
          <w:szCs w:val="32"/>
        </w:rPr>
        <w:t>做好本校</w:t>
      </w:r>
      <w:r>
        <w:rPr>
          <w:rFonts w:hint="eastAsia" w:ascii="仿宋" w:hAnsi="仿宋" w:eastAsia="仿宋" w:cs="仿宋"/>
          <w:color w:val="000000"/>
          <w:sz w:val="32"/>
          <w:szCs w:val="32"/>
        </w:rPr>
        <w:t>贫困家庭学生资助工作。</w:t>
      </w:r>
    </w:p>
    <w:p>
      <w:pPr>
        <w:keepNext w:val="0"/>
        <w:keepLines w:val="0"/>
        <w:pageBreakBefore w:val="0"/>
        <w:kinsoku/>
        <w:wordWrap/>
        <w:overflowPunct/>
        <w:topLinePunct w:val="0"/>
        <w:autoSpaceDE/>
        <w:autoSpaceDN/>
        <w:bidi w:val="0"/>
        <w:snapToGrid w:val="0"/>
        <w:spacing w:line="576"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rPr>
        <w:t>组织适龄儿童入学，严格控辍保学，推进义务教育发展。</w:t>
      </w:r>
    </w:p>
    <w:p>
      <w:pPr>
        <w:keepNext w:val="0"/>
        <w:keepLines w:val="0"/>
        <w:pageBreakBefore w:val="0"/>
        <w:kinsoku/>
        <w:wordWrap/>
        <w:overflowPunct/>
        <w:topLinePunct w:val="0"/>
        <w:autoSpaceDE/>
        <w:autoSpaceDN/>
        <w:bidi w:val="0"/>
        <w:snapToGrid w:val="0"/>
        <w:spacing w:line="576"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color w:val="000000"/>
          <w:sz w:val="32"/>
          <w:szCs w:val="32"/>
        </w:rPr>
        <w:t>组织开展本校的教育教学科研教育教学改革，全力推进素质教育实施，开齐开足课程，努力提高办学质量和办学效益</w:t>
      </w: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snapToGrid w:val="0"/>
        <w:spacing w:line="576"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rPr>
        <w:t>五</w:t>
      </w:r>
      <w:r>
        <w:rPr>
          <w:rFonts w:hint="eastAsia" w:ascii="仿宋" w:hAnsi="仿宋" w:eastAsia="仿宋" w:cs="仿宋"/>
          <w:color w:val="000000"/>
          <w:sz w:val="32"/>
          <w:szCs w:val="32"/>
        </w:rPr>
        <w:t>)</w:t>
      </w:r>
      <w:r>
        <w:rPr>
          <w:rFonts w:hint="eastAsia" w:ascii="仿宋" w:hAnsi="仿宋" w:eastAsia="仿宋" w:cs="仿宋"/>
          <w:color w:val="000000"/>
          <w:sz w:val="32"/>
          <w:szCs w:val="32"/>
        </w:rPr>
        <w:t>按照教职工的编制和管理权限，负责本校教职工的人事管理、继续教育、考核考评工作，</w:t>
      </w:r>
      <w:r>
        <w:rPr>
          <w:rFonts w:hint="eastAsia" w:ascii="仿宋" w:hAnsi="仿宋" w:eastAsia="仿宋" w:cs="仿宋"/>
          <w:color w:val="000000"/>
          <w:sz w:val="32"/>
          <w:szCs w:val="32"/>
        </w:rPr>
        <w:t>推行和实施教师聘任制</w:t>
      </w:r>
      <w:r>
        <w:rPr>
          <w:rFonts w:hint="eastAsia" w:ascii="仿宋" w:hAnsi="仿宋" w:eastAsia="仿宋" w:cs="仿宋"/>
          <w:color w:val="000000"/>
          <w:sz w:val="32"/>
          <w:szCs w:val="32"/>
        </w:rPr>
        <w:t>，完善</w:t>
      </w:r>
      <w:r>
        <w:rPr>
          <w:rFonts w:hint="eastAsia" w:ascii="仿宋" w:hAnsi="仿宋" w:eastAsia="仿宋" w:cs="仿宋"/>
          <w:color w:val="000000"/>
          <w:sz w:val="32"/>
          <w:szCs w:val="32"/>
        </w:rPr>
        <w:t xml:space="preserve">人才队伍建设。 </w:t>
      </w:r>
    </w:p>
    <w:p>
      <w:pPr>
        <w:keepNext w:val="0"/>
        <w:keepLines w:val="0"/>
        <w:pageBreakBefore w:val="0"/>
        <w:kinsoku/>
        <w:wordWrap/>
        <w:overflowPunct/>
        <w:topLinePunct w:val="0"/>
        <w:autoSpaceDE/>
        <w:autoSpaceDN/>
        <w:bidi w:val="0"/>
        <w:snapToGrid w:val="0"/>
        <w:spacing w:line="576" w:lineRule="exact"/>
        <w:ind w:left="0" w:right="0" w:firstLine="480" w:firstLineChars="15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rPr>
        <w:t>五</w:t>
      </w:r>
      <w:r>
        <w:rPr>
          <w:rFonts w:hint="eastAsia" w:ascii="仿宋" w:hAnsi="仿宋" w:eastAsia="仿宋" w:cs="仿宋"/>
          <w:color w:val="000000"/>
          <w:sz w:val="32"/>
          <w:szCs w:val="32"/>
        </w:rPr>
        <w:t xml:space="preserve">)组织教育方面的对外交流与合作、对外宣传。 </w:t>
      </w:r>
    </w:p>
    <w:p>
      <w:pPr>
        <w:keepNext w:val="0"/>
        <w:keepLines w:val="0"/>
        <w:pageBreakBefore w:val="0"/>
        <w:kinsoku/>
        <w:wordWrap/>
        <w:overflowPunct/>
        <w:topLinePunct w:val="0"/>
        <w:autoSpaceDE/>
        <w:autoSpaceDN/>
        <w:bidi w:val="0"/>
        <w:adjustRightInd w:val="0"/>
        <w:spacing w:line="576" w:lineRule="exact"/>
        <w:ind w:left="0" w:right="0" w:firstLine="480" w:firstLineChars="15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(六)承办上级交办的其他事项</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三、预算收支情况说明</w:t>
      </w:r>
    </w:p>
    <w:p>
      <w:pPr>
        <w:keepNext w:val="0"/>
        <w:keepLines w:val="0"/>
        <w:pageBreakBefore w:val="0"/>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广元市利州区七一宝轮小学2021年部门预算收入总数1565.18万元，较2020年部门预算收入总数1506.27万元增长</w:t>
      </w:r>
      <w:r>
        <w:rPr>
          <w:rFonts w:hint="eastAsia" w:ascii="仿宋" w:hAnsi="仿宋" w:eastAsia="仿宋" w:cs="仿宋"/>
          <w:sz w:val="32"/>
          <w:szCs w:val="32"/>
        </w:rPr>
        <w:t>3.</w:t>
      </w:r>
      <w:r>
        <w:rPr>
          <w:rFonts w:hint="eastAsia" w:ascii="仿宋" w:hAnsi="仿宋" w:eastAsia="仿宋" w:cs="仿宋"/>
          <w:sz w:val="32"/>
          <w:szCs w:val="32"/>
        </w:rPr>
        <w:t>91%。2021年部门预算支出总数1565.18万元，较2020年部门预算支出总数1506.27万元增长</w:t>
      </w:r>
      <w:r>
        <w:rPr>
          <w:rFonts w:hint="eastAsia" w:ascii="仿宋" w:hAnsi="仿宋" w:eastAsia="仿宋" w:cs="仿宋"/>
          <w:sz w:val="32"/>
          <w:szCs w:val="32"/>
        </w:rPr>
        <w:t>3.</w:t>
      </w:r>
      <w:r>
        <w:rPr>
          <w:rFonts w:hint="eastAsia" w:ascii="仿宋" w:hAnsi="仿宋" w:eastAsia="仿宋" w:cs="仿宋"/>
          <w:sz w:val="32"/>
          <w:szCs w:val="32"/>
        </w:rPr>
        <w:t>91%。</w:t>
      </w:r>
    </w:p>
    <w:p>
      <w:pPr>
        <w:keepNext w:val="0"/>
        <w:keepLines w:val="0"/>
        <w:pageBreakBefore w:val="0"/>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广元市利州区七一宝轮小学2021年部门基本支出预算总数1565.18万元，其中人员支出1521.65万元，公用经费43.53万元。</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四、财政拨款收支预算情况说明</w:t>
      </w:r>
    </w:p>
    <w:p>
      <w:pPr>
        <w:keepNext w:val="0"/>
        <w:keepLines w:val="0"/>
        <w:pageBreakBefore w:val="0"/>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广元市利州区七一宝轮小学2021年部门预算财政拨款收入总数1565.18万元，较2020年部门预算财政拨款收入总数1506.27万元增长</w:t>
      </w:r>
      <w:r>
        <w:rPr>
          <w:rFonts w:hint="eastAsia" w:ascii="仿宋" w:hAnsi="仿宋" w:eastAsia="仿宋" w:cs="仿宋"/>
          <w:sz w:val="32"/>
          <w:szCs w:val="32"/>
        </w:rPr>
        <w:t>3.</w:t>
      </w:r>
      <w:r>
        <w:rPr>
          <w:rFonts w:hint="eastAsia" w:ascii="仿宋" w:hAnsi="仿宋" w:eastAsia="仿宋" w:cs="仿宋"/>
          <w:sz w:val="32"/>
          <w:szCs w:val="32"/>
        </w:rPr>
        <w:t>91%。2021年部门预算财政拨款支出总数1565.18万元，较2020年部门预算财政拨款支出总数1506.27万元增长</w:t>
      </w:r>
      <w:r>
        <w:rPr>
          <w:rFonts w:hint="eastAsia" w:ascii="仿宋" w:hAnsi="仿宋" w:eastAsia="仿宋" w:cs="仿宋"/>
          <w:sz w:val="32"/>
          <w:szCs w:val="32"/>
        </w:rPr>
        <w:t>3.</w:t>
      </w:r>
      <w:r>
        <w:rPr>
          <w:rFonts w:hint="eastAsia" w:ascii="仿宋" w:hAnsi="仿宋" w:eastAsia="仿宋" w:cs="仿宋"/>
          <w:sz w:val="32"/>
          <w:szCs w:val="32"/>
        </w:rPr>
        <w:t>91%。</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五、一般公共预算当年拨款情况说明</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Style w:val="7"/>
          <w:rFonts w:hint="eastAsia" w:ascii="仿宋" w:hAnsi="仿宋" w:eastAsia="仿宋" w:cs="仿宋"/>
          <w:sz w:val="32"/>
          <w:szCs w:val="32"/>
        </w:rPr>
      </w:pPr>
      <w:r>
        <w:rPr>
          <w:rStyle w:val="7"/>
          <w:rFonts w:hint="eastAsia" w:ascii="楷体" w:hAnsi="楷体" w:eastAsia="楷体" w:cs="楷体"/>
          <w:b w:val="0"/>
          <w:bCs/>
          <w:sz w:val="32"/>
          <w:szCs w:val="32"/>
        </w:rPr>
        <w:t>（一）一般公共预算当年拨款规模变化情况</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2021年一般公共预算当年拨款</w:t>
      </w:r>
      <w:r>
        <w:rPr>
          <w:rFonts w:hint="eastAsia" w:ascii="仿宋" w:hAnsi="仿宋" w:eastAsia="仿宋" w:cs="仿宋"/>
          <w:sz w:val="32"/>
          <w:szCs w:val="32"/>
        </w:rPr>
        <w:t>1565.18</w:t>
      </w:r>
      <w:r>
        <w:rPr>
          <w:rFonts w:hint="eastAsia" w:ascii="仿宋" w:hAnsi="仿宋" w:eastAsia="仿宋" w:cs="仿宋"/>
          <w:sz w:val="32"/>
          <w:szCs w:val="32"/>
        </w:rPr>
        <w:t>万元，比2020年预算数增加</w:t>
      </w:r>
      <w:r>
        <w:rPr>
          <w:rFonts w:hint="eastAsia" w:ascii="仿宋" w:hAnsi="仿宋" w:eastAsia="仿宋" w:cs="仿宋"/>
          <w:sz w:val="32"/>
          <w:szCs w:val="32"/>
        </w:rPr>
        <w:t>58.91</w:t>
      </w:r>
      <w:r>
        <w:rPr>
          <w:rFonts w:hint="eastAsia" w:ascii="仿宋" w:hAnsi="仿宋" w:eastAsia="仿宋" w:cs="仿宋"/>
          <w:sz w:val="32"/>
          <w:szCs w:val="32"/>
        </w:rPr>
        <w:t>万元，主要原因是人员支出预算支出增加。</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Style w:val="7"/>
          <w:rFonts w:hint="eastAsia" w:ascii="楷体" w:hAnsi="楷体" w:eastAsia="楷体" w:cs="楷体"/>
          <w:b w:val="0"/>
          <w:bCs/>
          <w:sz w:val="32"/>
          <w:szCs w:val="32"/>
        </w:rPr>
      </w:pPr>
      <w:r>
        <w:rPr>
          <w:rStyle w:val="7"/>
          <w:rFonts w:hint="eastAsia" w:ascii="楷体" w:hAnsi="楷体" w:eastAsia="楷体" w:cs="楷体"/>
          <w:b w:val="0"/>
          <w:bCs/>
          <w:sz w:val="32"/>
          <w:szCs w:val="32"/>
        </w:rPr>
        <w:t>（二）一般公共预算当年拨款结构情况</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小学教育支出1262.73万元，占</w:t>
      </w:r>
      <w:r>
        <w:rPr>
          <w:rFonts w:hint="eastAsia" w:ascii="仿宋" w:hAnsi="仿宋" w:eastAsia="仿宋" w:cs="仿宋"/>
          <w:sz w:val="32"/>
          <w:szCs w:val="32"/>
        </w:rPr>
        <w:t>81</w:t>
      </w:r>
      <w:r>
        <w:rPr>
          <w:rFonts w:hint="eastAsia" w:ascii="仿宋" w:hAnsi="仿宋" w:eastAsia="仿宋" w:cs="仿宋"/>
          <w:sz w:val="32"/>
          <w:szCs w:val="32"/>
        </w:rPr>
        <w:t>%；社会保障和就业支出134.4万元，占</w:t>
      </w:r>
      <w:r>
        <w:rPr>
          <w:rFonts w:hint="eastAsia" w:ascii="仿宋" w:hAnsi="仿宋" w:eastAsia="仿宋" w:cs="仿宋"/>
          <w:sz w:val="32"/>
          <w:szCs w:val="32"/>
        </w:rPr>
        <w:t>8.5</w:t>
      </w:r>
      <w:r>
        <w:rPr>
          <w:rFonts w:hint="eastAsia" w:ascii="仿宋" w:hAnsi="仿宋" w:eastAsia="仿宋" w:cs="仿宋"/>
          <w:sz w:val="32"/>
          <w:szCs w:val="32"/>
        </w:rPr>
        <w:t>%；卫生健康支出73.78万元，占</w:t>
      </w:r>
      <w:r>
        <w:rPr>
          <w:rFonts w:hint="eastAsia" w:ascii="仿宋" w:hAnsi="仿宋" w:eastAsia="仿宋" w:cs="仿宋"/>
          <w:sz w:val="32"/>
          <w:szCs w:val="32"/>
        </w:rPr>
        <w:t>4.6</w:t>
      </w:r>
      <w:r>
        <w:rPr>
          <w:rFonts w:hint="eastAsia" w:ascii="仿宋" w:hAnsi="仿宋" w:eastAsia="仿宋" w:cs="仿宋"/>
          <w:sz w:val="32"/>
          <w:szCs w:val="32"/>
        </w:rPr>
        <w:t>%；住房保障支出94.24万元，占</w:t>
      </w:r>
      <w:r>
        <w:rPr>
          <w:rFonts w:hint="eastAsia" w:ascii="仿宋" w:hAnsi="仿宋" w:eastAsia="仿宋" w:cs="仿宋"/>
          <w:sz w:val="32"/>
          <w:szCs w:val="32"/>
        </w:rPr>
        <w:t>5.9</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Style w:val="7"/>
          <w:rFonts w:hint="eastAsia" w:ascii="楷体" w:hAnsi="楷体" w:eastAsia="楷体" w:cs="楷体"/>
          <w:b w:val="0"/>
          <w:bCs/>
          <w:sz w:val="32"/>
          <w:szCs w:val="32"/>
        </w:rPr>
      </w:pPr>
      <w:r>
        <w:rPr>
          <w:rStyle w:val="7"/>
          <w:rFonts w:hint="eastAsia" w:ascii="楷体" w:hAnsi="楷体" w:eastAsia="楷体" w:cs="楷体"/>
          <w:b w:val="0"/>
          <w:bCs/>
          <w:sz w:val="32"/>
          <w:szCs w:val="32"/>
        </w:rPr>
        <w:t>（三）一般公共预算当年拨款具体使用情况</w:t>
      </w:r>
    </w:p>
    <w:p>
      <w:pPr>
        <w:keepNext w:val="0"/>
        <w:keepLines w:val="0"/>
        <w:pageBreakBefore w:val="0"/>
        <w:widowControl/>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1.小学教育2021年预算数为1262.73万元，主要用于：教职工基本工资、津贴补贴、退休生活补贴、工会经费、福利费等人员经费。</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2.社会保障和就业（类）行政事业单位离退休（款）未归口管理的行政单位离退休（项）2021年预算数为134.4万元，主要用于：教职工失业、工伤、养老保险等。</w:t>
      </w:r>
    </w:p>
    <w:p>
      <w:pPr>
        <w:keepNext w:val="0"/>
        <w:keepLines w:val="0"/>
        <w:pageBreakBefore w:val="0"/>
        <w:widowControl/>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3.卫生健康支出（类）行政事业单位医疗（款）行政单位医疗（项）2021年预算数为73.78万元，主要用于：事业单位基本医疗保险缴费支出。</w:t>
      </w:r>
    </w:p>
    <w:p>
      <w:pPr>
        <w:keepNext w:val="0"/>
        <w:keepLines w:val="0"/>
        <w:pageBreakBefore w:val="0"/>
        <w:widowControl/>
        <w:kinsoku/>
        <w:wordWrap/>
        <w:overflowPunct/>
        <w:topLinePunct w:val="0"/>
        <w:autoSpaceDE/>
        <w:autoSpaceDN/>
        <w:bidi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5.住房保障（类）住房改革支出（款）住房公积金（项）2021年预算数为94.24万元，主要用于：部门按人力资源和社会保障部、财政部规定的基本工资和津贴补贴以及规定比例为职工缴纳的住房公积金支出。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六、一般公共预算基本支出情况说明</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广元市利州区七一宝轮小学2021年一般公共预算基本支出1565.18万元，其中：人员经费1565.18万元，主要包括：基本工资、津贴补贴、奖金、社会保险缴费等支出，其中对个人和家庭补助支出107.43万元。</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七、“三公”经费财政拨款预算安排情况说明</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2021年财政拨款安排“三公”经费预算,0万元。单位现有公务用车0辆，其中：轿车</w:t>
      </w:r>
      <w:r>
        <w:rPr>
          <w:rFonts w:hint="eastAsia" w:ascii="仿宋" w:hAnsi="仿宋" w:eastAsia="仿宋" w:cs="仿宋"/>
          <w:sz w:val="32"/>
          <w:szCs w:val="32"/>
        </w:rPr>
        <w:t>0</w:t>
      </w:r>
      <w:r>
        <w:rPr>
          <w:rFonts w:hint="eastAsia" w:ascii="仿宋" w:hAnsi="仿宋" w:eastAsia="仿宋" w:cs="仿宋"/>
          <w:sz w:val="32"/>
          <w:szCs w:val="32"/>
        </w:rPr>
        <w:t>辆、越野车</w:t>
      </w:r>
      <w:r>
        <w:rPr>
          <w:rFonts w:hint="eastAsia" w:ascii="仿宋" w:hAnsi="仿宋" w:eastAsia="仿宋" w:cs="仿宋"/>
          <w:sz w:val="32"/>
          <w:szCs w:val="32"/>
        </w:rPr>
        <w:t>0</w:t>
      </w:r>
      <w:r>
        <w:rPr>
          <w:rFonts w:hint="eastAsia" w:ascii="仿宋" w:hAnsi="仿宋" w:eastAsia="仿宋" w:cs="仿宋"/>
          <w:sz w:val="32"/>
          <w:szCs w:val="32"/>
        </w:rPr>
        <w:t>辆、其他乘用车</w:t>
      </w:r>
      <w:r>
        <w:rPr>
          <w:rFonts w:hint="eastAsia" w:ascii="仿宋" w:hAnsi="仿宋" w:eastAsia="仿宋" w:cs="仿宋"/>
          <w:sz w:val="32"/>
          <w:szCs w:val="32"/>
        </w:rPr>
        <w:t>0</w:t>
      </w:r>
      <w:r>
        <w:rPr>
          <w:rFonts w:hint="eastAsia" w:ascii="仿宋" w:hAnsi="仿宋" w:eastAsia="仿宋" w:cs="仿宋"/>
          <w:sz w:val="32"/>
          <w:szCs w:val="32"/>
        </w:rPr>
        <w:t>辆。</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八、政府性基金预算支出情况说明</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广元市利州区七一宝轮小学2021年没有使用政府性基金预算拨款安排的支出。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九、国有资本经营预算支出情况说明</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广元市利州区七一宝轮小学2021年没有使用国有资本经营预算拨款安排的支出。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十、其他重要事项的情况说明</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Style w:val="7"/>
          <w:rFonts w:hint="eastAsia" w:ascii="仿宋" w:hAnsi="仿宋" w:eastAsia="仿宋" w:cs="仿宋"/>
          <w:sz w:val="32"/>
          <w:szCs w:val="32"/>
        </w:rPr>
      </w:pPr>
      <w:r>
        <w:rPr>
          <w:rStyle w:val="7"/>
          <w:rFonts w:hint="eastAsia" w:ascii="楷体" w:hAnsi="楷体" w:eastAsia="楷体" w:cs="楷体"/>
          <w:b w:val="0"/>
          <w:bCs/>
          <w:sz w:val="32"/>
          <w:szCs w:val="32"/>
        </w:rPr>
        <w:t>（一）政府采购情况</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2021年，广元市利州区七一宝轮小学自筹资金安排政府采购预算27.9万元，主要用于采购办公设备。</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Style w:val="7"/>
          <w:rFonts w:hint="eastAsia" w:ascii="楷体" w:hAnsi="楷体" w:eastAsia="楷体" w:cs="楷体"/>
          <w:b w:val="0"/>
          <w:bCs/>
          <w:sz w:val="32"/>
          <w:szCs w:val="32"/>
        </w:rPr>
      </w:pPr>
      <w:r>
        <w:rPr>
          <w:rStyle w:val="7"/>
          <w:rFonts w:hint="eastAsia" w:ascii="楷体" w:hAnsi="楷体" w:eastAsia="楷体" w:cs="楷体"/>
          <w:b w:val="0"/>
          <w:bCs/>
          <w:sz w:val="32"/>
          <w:szCs w:val="32"/>
        </w:rPr>
        <w:t>（</w:t>
      </w:r>
      <w:r>
        <w:rPr>
          <w:rStyle w:val="7"/>
          <w:rFonts w:hint="eastAsia" w:ascii="楷体" w:hAnsi="楷体" w:eastAsia="楷体" w:cs="楷体"/>
          <w:b w:val="0"/>
          <w:bCs/>
          <w:sz w:val="32"/>
          <w:szCs w:val="32"/>
          <w:lang w:eastAsia="zh-CN"/>
        </w:rPr>
        <w:t>二</w:t>
      </w:r>
      <w:r>
        <w:rPr>
          <w:rStyle w:val="7"/>
          <w:rFonts w:hint="eastAsia" w:ascii="楷体" w:hAnsi="楷体" w:eastAsia="楷体" w:cs="楷体"/>
          <w:b w:val="0"/>
          <w:bCs/>
          <w:sz w:val="32"/>
          <w:szCs w:val="32"/>
        </w:rPr>
        <w:t>）国有资产占有使用情况</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2021年部门预算未安排(安排）购置车辆及单位价值20万元以上大型设备。</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Style w:val="7"/>
          <w:rFonts w:hint="eastAsia" w:ascii="楷体" w:hAnsi="楷体" w:eastAsia="楷体" w:cs="楷体"/>
          <w:b w:val="0"/>
          <w:bCs/>
          <w:sz w:val="32"/>
          <w:szCs w:val="32"/>
        </w:rPr>
      </w:pPr>
      <w:r>
        <w:rPr>
          <w:rStyle w:val="7"/>
          <w:rFonts w:hint="eastAsia" w:ascii="楷体" w:hAnsi="楷体" w:eastAsia="楷体" w:cs="楷体"/>
          <w:b w:val="0"/>
          <w:bCs/>
          <w:sz w:val="32"/>
          <w:szCs w:val="32"/>
        </w:rPr>
        <w:t>（</w:t>
      </w:r>
      <w:r>
        <w:rPr>
          <w:rStyle w:val="7"/>
          <w:rFonts w:hint="eastAsia" w:ascii="楷体" w:hAnsi="楷体" w:eastAsia="楷体" w:cs="楷体"/>
          <w:b w:val="0"/>
          <w:bCs/>
          <w:sz w:val="32"/>
          <w:szCs w:val="32"/>
          <w:lang w:eastAsia="zh-CN"/>
        </w:rPr>
        <w:t>三</w:t>
      </w:r>
      <w:r>
        <w:rPr>
          <w:rStyle w:val="7"/>
          <w:rFonts w:hint="eastAsia" w:ascii="楷体" w:hAnsi="楷体" w:eastAsia="楷体" w:cs="楷体"/>
          <w:b w:val="0"/>
          <w:bCs/>
          <w:sz w:val="32"/>
          <w:szCs w:val="32"/>
        </w:rPr>
        <w:t>）绩效目标设置情况</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目标是预算编制的前提和基础，按照“费随事定”的原则，2021年广元市利州区七一宝轮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十一、名词解释</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（一）一般公共预算拨款收入：指区级财政当年拨付的资金。</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（二）上年结转：指以前年度尚未完成，结转到本年仍按原规定用途继续使用的资金。</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（三）一般公共服务（类）财政事务（款）行政运行（项）：指局机关及参公管理事业单位用于保障机构正常运行、开展日常工作的基本支出。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pacing w:line="576" w:lineRule="exact"/>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广元市利州区七一宝轮小学</w:t>
      </w:r>
    </w:p>
    <w:p>
      <w:pPr>
        <w:keepNext w:val="0"/>
        <w:keepLines w:val="0"/>
        <w:pageBreakBefore w:val="0"/>
        <w:kinsoku/>
        <w:wordWrap/>
        <w:overflowPunct/>
        <w:topLinePunct w:val="0"/>
        <w:autoSpaceDE/>
        <w:autoSpaceDN/>
        <w:bidi w:val="0"/>
        <w:adjustRightInd w:val="0"/>
        <w:spacing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2021年3月29日</w:t>
      </w:r>
    </w:p>
    <w:sectPr>
      <w:footerReference r:id="rId3" w:type="default"/>
      <w:pgSz w:w="11906" w:h="16838"/>
      <w:pgMar w:top="1701" w:right="1474" w:bottom="1701" w:left="1587"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jFkYzlmOTc4YmRhZmY2YTBjOWZhYzBiYjQyMzAifQ=="/>
  </w:docVars>
  <w:rsids>
    <w:rsidRoot w:val="004F514A"/>
    <w:rsid w:val="000234F0"/>
    <w:rsid w:val="000B2ED0"/>
    <w:rsid w:val="000C62AF"/>
    <w:rsid w:val="000F7E8B"/>
    <w:rsid w:val="0012484D"/>
    <w:rsid w:val="0019321F"/>
    <w:rsid w:val="0020247B"/>
    <w:rsid w:val="00204A7A"/>
    <w:rsid w:val="0022790D"/>
    <w:rsid w:val="0024385F"/>
    <w:rsid w:val="0026122B"/>
    <w:rsid w:val="00312142"/>
    <w:rsid w:val="00340E92"/>
    <w:rsid w:val="003A690F"/>
    <w:rsid w:val="003F084C"/>
    <w:rsid w:val="0042298F"/>
    <w:rsid w:val="004C01BC"/>
    <w:rsid w:val="004F514A"/>
    <w:rsid w:val="005F00A5"/>
    <w:rsid w:val="006669E2"/>
    <w:rsid w:val="007D2FDC"/>
    <w:rsid w:val="007E0D7C"/>
    <w:rsid w:val="008248D9"/>
    <w:rsid w:val="008352DC"/>
    <w:rsid w:val="0086021F"/>
    <w:rsid w:val="00886C02"/>
    <w:rsid w:val="009073AE"/>
    <w:rsid w:val="009F5919"/>
    <w:rsid w:val="00A565DC"/>
    <w:rsid w:val="00A923C1"/>
    <w:rsid w:val="00B72696"/>
    <w:rsid w:val="00C06BFD"/>
    <w:rsid w:val="00CD4B04"/>
    <w:rsid w:val="00CE5135"/>
    <w:rsid w:val="00D33725"/>
    <w:rsid w:val="00E14578"/>
    <w:rsid w:val="00F724EF"/>
    <w:rsid w:val="00FB1A43"/>
    <w:rsid w:val="00FD1EE3"/>
    <w:rsid w:val="00FD2341"/>
    <w:rsid w:val="012E766D"/>
    <w:rsid w:val="044F5BC4"/>
    <w:rsid w:val="072B57D2"/>
    <w:rsid w:val="099A6EBD"/>
    <w:rsid w:val="0B974E68"/>
    <w:rsid w:val="0E1168EA"/>
    <w:rsid w:val="0ED54B8C"/>
    <w:rsid w:val="120A3F80"/>
    <w:rsid w:val="160776AB"/>
    <w:rsid w:val="1A4B3E10"/>
    <w:rsid w:val="1E5A22BE"/>
    <w:rsid w:val="1ED53AE3"/>
    <w:rsid w:val="1F746947"/>
    <w:rsid w:val="237F1682"/>
    <w:rsid w:val="24C90A2A"/>
    <w:rsid w:val="25C96B17"/>
    <w:rsid w:val="260A4F3C"/>
    <w:rsid w:val="2DBA1E53"/>
    <w:rsid w:val="30806273"/>
    <w:rsid w:val="43644D8C"/>
    <w:rsid w:val="45BE2AED"/>
    <w:rsid w:val="46BD5DEF"/>
    <w:rsid w:val="5393056D"/>
    <w:rsid w:val="55860D15"/>
    <w:rsid w:val="578919DC"/>
    <w:rsid w:val="600105C9"/>
    <w:rsid w:val="67D245BF"/>
    <w:rsid w:val="69FA6525"/>
    <w:rsid w:val="6D217711"/>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2481</Words>
  <Characters>2732</Characters>
  <Lines>20</Lines>
  <Paragraphs>5</Paragraphs>
  <TotalTime>6</TotalTime>
  <ScaleCrop>false</ScaleCrop>
  <LinksUpToDate>false</LinksUpToDate>
  <CharactersWithSpaces>2838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2022-06-14T11:11:57Z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809E8C14F9644FFDAC700070F6047A24</vt:lpwstr>
  </property>
</Properties>
</file>