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广元市利州区杨家浩小学</w:t>
      </w: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2021年部门预算情况说明</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一、基本情况</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广元市利州区杨家浩小学编制32人，实有在编人数32人，退休教师16人。固定资产总额405万元。 </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二、主要职能职责</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实施幼儿、小学教育，促进基础教育发展。</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三、预算收支情况说明</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广元市利州区杨家浩小学2021年部门预算收入总数425.66万元，较2020年部门预算收入总数595.32万元增长-28.5%。2021年部门预算支出总数425.66万元，较2020年部门预算支出总数535.61万元增长-20.5%。</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广元市利州区杨家浩小学2021年部门基本支出预算总数425.66万元，其中人员支出390.02万元，公用支出12.05万元，对家庭和个人补助支出23.60万元。</w:t>
      </w:r>
    </w:p>
    <w:p>
      <w:pPr>
        <w:keepNext w:val="0"/>
        <w:keepLines w:val="0"/>
        <w:pageBreakBefore w:val="0"/>
        <w:widowControl w:val="0"/>
        <w:kinsoku/>
        <w:overflowPunct/>
        <w:topLinePunct w:val="0"/>
        <w:autoSpaceDE/>
        <w:autoSpaceDN/>
        <w:bidi w:val="0"/>
        <w:snapToGrid w:val="0"/>
        <w:spacing w:line="536" w:lineRule="exact"/>
        <w:ind w:firstLine="640" w:firstLineChars="200"/>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广元市利州区杨家浩小学2021年部门预算安排专项资金0万元（明细项目见附表）。</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xml:space="preserve"> 四、财政拨款收支预算情况说明</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杨家浩小学机关2021年部门预算财政拨款收入总数425.66万元，较2020年部门预算财政拨款收入总数595.32万元增长-28.5%。2021年部门预算财政拨款支出总数425.66万元，较2020年部门预算财政拨款支出总数535.61万元增长-20.5%。</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楷体" w:hAnsi="楷体" w:eastAsia="楷体" w:cs="楷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五、一般公共预算当年拨款情况说明</w:t>
      </w:r>
      <w:r>
        <w:rPr>
          <w:rFonts w:hint="eastAsia" w:ascii="黑体" w:hAnsi="黑体" w:eastAsia="黑体" w:cs="黑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color w:val="000000" w:themeColor="text1"/>
          <w:sz w:val="32"/>
          <w:szCs w:val="32"/>
          <w14:textFill>
            <w14:solidFill>
              <w14:schemeClr w14:val="tx1"/>
            </w14:solidFill>
          </w14:textFill>
        </w:rPr>
        <w:t>（一）一般公共预算当年拨款规模变化情况</w:t>
      </w:r>
      <w:r>
        <w:rPr>
          <w:rStyle w:val="7"/>
          <w:rFonts w:hint="eastAsia" w:ascii="楷体" w:hAnsi="楷体" w:eastAsia="楷体" w:cs="楷体"/>
          <w:b w:val="0"/>
          <w:bCs/>
          <w:color w:val="000000" w:themeColor="text1"/>
          <w:sz w:val="32"/>
          <w:szCs w:val="32"/>
          <w14:textFill>
            <w14:solidFill>
              <w14:schemeClr w14:val="tx1"/>
            </w14:solidFill>
          </w14:textFill>
        </w:rPr>
        <w:br w:type="textWrapping"/>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2021年一般公共预算当年拨款425.66万元，比2020年预算数减少169.66万元，主要原因是人员支出预算减少。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color w:val="000000" w:themeColor="text1"/>
          <w:sz w:val="32"/>
          <w:szCs w:val="32"/>
          <w14:textFill>
            <w14:solidFill>
              <w14:schemeClr w14:val="tx1"/>
            </w14:solidFill>
          </w14:textFill>
        </w:rPr>
        <w:t>　　（二）一般公共预算当年拨款结构情况</w:t>
      </w:r>
      <w:r>
        <w:rPr>
          <w:rFonts w:hint="eastAsia" w:ascii="楷体" w:hAnsi="楷体" w:eastAsia="楷体" w:cs="楷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行政运行及教育支出425.66万元，占100%；社会保障和就业支出39.85万元，占9.2%；卫生健康支出21.17万元，占5.0%；住房保障支出27.93万元，占6.6%。</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color w:val="000000" w:themeColor="text1"/>
          <w:sz w:val="32"/>
          <w:szCs w:val="32"/>
          <w14:textFill>
            <w14:solidFill>
              <w14:schemeClr w14:val="tx1"/>
            </w14:solidFill>
          </w14:textFill>
        </w:rPr>
        <w:t>　　（三）一般公共预算当年拨款具体使用情况</w:t>
      </w:r>
    </w:p>
    <w:p>
      <w:pPr>
        <w:keepNext w:val="0"/>
        <w:keepLines w:val="0"/>
        <w:pageBreakBefore w:val="0"/>
        <w:widowControl w:val="0"/>
        <w:kinsoku/>
        <w:overflowPunct/>
        <w:topLinePunct w:val="0"/>
        <w:autoSpaceDE/>
        <w:autoSpaceDN/>
        <w:bidi w:val="0"/>
        <w:adjustRightInd w:val="0"/>
        <w:snapToGrid w:val="0"/>
        <w:spacing w:line="536" w:lineRule="exact"/>
        <w:ind w:left="0" w:leftChars="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一般公共服务（类）财政事务（款）行政运行（项）2021年预算数为425.66万元，主要用于：学校正常运转的基本支出，包括基本工资、津贴补贴、基础绩效奖等人员经费以及工会经费、福利费等日常公用经费,保障部门正常运转。</w:t>
      </w:r>
    </w:p>
    <w:p>
      <w:pPr>
        <w:keepNext w:val="0"/>
        <w:keepLines w:val="0"/>
        <w:pageBreakBefore w:val="0"/>
        <w:widowControl w:val="0"/>
        <w:kinsoku/>
        <w:overflowPunct/>
        <w:topLinePunct w:val="0"/>
        <w:autoSpaceDE/>
        <w:autoSpaceDN/>
        <w:bidi w:val="0"/>
        <w:adjustRightInd w:val="0"/>
        <w:snapToGrid w:val="0"/>
        <w:spacing w:line="536" w:lineRule="exact"/>
        <w:ind w:left="0" w:leftChars="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2.教育（类）进修及培训（款）培训支出（项）2021年预算数为0万元，主要用于：在职人员参加外部培训等经费支出。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3.社会保障和就业（类）行政事业单位离退休（款）未归口管理的行政单位离退休（项）2021年预算数为39.85万元，主要用于：学校基本养老保险、</w:t>
      </w:r>
      <w:r>
        <w:rPr>
          <w:rFonts w:hint="eastAsia" w:ascii="仿宋" w:hAnsi="仿宋" w:eastAsia="仿宋" w:cs="仿宋"/>
          <w:color w:val="000000" w:themeColor="text1"/>
          <w:sz w:val="32"/>
          <w:szCs w:val="32"/>
          <w14:textFill>
            <w14:solidFill>
              <w14:schemeClr w14:val="tx1"/>
            </w14:solidFill>
          </w14:textFill>
        </w:rPr>
        <w:t>工伤、失业等社保缴费支出。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4.卫生健康支出（类）行政事业单位医疗（款）行政单位医疗（项）2021年预算数为21.17万元，主要用于：学校基本医疗保险缴费支出。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5.住房保障（类）住房改革支出（款）住房公积金（项）2021年预算数为27.93万元，主要用于：部门按人力资源和社会保障部、财政部规定的基本工资和津贴补贴以及规定比例为职工缴纳的住房公积金支出。</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六、一般公共预算基本支出情况说明</w:t>
      </w:r>
      <w:r>
        <w:rPr>
          <w:rFonts w:hint="eastAsia" w:ascii="黑体" w:hAnsi="黑体" w:eastAsia="黑体" w:cs="黑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广元市利州区杨家浩小学2021年一般公共预算基本支出425.66万元，其中：人员经费39.00万元，主要包括：基本工资、津贴补贴、奖金、社会保险缴费等支出。公用经费12.06万元，主要包括：办公费、水费、电费、邮电费、印刷费、差旅费、维修（护）费、物业管理费、劳务费等支出。对个人和家庭补助支出23.60万元。</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14:textFill>
            <w14:solidFill>
              <w14:schemeClr w14:val="tx1"/>
            </w14:solidFill>
          </w14:textFill>
        </w:rPr>
        <w:t>　　七、“三公”经费财政拨款预算安排情况说明</w:t>
      </w:r>
      <w:r>
        <w:rPr>
          <w:rFonts w:hint="eastAsia" w:ascii="黑体" w:hAnsi="黑体" w:eastAsia="黑体" w:cs="黑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2021年财政拨款安排“三公”经费预算0万元。</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单位现有公务用车0辆，其中：轿车0辆、越野车0辆、其他乘用车0辆。</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2021年未安排公务用车购置费。</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2021年安排公务用车运行维护费0万元。</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14:textFill>
            <w14:solidFill>
              <w14:schemeClr w14:val="tx1"/>
            </w14:solidFill>
          </w14:textFill>
        </w:rPr>
        <w:t>　　八、政府性基金预算支出情况说明</w:t>
      </w:r>
      <w:r>
        <w:rPr>
          <w:rFonts w:hint="eastAsia" w:ascii="黑体" w:hAnsi="黑体" w:eastAsia="黑体" w:cs="黑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广元市利州区杨家浩小学2021年没有使用政府性基金预算拨款安排的支出。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14:textFill>
            <w14:solidFill>
              <w14:schemeClr w14:val="tx1"/>
            </w14:solidFill>
          </w14:textFill>
        </w:rPr>
        <w:t>　　九、国有资本经营预算支出情况说明</w:t>
      </w:r>
      <w:r>
        <w:rPr>
          <w:rFonts w:hint="eastAsia" w:ascii="黑体" w:hAnsi="黑体" w:eastAsia="黑体" w:cs="黑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广元市利州区杨家浩小学2021年没有使用国有资本经营预算拨款安排的支出。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14:textFill>
            <w14:solidFill>
              <w14:schemeClr w14:val="tx1"/>
            </w14:solidFill>
          </w14:textFill>
        </w:rPr>
        <w:t>　　十、其他重要事项的情况说明</w:t>
      </w:r>
      <w:r>
        <w:rPr>
          <w:rFonts w:hint="eastAsia" w:ascii="黑体" w:hAnsi="黑体" w:eastAsia="黑体" w:cs="黑体"/>
          <w:b w:val="0"/>
          <w:bCs/>
          <w:color w:val="000000" w:themeColor="text1"/>
          <w:sz w:val="32"/>
          <w:szCs w:val="32"/>
          <w14:textFill>
            <w14:solidFill>
              <w14:schemeClr w14:val="tx1"/>
            </w14:solidFill>
          </w14:textFill>
        </w:rPr>
        <w:br w:type="textWrapping"/>
      </w:r>
      <w:r>
        <w:rPr>
          <w:rFonts w:hint="eastAsia" w:ascii="楷体" w:hAnsi="楷体" w:eastAsia="楷体" w:cs="楷体"/>
          <w:b w:val="0"/>
          <w:bCs/>
          <w:color w:val="000000" w:themeColor="text1"/>
          <w:sz w:val="32"/>
          <w:szCs w:val="32"/>
          <w14:textFill>
            <w14:solidFill>
              <w14:schemeClr w14:val="tx1"/>
            </w14:solidFill>
          </w14:textFill>
        </w:rPr>
        <w:t>　　（一）政府采购情况</w:t>
      </w:r>
      <w:r>
        <w:rPr>
          <w:rFonts w:hint="eastAsia" w:ascii="楷体" w:hAnsi="楷体" w:eastAsia="楷体" w:cs="楷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2021年，杨家浩小学未安排政府采购预算。</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黑体" w:hAnsi="黑体" w:eastAsia="黑体" w:cs="黑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（二）国有资产占有使用情况</w:t>
      </w:r>
      <w:r>
        <w:rPr>
          <w:rFonts w:hint="eastAsia" w:ascii="楷体" w:hAnsi="楷体" w:eastAsia="楷体" w:cs="楷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截至2021年底，杨家浩小学无车辆。</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2021年部门预算未安排(安排）购置车辆及单位价值20万元以上大型设备。</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color w:val="000000" w:themeColor="text1"/>
          <w:sz w:val="32"/>
          <w:szCs w:val="32"/>
          <w14:textFill>
            <w14:solidFill>
              <w14:schemeClr w14:val="tx1"/>
            </w14:solidFill>
          </w14:textFill>
        </w:rPr>
        <w:t>　　（三）绩效目标设置情况</w:t>
      </w:r>
      <w:r>
        <w:rPr>
          <w:rFonts w:hint="eastAsia" w:ascii="楷体" w:hAnsi="楷体" w:eastAsia="楷体" w:cs="楷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绩效目标是预算编制的前提和基础，按照“费随事定”的原则，2021年广元市利州区杨家浩小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14:textFill>
            <w14:solidFill>
              <w14:schemeClr w14:val="tx1"/>
            </w14:solidFill>
          </w14:textFill>
        </w:rPr>
        <w:t>　　十一、名词解释</w:t>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（一）一般公共预算拨款收入：指区级财政当年拨付的资金。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（二）上年结转：指以前年度尚未完成，结转到本年仍按原规定用途继续使用的资金。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（三）一般公共服务（类）财政事务（款）行政运行（项）：指局机关及参公管理事业单位用于保障机构正常运行、开展日常工作的基本支出。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（四）社会保障和就业（类）行政事业单位离退休（款）未归口管理的行政单位离退休（项）：指局机关离退休人员的支出。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（六）社会保障和就业（类）行政事业单位离退休（款）机关事业单位职业年金缴费支出（项）：指部门实施养老保险制度由单位缴纳的职业年金的支出。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（七）卫生健康（类）行政事业单位医疗（款）行政单位医疗（项）：指局机关及参公管理事业单位用于缴纳单位基本医疗</w:t>
      </w:r>
      <w:bookmarkStart w:id="0" w:name="_GoBack"/>
      <w:bookmarkEnd w:id="0"/>
      <w:r>
        <w:rPr>
          <w:rFonts w:hint="eastAsia" w:ascii="仿宋" w:hAnsi="仿宋" w:eastAsia="仿宋" w:cs="仿宋"/>
          <w:color w:val="000000" w:themeColor="text1"/>
          <w:sz w:val="32"/>
          <w:szCs w:val="32"/>
          <w14:textFill>
            <w14:solidFill>
              <w14:schemeClr w14:val="tx1"/>
            </w14:solidFill>
          </w14:textFill>
        </w:rPr>
        <w:t>保险支出。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（八）卫生健康（类）行政事业单位医疗（款）事业单位医疗（项）：指事业单位用于缴纳单位基本医疗保险支出。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（九）住房保障（类）住房改革支出（款）住房公积金（项）：指按照《住房公积金管理条例》的规定，由单位及其在职职工缴存的长期住房储金。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（十）基本支出：指为保证机构正常运转，完成日常工作任务而发生的人员支出和公用支出。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（十一）项目支出：指在基本支出之外为完成特定行政任务和事业发展目标所发生的支出。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十二）“三公”经费：纳入区杨家浩小学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color w:val="000000" w:themeColor="text1"/>
          <w:sz w:val="32"/>
          <w:szCs w:val="32"/>
          <w14:textFill>
            <w14:solidFill>
              <w14:schemeClr w14:val="tx1"/>
            </w14:solidFill>
          </w14:textFill>
        </w:rPr>
        <w:br w:type="textWrapping"/>
      </w: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snapToGrid w:val="0"/>
        <w:spacing w:line="536" w:lineRule="exact"/>
        <w:ind w:left="0" w:leftChars="0" w:firstLine="640" w:firstLineChars="200"/>
        <w:textAlignment w:val="baseline"/>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snapToGrid w:val="0"/>
        <w:spacing w:line="536" w:lineRule="exact"/>
        <w:ind w:firstLine="4480" w:firstLineChars="14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广元市利州区杨家浩小学</w:t>
      </w:r>
    </w:p>
    <w:p>
      <w:pPr>
        <w:keepNext w:val="0"/>
        <w:keepLines w:val="0"/>
        <w:pageBreakBefore w:val="0"/>
        <w:widowControl w:val="0"/>
        <w:kinsoku/>
        <w:wordWrap/>
        <w:overflowPunct/>
        <w:topLinePunct w:val="0"/>
        <w:autoSpaceDE/>
        <w:autoSpaceDN/>
        <w:bidi w:val="0"/>
        <w:snapToGrid w:val="0"/>
        <w:spacing w:line="536" w:lineRule="exact"/>
        <w:ind w:left="0" w:leftChars="0" w:firstLine="640" w:firstLineChars="200"/>
        <w:jc w:val="left"/>
        <w:rPr>
          <w:rFonts w:ascii="仿宋_GB2312" w:eastAsia="仿宋_GB2312"/>
          <w:sz w:val="32"/>
          <w:szCs w:val="32"/>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2021年3月29日  </w:t>
      </w:r>
    </w:p>
    <w:p>
      <w:pPr>
        <w:ind w:firstLine="560" w:firstLineChars="200"/>
        <w:jc w:val="right"/>
        <w:textAlignment w:val="baseline"/>
        <w:rPr>
          <w:color w:val="000000"/>
          <w:sz w:val="28"/>
          <w:szCs w:val="28"/>
        </w:rPr>
      </w:pP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jFkYzlmOTc4YmRhZmY2YTBjOWZhYzBiYjQyMzAifQ=="/>
  </w:docVars>
  <w:rsids>
    <w:rsidRoot w:val="004F514A"/>
    <w:rsid w:val="000234F0"/>
    <w:rsid w:val="000F7E8B"/>
    <w:rsid w:val="0012484D"/>
    <w:rsid w:val="0019321F"/>
    <w:rsid w:val="001B5E67"/>
    <w:rsid w:val="002002DA"/>
    <w:rsid w:val="0020247B"/>
    <w:rsid w:val="00204A7A"/>
    <w:rsid w:val="0022790D"/>
    <w:rsid w:val="0024385F"/>
    <w:rsid w:val="0026122B"/>
    <w:rsid w:val="002D1E95"/>
    <w:rsid w:val="00312142"/>
    <w:rsid w:val="003A690F"/>
    <w:rsid w:val="003F084C"/>
    <w:rsid w:val="004C01BC"/>
    <w:rsid w:val="004F514A"/>
    <w:rsid w:val="00563D55"/>
    <w:rsid w:val="006669E2"/>
    <w:rsid w:val="006A476B"/>
    <w:rsid w:val="006A7B11"/>
    <w:rsid w:val="007359EB"/>
    <w:rsid w:val="007D2FDC"/>
    <w:rsid w:val="007E0D7C"/>
    <w:rsid w:val="0086021F"/>
    <w:rsid w:val="00886C02"/>
    <w:rsid w:val="009073AE"/>
    <w:rsid w:val="00A565DC"/>
    <w:rsid w:val="00A923C1"/>
    <w:rsid w:val="00AC2EAA"/>
    <w:rsid w:val="00B119AC"/>
    <w:rsid w:val="00B84337"/>
    <w:rsid w:val="00C06BFD"/>
    <w:rsid w:val="00C94ABD"/>
    <w:rsid w:val="00CD4B04"/>
    <w:rsid w:val="00CE5135"/>
    <w:rsid w:val="00D33725"/>
    <w:rsid w:val="00E14578"/>
    <w:rsid w:val="00EA4825"/>
    <w:rsid w:val="00FB1A43"/>
    <w:rsid w:val="00FD2341"/>
    <w:rsid w:val="012E766D"/>
    <w:rsid w:val="044F5BC4"/>
    <w:rsid w:val="099A6EBD"/>
    <w:rsid w:val="0B974E68"/>
    <w:rsid w:val="0E1168EA"/>
    <w:rsid w:val="0ED54B8C"/>
    <w:rsid w:val="160776AB"/>
    <w:rsid w:val="1A4B3E10"/>
    <w:rsid w:val="1ED53AE3"/>
    <w:rsid w:val="1F746947"/>
    <w:rsid w:val="237F1682"/>
    <w:rsid w:val="243334D6"/>
    <w:rsid w:val="24C90A2A"/>
    <w:rsid w:val="25C96B17"/>
    <w:rsid w:val="260A4F3C"/>
    <w:rsid w:val="2DBA1E53"/>
    <w:rsid w:val="30806273"/>
    <w:rsid w:val="43644D8C"/>
    <w:rsid w:val="45BE2AED"/>
    <w:rsid w:val="48585ED2"/>
    <w:rsid w:val="55860D15"/>
    <w:rsid w:val="578919DC"/>
    <w:rsid w:val="600105C9"/>
    <w:rsid w:val="67D245BF"/>
    <w:rsid w:val="69B66A26"/>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2359</Words>
  <Characters>2609</Characters>
  <Lines>19</Lines>
  <Paragraphs>5</Paragraphs>
  <TotalTime>10</TotalTime>
  <ScaleCrop>false</ScaleCrop>
  <LinksUpToDate>false</LinksUpToDate>
  <CharactersWithSpaces>2727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2022-06-14T10:29:33Z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32FDDDCB821C4A1B94BD6FD91E450D03</vt:lpwstr>
  </property>
</Properties>
</file>