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广元市利州区民族小学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spacing w:line="520" w:lineRule="exact"/>
        <w:ind w:firstLine="643" w:firstLineChars="200"/>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黑体" w:hAnsi="黑体" w:eastAsia="黑体"/>
          <w:b w:val="0"/>
          <w:bCs/>
          <w:sz w:val="32"/>
          <w:szCs w:val="32"/>
        </w:rPr>
      </w:pPr>
      <w:r>
        <w:rPr>
          <w:rFonts w:hint="eastAsia" w:ascii="黑体" w:hAnsi="黑体" w:eastAsia="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广元市利州区民族小学隶属广元市利州区教育局下属二级预算单位，学校编制25名，其中事业编制23名。在职人员总数24人，事业人员23人，退休人员36人。</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黑体" w:hAnsi="黑体" w:eastAsia="黑体"/>
          <w:b w:val="0"/>
          <w:bCs/>
          <w:sz w:val="32"/>
          <w:szCs w:val="32"/>
        </w:rPr>
      </w:pPr>
      <w:r>
        <w:rPr>
          <w:rFonts w:hint="eastAsia" w:ascii="黑体" w:hAnsi="黑体" w:eastAsia="黑体"/>
          <w:b w:val="0"/>
          <w:bCs/>
          <w:sz w:val="32"/>
          <w:szCs w:val="32"/>
        </w:rPr>
        <w:t>二、主要职能职责</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(一)负责教育经费的统筹管理和合理使用，改善办学条件；宣传贯彻执行国家和省市区有关学生资助工作方针和政策，做好本校贫困家庭学生资助工作。</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(二)组织开展本校的教育教学科研教育教学改革，全力推进素质教育实施，开齐开足课程，努力提高办学质量和办学效益。</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(三)按照教职工的编制和管理权限，负责本校教职工的人事管理、继续教育、考核考评工作，推行和实施教师聘任制，完善人才队伍建设。</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黑体" w:hAnsi="黑体" w:eastAsia="黑体"/>
          <w:b w:val="0"/>
          <w:bCs/>
          <w:sz w:val="32"/>
          <w:szCs w:val="32"/>
        </w:rPr>
      </w:pPr>
      <w:r>
        <w:rPr>
          <w:rFonts w:hint="eastAsia" w:ascii="黑体" w:hAnsi="黑体" w:eastAsia="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广元市利州区民族小学2021年部门预算收入总数407.16万元，较2020年部门预算收入总数396.22万元增加2.76%。2021年部门预算支出总数407.1</w:t>
      </w:r>
      <w:bookmarkStart w:id="0" w:name="_GoBack"/>
      <w:bookmarkEnd w:id="0"/>
      <w:r>
        <w:rPr>
          <w:rFonts w:hint="eastAsia" w:ascii="仿宋_GB2312" w:eastAsia="仿宋_GB2312"/>
          <w:b w:val="0"/>
          <w:bCs/>
          <w:sz w:val="32"/>
          <w:szCs w:val="32"/>
        </w:rPr>
        <w:t>6万元，较2020年部门预算支出总数396.22万元，增加2.76%。</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广元市利州区民族小学2021年部门基本支出预算总数407.16万元，其中人员支出340.53万元，公用支出13.32万元。</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黑体" w:hAnsi="黑体" w:eastAsia="黑体"/>
          <w:b w:val="0"/>
          <w:bCs/>
          <w:sz w:val="32"/>
          <w:szCs w:val="32"/>
        </w:rPr>
      </w:pPr>
      <w:r>
        <w:rPr>
          <w:rFonts w:hint="eastAsia" w:ascii="黑体" w:hAnsi="黑体" w:eastAsia="黑体"/>
          <w:b w:val="0"/>
          <w:bCs/>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广元市利州区民族小学2021年部门预算收入总数407.16万元，较2020年部门预算收入总数396.22万元，增加2.76%。2021年部门预算支出总数407.16万元，较2020年部门预算支出总数396.22万元，增加2.76%。2021年部门基本支出预算总数407.16万元，其中人员支出340.53万元，公用支出13.32万元。</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hint="eastAsia" w:ascii="楷体" w:hAnsi="楷体" w:eastAsia="楷体" w:cs="楷体"/>
          <w:b w:val="0"/>
          <w:bCs/>
          <w:sz w:val="32"/>
          <w:szCs w:val="32"/>
        </w:rPr>
      </w:pPr>
      <w:r>
        <w:rPr>
          <w:rFonts w:hint="eastAsia" w:ascii="黑体" w:hAnsi="黑体" w:eastAsia="黑体"/>
          <w:b w:val="0"/>
          <w:bCs/>
          <w:sz w:val="32"/>
          <w:szCs w:val="32"/>
        </w:rPr>
        <w:t>五、一般公共预算当年拨款情况说明</w:t>
      </w:r>
      <w:r>
        <w:rPr>
          <w:rFonts w:hint="eastAsia" w:ascii="仿宋_GB2312" w:eastAsia="仿宋_GB2312"/>
          <w:b w:val="0"/>
          <w:bCs/>
          <w:sz w:val="32"/>
          <w:szCs w:val="32"/>
        </w:rPr>
        <w:br w:type="textWrapping"/>
      </w:r>
      <w:r>
        <w:rPr>
          <w:rFonts w:hint="eastAsia" w:ascii="楷体" w:hAnsi="楷体" w:eastAsia="楷体" w:cs="楷体"/>
          <w:b w:val="0"/>
          <w:bCs/>
          <w:sz w:val="32"/>
          <w:szCs w:val="32"/>
        </w:rPr>
        <w:t>　　（一）一般公共预算当年拨款规模变化情况</w:t>
      </w:r>
      <w:r>
        <w:rPr>
          <w:rFonts w:hint="eastAsia" w:ascii="楷体" w:hAnsi="楷体" w:eastAsia="楷体" w:cs="楷体"/>
          <w:b w:val="0"/>
          <w:bCs/>
          <w:sz w:val="32"/>
          <w:szCs w:val="32"/>
        </w:rPr>
        <w:br w:type="textWrapping"/>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 xml:space="preserve"> 2021年一般公共预算当年拨款407.16万元，比2020年预算数增加10.94万元，增加2.76%，主要原因是人员支出预算支出增加。</w:t>
      </w:r>
      <w:r>
        <w:rPr>
          <w:rFonts w:hint="eastAsia" w:ascii="仿宋_GB2312" w:eastAsia="仿宋_GB2312"/>
          <w:b w:val="0"/>
          <w:bCs/>
          <w:sz w:val="32"/>
          <w:szCs w:val="32"/>
        </w:rPr>
        <w:br w:type="textWrapping"/>
      </w:r>
      <w:r>
        <w:rPr>
          <w:rFonts w:hint="eastAsia" w:ascii="楷体" w:hAnsi="楷体" w:eastAsia="楷体" w:cs="楷体"/>
          <w:b w:val="0"/>
          <w:bCs/>
          <w:sz w:val="32"/>
          <w:szCs w:val="32"/>
        </w:rPr>
        <w:t>　　（二）一般公共预算当年拨款结构情况</w:t>
      </w:r>
      <w:r>
        <w:rPr>
          <w:rFonts w:hint="eastAsia" w:ascii="楷体" w:hAnsi="楷体" w:eastAsia="楷体" w:cs="楷体"/>
          <w:b w:val="0"/>
          <w:bCs/>
          <w:sz w:val="32"/>
          <w:szCs w:val="32"/>
        </w:rPr>
        <w:br w:type="textWrapping"/>
      </w:r>
      <w:r>
        <w:rPr>
          <w:rFonts w:hint="eastAsia" w:ascii="仿宋_GB2312" w:eastAsia="仿宋_GB2312"/>
          <w:b w:val="0"/>
          <w:bCs/>
          <w:sz w:val="32"/>
          <w:szCs w:val="32"/>
        </w:rPr>
        <w:t>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 xml:space="preserve"> 小学教育支出265.65万元，社会保障和就业支出32.12万元；卫生健康支出20.23万元；住房保障支出22.52万元。</w:t>
      </w:r>
      <w:r>
        <w:rPr>
          <w:rFonts w:hint="eastAsia" w:ascii="仿宋_GB2312" w:eastAsia="仿宋_GB2312"/>
          <w:b w:val="0"/>
          <w:bCs/>
          <w:sz w:val="32"/>
          <w:szCs w:val="32"/>
        </w:rPr>
        <w:br w:type="textWrapping"/>
      </w:r>
      <w:r>
        <w:rPr>
          <w:rFonts w:hint="eastAsia" w:ascii="楷体" w:hAnsi="楷体" w:eastAsia="楷体" w:cs="楷体"/>
          <w:b w:val="0"/>
          <w:bCs/>
          <w:sz w:val="32"/>
          <w:szCs w:val="32"/>
        </w:rPr>
        <w:t>　　（三）一般公共预算当年拨款具体使用情况</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1.小学教育2021年预算数为265.65万元，主要用于：教职工基本工资、津贴补贴、退休生活补贴等人员经费。</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仿宋_GB2312" w:eastAsia="仿宋_GB2312"/>
          <w:b w:val="0"/>
          <w:bCs/>
          <w:sz w:val="32"/>
          <w:szCs w:val="32"/>
        </w:rPr>
        <w:t>2.社会保障和就业（类）行政事业单位离退休（款）未归口管理的行政单位离退休（项）2021年预算数为32.12万元，主要用于：教职工失业、工伤、养老保险等。</w:t>
      </w:r>
      <w:r>
        <w:rPr>
          <w:rFonts w:hint="eastAsia" w:ascii="仿宋_GB2312" w:eastAsia="仿宋_GB2312"/>
          <w:b w:val="0"/>
          <w:bCs/>
          <w:sz w:val="32"/>
          <w:szCs w:val="32"/>
        </w:rPr>
        <w:br w:type="textWrapping"/>
      </w:r>
      <w:r>
        <w:rPr>
          <w:rFonts w:hint="eastAsia" w:ascii="仿宋_GB2312" w:eastAsia="仿宋_GB2312"/>
          <w:b w:val="0"/>
          <w:bCs/>
          <w:sz w:val="32"/>
          <w:szCs w:val="32"/>
        </w:rPr>
        <w:t>　  3.卫生健康支出（类）行政事业单位医疗（款）行政单位医疗（项）2021年预算数为20.23万元，主要用于：事业单位基本医疗保险缴费支出。</w:t>
      </w:r>
      <w:r>
        <w:rPr>
          <w:rFonts w:hint="eastAsia" w:ascii="仿宋_GB2312" w:eastAsia="仿宋_GB2312"/>
          <w:b w:val="0"/>
          <w:bCs/>
          <w:sz w:val="32"/>
          <w:szCs w:val="32"/>
        </w:rPr>
        <w:br w:type="textWrapping"/>
      </w: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4</w:t>
      </w:r>
      <w:r>
        <w:rPr>
          <w:rFonts w:hint="eastAsia" w:ascii="仿宋_GB2312" w:eastAsia="仿宋_GB2312"/>
          <w:b w:val="0"/>
          <w:bCs/>
          <w:sz w:val="32"/>
          <w:szCs w:val="32"/>
        </w:rPr>
        <w:t>.住房保障（类）住房改革支出（款）住房公积金（项）2021年预算数为22.52万元，主要用于：部门按人力资源和社会保障部、财政部规定的基本工资和津贴补贴以及规定比例为职工缴纳的住房公积金支出。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eastAsia="仿宋_GB2312"/>
          <w:b w:val="0"/>
          <w:bCs/>
          <w:sz w:val="32"/>
          <w:szCs w:val="32"/>
        </w:rPr>
      </w:pPr>
      <w:r>
        <w:rPr>
          <w:rFonts w:hint="eastAsia" w:ascii="黑体" w:hAnsi="黑体" w:eastAsia="黑体"/>
          <w:b w:val="0"/>
          <w:bCs/>
          <w:sz w:val="32"/>
          <w:szCs w:val="32"/>
        </w:rPr>
        <w:t>六、一般公共预算基本支出情况说明</w:t>
      </w:r>
      <w:r>
        <w:rPr>
          <w:rFonts w:hint="eastAsia" w:ascii="仿宋_GB2312" w:eastAsia="仿宋_GB2312"/>
          <w:b w:val="0"/>
          <w:bCs/>
          <w:sz w:val="32"/>
          <w:szCs w:val="32"/>
        </w:rPr>
        <w:br w:type="textWrapping"/>
      </w:r>
      <w:r>
        <w:rPr>
          <w:rFonts w:hint="eastAsia" w:ascii="仿宋_GB2312" w:eastAsia="仿宋_GB2312"/>
          <w:b w:val="0"/>
          <w:bCs/>
          <w:sz w:val="32"/>
          <w:szCs w:val="32"/>
        </w:rPr>
        <w:t>　　广元市利州区民族小学2021年部门基本支出预算总数407.16万元，其中人员支出340.53万元，公用支出13.32万元。</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仿宋_GB2312" w:hAnsi="黑体" w:eastAsia="仿宋_GB2312" w:cs="黑体"/>
          <w:b w:val="0"/>
          <w:bCs/>
          <w:sz w:val="32"/>
          <w:szCs w:val="32"/>
        </w:rPr>
      </w:pPr>
      <w:r>
        <w:rPr>
          <w:rFonts w:hint="eastAsia" w:ascii="黑体" w:hAnsi="黑体" w:eastAsia="黑体"/>
          <w:b w:val="0"/>
          <w:bCs/>
          <w:sz w:val="32"/>
          <w:szCs w:val="32"/>
        </w:rPr>
        <w:t>七、“三公”经费财政拨款预算安排情况说明</w:t>
      </w:r>
      <w:r>
        <w:rPr>
          <w:rFonts w:hint="eastAsia" w:ascii="仿宋_GB2312" w:eastAsia="仿宋_GB2312"/>
          <w:b w:val="0"/>
          <w:bCs/>
          <w:sz w:val="32"/>
          <w:szCs w:val="32"/>
        </w:rPr>
        <w:br w:type="textWrapping"/>
      </w:r>
      <w:r>
        <w:rPr>
          <w:rFonts w:hint="eastAsia" w:ascii="仿宋_GB2312" w:eastAsia="仿宋_GB2312"/>
          <w:b w:val="0"/>
          <w:bCs/>
          <w:sz w:val="32"/>
          <w:szCs w:val="32"/>
        </w:rPr>
        <w:t>　 2021年财政拨款安排“三公”经费预算,0万元。单位现有公务用车0辆，其中：轿车0辆、越野车0辆、其他乘用车0辆。</w:t>
      </w:r>
      <w:r>
        <w:rPr>
          <w:rFonts w:hint="eastAsia" w:ascii="仿宋_GB2312" w:eastAsia="仿宋_GB2312"/>
          <w:b w:val="0"/>
          <w:bCs/>
          <w:sz w:val="32"/>
          <w:szCs w:val="32"/>
        </w:rPr>
        <w:br w:type="textWrapping"/>
      </w:r>
      <w:r>
        <w:rPr>
          <w:rFonts w:hint="eastAsia" w:ascii="黑体" w:hAnsi="黑体" w:eastAsia="黑体"/>
          <w:b w:val="0"/>
          <w:bCs/>
          <w:sz w:val="32"/>
          <w:szCs w:val="32"/>
        </w:rPr>
        <w:t>　　八、政府性基金预算支出情况说明</w:t>
      </w:r>
      <w:r>
        <w:rPr>
          <w:rFonts w:hint="eastAsia" w:ascii="仿宋_GB2312" w:eastAsia="仿宋_GB2312"/>
          <w:b w:val="0"/>
          <w:bCs/>
          <w:sz w:val="32"/>
          <w:szCs w:val="32"/>
        </w:rPr>
        <w:br w:type="textWrapping"/>
      </w:r>
      <w:r>
        <w:rPr>
          <w:rFonts w:hint="eastAsia" w:ascii="仿宋_GB2312" w:eastAsia="仿宋_GB2312"/>
          <w:b w:val="0"/>
          <w:bCs/>
          <w:sz w:val="32"/>
          <w:szCs w:val="32"/>
        </w:rPr>
        <w:t>　　广元市利州区民族小学2021年没有使用政府性基金预算拨款安排的支出。</w:t>
      </w:r>
      <w:r>
        <w:rPr>
          <w:rFonts w:hint="eastAsia" w:ascii="仿宋_GB2312" w:eastAsia="仿宋_GB2312"/>
          <w:b w:val="0"/>
          <w:bCs/>
          <w:sz w:val="32"/>
          <w:szCs w:val="32"/>
        </w:rPr>
        <w:br w:type="textWrapping"/>
      </w:r>
      <w:r>
        <w:rPr>
          <w:rFonts w:hint="eastAsia" w:ascii="黑体" w:hAnsi="黑体" w:eastAsia="黑体"/>
          <w:b w:val="0"/>
          <w:bCs/>
          <w:sz w:val="32"/>
          <w:szCs w:val="32"/>
        </w:rPr>
        <w:t>　　九、国有资本经营预算支出情况说明</w:t>
      </w:r>
      <w:r>
        <w:rPr>
          <w:rFonts w:hint="eastAsia" w:ascii="仿宋_GB2312" w:eastAsia="仿宋_GB2312"/>
          <w:b w:val="0"/>
          <w:bCs/>
          <w:sz w:val="32"/>
          <w:szCs w:val="32"/>
        </w:rPr>
        <w:br w:type="textWrapping"/>
      </w:r>
      <w:r>
        <w:rPr>
          <w:rFonts w:hint="eastAsia" w:ascii="仿宋_GB2312" w:eastAsia="仿宋_GB2312"/>
          <w:b w:val="0"/>
          <w:bCs/>
          <w:sz w:val="32"/>
          <w:szCs w:val="32"/>
        </w:rPr>
        <w:t>　　广元市利州区民族小学2021年没有使用国有资本经营预算拨款安排的支出。</w:t>
      </w:r>
      <w:r>
        <w:rPr>
          <w:rFonts w:hint="eastAsia" w:ascii="黑体" w:hAnsi="黑体" w:eastAsia="黑体"/>
          <w:b w:val="0"/>
          <w:bCs/>
          <w:sz w:val="32"/>
          <w:szCs w:val="32"/>
        </w:rPr>
        <w:br w:type="textWrapping"/>
      </w:r>
      <w:r>
        <w:rPr>
          <w:rFonts w:hint="eastAsia" w:ascii="黑体" w:hAnsi="黑体" w:eastAsia="黑体"/>
          <w:b w:val="0"/>
          <w:bCs/>
          <w:sz w:val="32"/>
          <w:szCs w:val="32"/>
        </w:rPr>
        <w:t>　</w:t>
      </w:r>
      <w:r>
        <w:rPr>
          <w:rFonts w:hint="eastAsia" w:ascii="黑体" w:hAnsi="黑体" w:eastAsia="黑体"/>
          <w:b w:val="0"/>
          <w:bCs/>
          <w:sz w:val="32"/>
          <w:szCs w:val="32"/>
          <w:lang w:val="en-US" w:eastAsia="zh-CN"/>
        </w:rPr>
        <w:t xml:space="preserve">  </w:t>
      </w:r>
      <w:r>
        <w:rPr>
          <w:rFonts w:hint="eastAsia" w:ascii="黑体" w:hAnsi="黑体" w:eastAsia="黑体" w:cs="黑体"/>
          <w:b w:val="0"/>
          <w:bCs/>
          <w:sz w:val="32"/>
          <w:szCs w:val="32"/>
        </w:rPr>
        <w:t>十、其他重要事项的情况说明</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textAlignment w:val="baseline"/>
        <w:rPr>
          <w:b w:val="0"/>
          <w:bCs/>
          <w:color w:val="000000"/>
          <w:sz w:val="32"/>
          <w:szCs w:val="32"/>
        </w:rPr>
      </w:pPr>
      <w:r>
        <w:rPr>
          <w:rFonts w:hint="eastAsia" w:ascii="楷体" w:hAnsi="楷体" w:eastAsia="楷体" w:cs="楷体"/>
          <w:b w:val="0"/>
          <w:bCs/>
          <w:color w:val="000000"/>
          <w:sz w:val="32"/>
          <w:szCs w:val="32"/>
        </w:rPr>
        <w:t>（一）政府采购情况</w:t>
      </w:r>
      <w:r>
        <w:rPr>
          <w:rFonts w:hint="eastAsia" w:ascii="楷体" w:hAnsi="楷体" w:eastAsia="楷体" w:cs="楷体"/>
          <w:b w:val="0"/>
          <w:bCs/>
          <w:color w:val="000000"/>
          <w:sz w:val="32"/>
          <w:szCs w:val="32"/>
        </w:rPr>
        <w:br w:type="textWrapping"/>
      </w:r>
      <w:r>
        <w:rPr>
          <w:rFonts w:hint="eastAsia"/>
          <w:b w:val="0"/>
          <w:bCs/>
          <w:color w:val="000000"/>
          <w:sz w:val="32"/>
          <w:szCs w:val="32"/>
        </w:rPr>
        <w:t>　　2021年，广元市利州区民族小学未安排政府采购预算。</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（二）国有资产占有使用情况</w:t>
      </w:r>
      <w:r>
        <w:rPr>
          <w:rFonts w:hint="eastAsia" w:ascii="楷体" w:hAnsi="楷体" w:eastAsia="楷体" w:cs="楷体"/>
          <w:b w:val="0"/>
          <w:bCs/>
          <w:color w:val="000000"/>
          <w:sz w:val="32"/>
          <w:szCs w:val="32"/>
        </w:rPr>
        <w:br w:type="textWrapping"/>
      </w:r>
      <w:r>
        <w:rPr>
          <w:rFonts w:hint="eastAsia" w:ascii="仿宋_GB2312" w:hAnsi="仿宋" w:eastAsia="仿宋_GB2312" w:cs="仿宋"/>
          <w:b w:val="0"/>
          <w:bCs/>
          <w:sz w:val="32"/>
          <w:szCs w:val="32"/>
        </w:rPr>
        <w:t>　　截至2021年底，广元市利州区民族小学无车辆。</w:t>
      </w:r>
      <w:r>
        <w:rPr>
          <w:rFonts w:hint="eastAsia" w:ascii="仿宋_GB2312" w:hAnsi="仿宋" w:eastAsia="仿宋_GB2312" w:cs="仿宋"/>
          <w:b w:val="0"/>
          <w:bCs/>
          <w:sz w:val="32"/>
          <w:szCs w:val="32"/>
        </w:rPr>
        <w:br w:type="textWrapping"/>
      </w:r>
      <w:r>
        <w:rPr>
          <w:rFonts w:hint="eastAsia" w:ascii="仿宋_GB2312" w:hAnsi="仿宋" w:eastAsia="仿宋_GB2312" w:cs="仿宋"/>
          <w:b w:val="0"/>
          <w:bCs/>
          <w:sz w:val="32"/>
          <w:szCs w:val="32"/>
        </w:rPr>
        <w:t xml:space="preserve">    2021年部门预算未安排(安排）购置车辆及单位价值20万元以上大型设备。</w:t>
      </w:r>
      <w:r>
        <w:rPr>
          <w:rFonts w:hint="eastAsia"/>
          <w:b w:val="0"/>
          <w:bCs/>
          <w:color w:val="000000"/>
          <w:sz w:val="32"/>
          <w:szCs w:val="32"/>
        </w:rPr>
        <w:br w:type="textWrapping"/>
      </w:r>
      <w:r>
        <w:rPr>
          <w:rFonts w:hint="eastAsia" w:ascii="楷体" w:hAnsi="楷体" w:eastAsia="楷体" w:cs="楷体"/>
          <w:b w:val="0"/>
          <w:bCs/>
          <w:color w:val="000000"/>
          <w:sz w:val="32"/>
          <w:szCs w:val="32"/>
        </w:rPr>
        <w:t xml:space="preserve">  （</w:t>
      </w:r>
      <w:r>
        <w:rPr>
          <w:rFonts w:hint="eastAsia" w:ascii="楷体" w:hAnsi="楷体" w:eastAsia="楷体" w:cs="楷体"/>
          <w:b w:val="0"/>
          <w:bCs/>
          <w:color w:val="000000"/>
          <w:sz w:val="32"/>
          <w:szCs w:val="32"/>
          <w:lang w:val="en-US" w:eastAsia="zh-CN"/>
        </w:rPr>
        <w:t>一</w:t>
      </w:r>
      <w:r>
        <w:rPr>
          <w:rFonts w:hint="eastAsia" w:ascii="楷体" w:hAnsi="楷体" w:eastAsia="楷体" w:cs="楷体"/>
          <w:b w:val="0"/>
          <w:bCs/>
          <w:color w:val="000000"/>
          <w:sz w:val="32"/>
          <w:szCs w:val="32"/>
        </w:rPr>
        <w:t>）国有资产占有使用情况</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2020年末固定资产原值</w:t>
      </w:r>
      <w:r>
        <w:rPr>
          <w:rFonts w:hint="eastAsia" w:ascii="仿宋_GB2312" w:hAnsi="华文仿宋" w:eastAsia="仿宋_GB2312"/>
          <w:b w:val="0"/>
          <w:bCs/>
          <w:sz w:val="32"/>
          <w:szCs w:val="32"/>
        </w:rPr>
        <w:t>157.27</w:t>
      </w:r>
      <w:r>
        <w:rPr>
          <w:rFonts w:hint="eastAsia" w:ascii="仿宋_GB2312" w:hAnsi="仿宋" w:eastAsia="仿宋_GB2312" w:cs="仿宋"/>
          <w:b w:val="0"/>
          <w:bCs/>
          <w:sz w:val="32"/>
          <w:szCs w:val="32"/>
        </w:rPr>
        <w:t>万元（其中房屋资产36.63万元），已折旧76.17万元，净值81.1万元。</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截至2021年底，广元市利州区民族小学共有车辆0辆。单位价值10万元以上大型设备0台（套）。</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textAlignment w:val="baseline"/>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w:t>
      </w:r>
      <w:r>
        <w:rPr>
          <w:rFonts w:hint="eastAsia" w:ascii="楷体" w:hAnsi="楷体" w:eastAsia="楷体" w:cs="楷体"/>
          <w:b w:val="0"/>
          <w:bCs/>
          <w:color w:val="000000"/>
          <w:sz w:val="32"/>
          <w:szCs w:val="32"/>
          <w:lang w:eastAsia="zh-CN"/>
        </w:rPr>
        <w:t>二</w:t>
      </w:r>
      <w:r>
        <w:rPr>
          <w:rFonts w:hint="eastAsia" w:ascii="楷体" w:hAnsi="楷体" w:eastAsia="楷体" w:cs="楷体"/>
          <w:b w:val="0"/>
          <w:bCs/>
          <w:color w:val="000000"/>
          <w:sz w:val="32"/>
          <w:szCs w:val="32"/>
        </w:rPr>
        <w:t>）重点项目预算的绩效目标等预算绩效情况说明</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绩效目标是预算编制的前提和基础，按照“费随事定”的原则，2021年广元市利州区民族小学所有项目按要求编制了项目绩效目标,从项目完成、项目效益、满意度等方面设置了绩效指</w:t>
      </w:r>
      <w:r>
        <w:rPr>
          <w:rFonts w:hint="eastAsia" w:ascii="仿宋_GB2312" w:hAnsi="仿宋" w:eastAsia="仿宋_GB2312" w:cs="仿宋"/>
          <w:b w:val="0"/>
          <w:bCs/>
          <w:spacing w:val="-6"/>
          <w:sz w:val="32"/>
          <w:szCs w:val="32"/>
        </w:rPr>
        <w:t>标，综合反映项目预期完成的数量、成本、时效、质量，预期达到的社会效益、经济效益、可持续影响以及服务对象满意度等情况</w:t>
      </w:r>
      <w:r>
        <w:rPr>
          <w:rFonts w:hint="eastAsia" w:ascii="仿宋_GB2312" w:hAnsi="仿宋" w:eastAsia="仿宋_GB2312" w:cs="仿宋"/>
          <w:b w:val="0"/>
          <w:bCs/>
          <w:sz w:val="32"/>
          <w:szCs w:val="32"/>
        </w:rPr>
        <w:t>。</w:t>
      </w:r>
    </w:p>
    <w:p>
      <w:pPr>
        <w:keepNext w:val="0"/>
        <w:keepLines w:val="0"/>
        <w:pageBreakBefore w:val="0"/>
        <w:widowControl w:val="0"/>
        <w:kinsoku/>
        <w:wordWrap/>
        <w:overflowPunct/>
        <w:topLinePunct w:val="0"/>
        <w:autoSpaceDE/>
        <w:autoSpaceDN/>
        <w:bidi w:val="0"/>
        <w:snapToGrid w:val="0"/>
        <w:spacing w:line="596" w:lineRule="exact"/>
        <w:ind w:firstLine="640" w:firstLineChars="200"/>
        <w:jc w:val="both"/>
        <w:rPr>
          <w:rFonts w:ascii="黑体" w:hAnsi="黑体" w:eastAsia="黑体" w:cs="黑体"/>
          <w:b w:val="0"/>
          <w:bCs/>
          <w:sz w:val="32"/>
          <w:szCs w:val="32"/>
        </w:rPr>
      </w:pPr>
      <w:r>
        <w:rPr>
          <w:rFonts w:hint="eastAsia" w:ascii="黑体" w:hAnsi="黑体" w:eastAsia="黑体" w:cs="黑体"/>
          <w:b w:val="0"/>
          <w:bCs/>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ascii="仿宋_GB2312" w:hAnsi="仿宋" w:eastAsia="仿宋_GB2312" w:cs="仿宋"/>
          <w:b w:val="0"/>
          <w:bCs/>
          <w:sz w:val="32"/>
          <w:szCs w:val="32"/>
        </w:rPr>
      </w:pPr>
      <w:r>
        <w:rPr>
          <w:rFonts w:hint="eastAsia" w:ascii="仿宋_GB2312" w:hAnsi="仿宋" w:eastAsia="仿宋_GB2312" w:cs="仿宋"/>
          <w:b w:val="0"/>
          <w:bCs/>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both"/>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广元市利州区民族小学</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2021年3月</w:t>
      </w:r>
      <w:r>
        <w:rPr>
          <w:rFonts w:ascii="仿宋_GB2312" w:hAnsi="仿宋" w:eastAsia="仿宋_GB2312" w:cs="仿宋"/>
          <w:sz w:val="32"/>
          <w:szCs w:val="32"/>
        </w:rPr>
        <w:t>29</w:t>
      </w:r>
      <w:r>
        <w:rPr>
          <w:rFonts w:hint="eastAsia" w:ascii="仿宋_GB2312" w:hAnsi="仿宋" w:eastAsia="仿宋_GB2312" w:cs="仿宋"/>
          <w:sz w:val="32"/>
          <w:szCs w:val="32"/>
        </w:rPr>
        <w:t>日</w:t>
      </w:r>
    </w:p>
    <w:sectPr>
      <w:footerReference r:id="rId3" w:type="default"/>
      <w:pgSz w:w="11906" w:h="16838"/>
      <w:pgMar w:top="1701" w:right="1474" w:bottom="1701" w:left="1587"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347B6"/>
    <w:rsid w:val="0005531F"/>
    <w:rsid w:val="000B279A"/>
    <w:rsid w:val="000B2ED0"/>
    <w:rsid w:val="000C62AF"/>
    <w:rsid w:val="000F7E8B"/>
    <w:rsid w:val="0012484D"/>
    <w:rsid w:val="0019321F"/>
    <w:rsid w:val="0020247B"/>
    <w:rsid w:val="00204A7A"/>
    <w:rsid w:val="0022790D"/>
    <w:rsid w:val="0024385F"/>
    <w:rsid w:val="0026122B"/>
    <w:rsid w:val="00312142"/>
    <w:rsid w:val="00340E92"/>
    <w:rsid w:val="00371B44"/>
    <w:rsid w:val="00385E21"/>
    <w:rsid w:val="003A690F"/>
    <w:rsid w:val="003D5DC7"/>
    <w:rsid w:val="003F084C"/>
    <w:rsid w:val="0042298F"/>
    <w:rsid w:val="004C01BC"/>
    <w:rsid w:val="004C12D3"/>
    <w:rsid w:val="004E239D"/>
    <w:rsid w:val="004F514A"/>
    <w:rsid w:val="00537C2A"/>
    <w:rsid w:val="005F5A00"/>
    <w:rsid w:val="006669E2"/>
    <w:rsid w:val="00697D45"/>
    <w:rsid w:val="006B0B61"/>
    <w:rsid w:val="006D7BC3"/>
    <w:rsid w:val="007144AC"/>
    <w:rsid w:val="007D2FDC"/>
    <w:rsid w:val="007E0D7C"/>
    <w:rsid w:val="007E3D4E"/>
    <w:rsid w:val="0082274C"/>
    <w:rsid w:val="008248D9"/>
    <w:rsid w:val="008352DC"/>
    <w:rsid w:val="0086021F"/>
    <w:rsid w:val="00886C02"/>
    <w:rsid w:val="008C79DD"/>
    <w:rsid w:val="008F4AC5"/>
    <w:rsid w:val="0090017B"/>
    <w:rsid w:val="009073AE"/>
    <w:rsid w:val="00927505"/>
    <w:rsid w:val="009F12B2"/>
    <w:rsid w:val="00A235EA"/>
    <w:rsid w:val="00A565DC"/>
    <w:rsid w:val="00A923C1"/>
    <w:rsid w:val="00B061EF"/>
    <w:rsid w:val="00B11857"/>
    <w:rsid w:val="00B72696"/>
    <w:rsid w:val="00BA5F89"/>
    <w:rsid w:val="00BD31BF"/>
    <w:rsid w:val="00C06BFD"/>
    <w:rsid w:val="00CD4B04"/>
    <w:rsid w:val="00CE5135"/>
    <w:rsid w:val="00D24320"/>
    <w:rsid w:val="00D33725"/>
    <w:rsid w:val="00D44322"/>
    <w:rsid w:val="00D7254E"/>
    <w:rsid w:val="00D74967"/>
    <w:rsid w:val="00DA5B4A"/>
    <w:rsid w:val="00E14578"/>
    <w:rsid w:val="00E90121"/>
    <w:rsid w:val="00F534E3"/>
    <w:rsid w:val="00F724EF"/>
    <w:rsid w:val="00F969AB"/>
    <w:rsid w:val="00FB1A43"/>
    <w:rsid w:val="00FD1EE3"/>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4BE04C9D"/>
    <w:rsid w:val="4D1840DF"/>
    <w:rsid w:val="4EAE2804"/>
    <w:rsid w:val="55860D15"/>
    <w:rsid w:val="578919DC"/>
    <w:rsid w:val="600105C9"/>
    <w:rsid w:val="619506E2"/>
    <w:rsid w:val="6461537D"/>
    <w:rsid w:val="64AB1D92"/>
    <w:rsid w:val="67D245BF"/>
    <w:rsid w:val="6D5D0FFB"/>
    <w:rsid w:val="74AB75CC"/>
    <w:rsid w:val="785F0829"/>
    <w:rsid w:val="7BD06D36"/>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420</Words>
  <Characters>2398</Characters>
  <Lines>19</Lines>
  <Paragraphs>5</Paragraphs>
  <TotalTime>66</TotalTime>
  <ScaleCrop>false</ScaleCrop>
  <LinksUpToDate>false</LinksUpToDate>
  <CharactersWithSpaces>2813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2022-06-01T09:37:00Z</dcterms:created>
  <dc:creator>微软用户</dc:creator>
  <cp:lastModifiedBy>相识是缘</cp:lastModifiedBy>
  <cp:lastPrinted>2022-06-08T10:28:00Z</cp:lastPrinted>
  <dcterms:modified xsi:type="dcterms:W3CDTF">2022-06-14T11:48:02Z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D916D5A4B45748958ABCCCE2568AC04F</vt:lpwstr>
  </property>
</Properties>
</file>