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76" w:lineRule="exact"/>
        <w:ind w:left="0"/>
        <w:jc w:val="center"/>
        <w:textAlignment w:val="auto"/>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广元市利州区盘龙初级中学</w:t>
      </w:r>
    </w:p>
    <w:p>
      <w:pPr>
        <w:keepNext w:val="0"/>
        <w:keepLines w:val="0"/>
        <w:pageBreakBefore w:val="0"/>
        <w:widowControl w:val="0"/>
        <w:kinsoku/>
        <w:wordWrap/>
        <w:overflowPunct/>
        <w:topLinePunct w:val="0"/>
        <w:autoSpaceDE/>
        <w:autoSpaceDN/>
        <w:bidi w:val="0"/>
        <w:snapToGrid w:val="0"/>
        <w:spacing w:line="576" w:lineRule="exact"/>
        <w:ind w:left="0"/>
        <w:jc w:val="center"/>
        <w:textAlignment w:val="auto"/>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2021年部门预算情况说明</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广元市利州区盘龙初级中学隶属广元市利州区教育局下属二级预算单位，学校编制31名，其中事业编制31名。在职人员总数41人，其中工勤人员2人，事业人员32人（含特岗3人）；</w:t>
      </w:r>
      <w:r>
        <w:rPr>
          <w:rFonts w:hint="eastAsia" w:ascii="仿宋" w:hAnsi="仿宋" w:eastAsia="仿宋" w:cs="仿宋"/>
          <w:color w:val="000000" w:themeColor="text1"/>
          <w:sz w:val="32"/>
          <w:szCs w:val="32"/>
          <w14:textFill>
            <w14:solidFill>
              <w14:schemeClr w14:val="tx1"/>
            </w14:solidFill>
          </w14:textFill>
        </w:rPr>
        <w:t>临聘人员7人；离退休人员7人</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二、主要职能职责</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宣传</w:t>
      </w:r>
      <w:r>
        <w:rPr>
          <w:rFonts w:hint="eastAsia" w:ascii="仿宋" w:hAnsi="仿宋" w:eastAsia="仿宋" w:cs="仿宋"/>
          <w:color w:val="000000" w:themeColor="text1"/>
          <w:sz w:val="32"/>
          <w:szCs w:val="32"/>
          <w14:textFill>
            <w14:solidFill>
              <w14:schemeClr w14:val="tx1"/>
            </w14:solidFill>
          </w14:textFill>
        </w:rPr>
        <w:t>贯彻执行党和国家关于教育改革和发展的各项方针、政策，</w:t>
      </w:r>
      <w:r>
        <w:rPr>
          <w:rFonts w:hint="eastAsia" w:ascii="仿宋" w:hAnsi="仿宋" w:eastAsia="仿宋" w:cs="仿宋"/>
          <w:color w:val="000000" w:themeColor="text1"/>
          <w:sz w:val="32"/>
          <w:szCs w:val="32"/>
          <w14:textFill>
            <w14:solidFill>
              <w14:schemeClr w14:val="tx1"/>
            </w14:solidFill>
          </w14:textFill>
        </w:rPr>
        <w:t>坚持依法执教、依法治学，贯彻执行主管教育局的行政规章制度</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(二)负责教育经费的统筹管理和</w:t>
      </w:r>
      <w:r>
        <w:rPr>
          <w:rFonts w:hint="eastAsia" w:ascii="仿宋" w:hAnsi="仿宋" w:eastAsia="仿宋" w:cs="仿宋"/>
          <w:color w:val="000000" w:themeColor="text1"/>
          <w:sz w:val="32"/>
          <w:szCs w:val="32"/>
          <w14:textFill>
            <w14:solidFill>
              <w14:schemeClr w14:val="tx1"/>
            </w14:solidFill>
          </w14:textFill>
        </w:rPr>
        <w:t>合理</w:t>
      </w:r>
      <w:r>
        <w:rPr>
          <w:rFonts w:hint="eastAsia" w:ascii="仿宋" w:hAnsi="仿宋" w:eastAsia="仿宋" w:cs="仿宋"/>
          <w:color w:val="000000" w:themeColor="text1"/>
          <w:sz w:val="32"/>
          <w:szCs w:val="32"/>
          <w14:textFill>
            <w14:solidFill>
              <w14:schemeClr w14:val="tx1"/>
            </w14:solidFill>
          </w14:textFill>
        </w:rPr>
        <w:t>使用</w:t>
      </w:r>
      <w:r>
        <w:rPr>
          <w:rFonts w:hint="eastAsia" w:ascii="仿宋" w:hAnsi="仿宋" w:eastAsia="仿宋" w:cs="仿宋"/>
          <w:color w:val="000000" w:themeColor="text1"/>
          <w:sz w:val="32"/>
          <w:szCs w:val="32"/>
          <w14:textFill>
            <w14:solidFill>
              <w14:schemeClr w14:val="tx1"/>
            </w14:solidFill>
          </w14:textFill>
        </w:rPr>
        <w:t>，改善办学条件</w:t>
      </w:r>
      <w:r>
        <w:rPr>
          <w:rFonts w:hint="eastAsia" w:ascii="仿宋" w:hAnsi="仿宋" w:eastAsia="仿宋" w:cs="仿宋"/>
          <w:color w:val="000000" w:themeColor="text1"/>
          <w:sz w:val="32"/>
          <w:szCs w:val="32"/>
          <w14:textFill>
            <w14:solidFill>
              <w14:schemeClr w14:val="tx1"/>
            </w14:solidFill>
          </w14:textFill>
        </w:rPr>
        <w:t>；宣传贯彻执行国家和省市</w:t>
      </w:r>
      <w:r>
        <w:rPr>
          <w:rFonts w:hint="eastAsia" w:ascii="仿宋" w:hAnsi="仿宋" w:eastAsia="仿宋" w:cs="仿宋"/>
          <w:color w:val="000000" w:themeColor="text1"/>
          <w:sz w:val="32"/>
          <w:szCs w:val="32"/>
          <w14:textFill>
            <w14:solidFill>
              <w14:schemeClr w14:val="tx1"/>
            </w14:solidFill>
          </w14:textFill>
        </w:rPr>
        <w:t>区</w:t>
      </w:r>
      <w:r>
        <w:rPr>
          <w:rFonts w:hint="eastAsia" w:ascii="仿宋" w:hAnsi="仿宋" w:eastAsia="仿宋" w:cs="仿宋"/>
          <w:color w:val="000000" w:themeColor="text1"/>
          <w:sz w:val="32"/>
          <w:szCs w:val="32"/>
          <w14:textFill>
            <w14:solidFill>
              <w14:schemeClr w14:val="tx1"/>
            </w14:solidFill>
          </w14:textFill>
        </w:rPr>
        <w:t>有关学生资助工作方针和政策，</w:t>
      </w:r>
      <w:r>
        <w:rPr>
          <w:rFonts w:hint="eastAsia" w:ascii="仿宋" w:hAnsi="仿宋" w:eastAsia="仿宋" w:cs="仿宋"/>
          <w:color w:val="000000" w:themeColor="text1"/>
          <w:sz w:val="32"/>
          <w:szCs w:val="32"/>
          <w14:textFill>
            <w14:solidFill>
              <w14:schemeClr w14:val="tx1"/>
            </w14:solidFill>
          </w14:textFill>
        </w:rPr>
        <w:t>做好本校</w:t>
      </w:r>
      <w:r>
        <w:rPr>
          <w:rFonts w:hint="eastAsia" w:ascii="仿宋" w:hAnsi="仿宋" w:eastAsia="仿宋" w:cs="仿宋"/>
          <w:color w:val="000000" w:themeColor="text1"/>
          <w:sz w:val="32"/>
          <w:szCs w:val="32"/>
          <w14:textFill>
            <w14:solidFill>
              <w14:schemeClr w14:val="tx1"/>
            </w14:solidFill>
          </w14:textFill>
        </w:rPr>
        <w:t>贫困家庭学生资助工作。</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组织适龄儿童入学，严格控辍保学，推进义务教育发展。</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组织开展本校的教育教学科研教育教学改革，全力推进素质教育实施，开齐开足课程，努力提高办学质量和办学效益</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按照教职工的编制和管理权限，负责本校教职工的人事管理、继续教育、考核考评工作，</w:t>
      </w:r>
      <w:r>
        <w:rPr>
          <w:rFonts w:hint="eastAsia" w:ascii="仿宋" w:hAnsi="仿宋" w:eastAsia="仿宋" w:cs="仿宋"/>
          <w:color w:val="000000" w:themeColor="text1"/>
          <w:sz w:val="32"/>
          <w:szCs w:val="32"/>
          <w14:textFill>
            <w14:solidFill>
              <w14:schemeClr w14:val="tx1"/>
            </w14:solidFill>
          </w14:textFill>
        </w:rPr>
        <w:t>推行和实施教师聘任制</w:t>
      </w:r>
      <w:r>
        <w:rPr>
          <w:rFonts w:hint="eastAsia" w:ascii="仿宋" w:hAnsi="仿宋" w:eastAsia="仿宋" w:cs="仿宋"/>
          <w:color w:val="000000" w:themeColor="text1"/>
          <w:sz w:val="32"/>
          <w:szCs w:val="32"/>
          <w14:textFill>
            <w14:solidFill>
              <w14:schemeClr w14:val="tx1"/>
            </w14:solidFill>
          </w14:textFill>
        </w:rPr>
        <w:t>，完善</w:t>
      </w:r>
      <w:r>
        <w:rPr>
          <w:rFonts w:hint="eastAsia" w:ascii="仿宋" w:hAnsi="仿宋" w:eastAsia="仿宋" w:cs="仿宋"/>
          <w:color w:val="000000" w:themeColor="text1"/>
          <w:sz w:val="32"/>
          <w:szCs w:val="32"/>
          <w14:textFill>
            <w14:solidFill>
              <w14:schemeClr w14:val="tx1"/>
            </w14:solidFill>
          </w14:textFill>
        </w:rPr>
        <w:t xml:space="preserve">人才队伍建设。 </w:t>
      </w:r>
    </w:p>
    <w:p>
      <w:pPr>
        <w:keepNext w:val="0"/>
        <w:keepLines w:val="0"/>
        <w:pageBreakBefore w:val="0"/>
        <w:widowControl w:val="0"/>
        <w:kinsoku/>
        <w:wordWrap/>
        <w:overflowPunct/>
        <w:topLinePunct w:val="0"/>
        <w:autoSpaceDE/>
        <w:autoSpaceDN/>
        <w:bidi w:val="0"/>
        <w:snapToGrid w:val="0"/>
        <w:spacing w:line="576" w:lineRule="exact"/>
        <w:ind w:left="0" w:firstLine="480" w:firstLineChars="15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 xml:space="preserve">)组织教育方面的对外交流与合作、对外宣传。 </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480" w:firstLineChars="15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(六)承办上级交办的其他事项</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三、预算收支情况说明</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广元市利州区盘龙初级中学2021年部门预算收入总数488.26万元，较2020年部门预算收入总数436.5万元增长11.86%。2021年部门预算支出总数</w:t>
      </w:r>
      <w:r>
        <w:rPr>
          <w:rFonts w:hint="eastAsia" w:ascii="仿宋" w:hAnsi="仿宋" w:eastAsia="仿宋" w:cs="仿宋"/>
          <w:color w:val="000000" w:themeColor="text1"/>
          <w:sz w:val="32"/>
          <w:szCs w:val="32"/>
          <w14:textFill>
            <w14:solidFill>
              <w14:schemeClr w14:val="tx1"/>
            </w14:solidFill>
          </w14:textFill>
        </w:rPr>
        <w:t>691.23</w:t>
      </w:r>
      <w:r>
        <w:rPr>
          <w:rFonts w:hint="eastAsia" w:ascii="仿宋" w:hAnsi="仿宋" w:eastAsia="仿宋" w:cs="仿宋"/>
          <w:color w:val="000000" w:themeColor="text1"/>
          <w:sz w:val="32"/>
          <w:szCs w:val="32"/>
          <w14:textFill>
            <w14:solidFill>
              <w14:schemeClr w14:val="tx1"/>
            </w14:solidFill>
          </w14:textFill>
        </w:rPr>
        <w:t>万元，较2020年部门预算支出总数</w:t>
      </w:r>
      <w:r>
        <w:rPr>
          <w:rFonts w:hint="eastAsia" w:ascii="仿宋" w:hAnsi="仿宋" w:eastAsia="仿宋" w:cs="仿宋"/>
          <w:color w:val="000000" w:themeColor="text1"/>
          <w:sz w:val="32"/>
          <w:szCs w:val="32"/>
          <w14:textFill>
            <w14:solidFill>
              <w14:schemeClr w14:val="tx1"/>
            </w14:solidFill>
          </w14:textFill>
        </w:rPr>
        <w:t>688.95</w:t>
      </w:r>
      <w:r>
        <w:rPr>
          <w:rFonts w:hint="eastAsia" w:ascii="仿宋" w:hAnsi="仿宋" w:eastAsia="仿宋" w:cs="仿宋"/>
          <w:color w:val="000000" w:themeColor="text1"/>
          <w:sz w:val="32"/>
          <w:szCs w:val="32"/>
          <w14:textFill>
            <w14:solidFill>
              <w14:schemeClr w14:val="tx1"/>
            </w14:solidFill>
          </w14:textFill>
        </w:rPr>
        <w:t>万元增长</w:t>
      </w:r>
      <w:r>
        <w:rPr>
          <w:rFonts w:hint="eastAsia" w:ascii="仿宋" w:hAnsi="仿宋" w:eastAsia="仿宋" w:cs="仿宋"/>
          <w:color w:val="000000" w:themeColor="text1"/>
          <w:sz w:val="32"/>
          <w:szCs w:val="32"/>
          <w14:textFill>
            <w14:solidFill>
              <w14:schemeClr w14:val="tx1"/>
            </w14:solidFill>
          </w14:textFill>
        </w:rPr>
        <w:t>0.05</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广元市利州区盘龙初级中学2021年部门基本支出预算总数463.90万元，其中人员支出452.197万元，公用支出11.71万元。</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四、财政拨款收支预算情况说明</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盘龙初级中学2021年部门预算财政拨款收入总数488.26万元，较2020年部门预算财政拨款收入总数436.5万元增长11.86%。2021年部门预算财政拨款支出总数488.59万元，较2020年部门预算财政拨款支出总数436.72万元增长</w:t>
      </w:r>
      <w:r>
        <w:rPr>
          <w:rFonts w:hint="eastAsia" w:ascii="仿宋" w:hAnsi="仿宋" w:eastAsia="仿宋" w:cs="仿宋"/>
          <w:color w:val="000000" w:themeColor="text1"/>
          <w:sz w:val="32"/>
          <w:szCs w:val="32"/>
          <w14:textFill>
            <w14:solidFill>
              <w14:schemeClr w14:val="tx1"/>
            </w14:solidFill>
          </w14:textFill>
        </w:rPr>
        <w:t>0.05</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left="0" w:firstLine="640" w:firstLineChars="200"/>
        <w:jc w:val="both"/>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一般公共预算当年拨款情况说明</w:t>
      </w:r>
      <w:r>
        <w:rPr>
          <w:rFonts w:hint="eastAsia" w:ascii="黑体" w:hAnsi="黑体" w:eastAsia="黑体" w:cs="黑体"/>
          <w:color w:val="000000" w:themeColor="text1"/>
          <w:sz w:val="32"/>
          <w:szCs w:val="32"/>
          <w14:textFill>
            <w14:solidFill>
              <w14:schemeClr w14:val="tx1"/>
            </w14:solidFill>
          </w14:textFill>
        </w:rPr>
        <w:br w:type="textWrapping"/>
      </w:r>
      <w:r>
        <w:rPr>
          <w:rFonts w:hint="eastAsia" w:ascii="楷体" w:hAnsi="楷体" w:eastAsia="楷体" w:cs="楷体"/>
          <w:b w:val="0"/>
          <w:bCs w:val="0"/>
          <w:color w:val="000000" w:themeColor="text1"/>
          <w:sz w:val="32"/>
          <w:szCs w:val="32"/>
          <w14:textFill>
            <w14:solidFill>
              <w14:schemeClr w14:val="tx1"/>
            </w14:solidFill>
          </w14:textFill>
        </w:rPr>
        <w:t>　　</w:t>
      </w:r>
      <w:r>
        <w:rPr>
          <w:rStyle w:val="7"/>
          <w:rFonts w:hint="eastAsia" w:ascii="楷体" w:hAnsi="楷体" w:eastAsia="楷体" w:cs="楷体"/>
          <w:b w:val="0"/>
          <w:bCs w:val="0"/>
          <w:color w:val="000000" w:themeColor="text1"/>
          <w:sz w:val="32"/>
          <w:szCs w:val="32"/>
          <w14:textFill>
            <w14:solidFill>
              <w14:schemeClr w14:val="tx1"/>
            </w14:solidFill>
          </w14:textFill>
        </w:rPr>
        <w:t>（一）一般公共预算当年拨款规模变化情况</w:t>
      </w:r>
      <w:r>
        <w:rPr>
          <w:rStyle w:val="7"/>
          <w:rFonts w:hint="eastAsia" w:ascii="楷体" w:hAnsi="楷体" w:eastAsia="楷体" w:cs="楷体"/>
          <w:b w:val="0"/>
          <w:bCs w:val="0"/>
          <w:color w:val="000000" w:themeColor="text1"/>
          <w:sz w:val="32"/>
          <w:szCs w:val="32"/>
          <w14:textFill>
            <w14:solidFill>
              <w14:schemeClr w14:val="tx1"/>
            </w14:solidFill>
          </w14:textFill>
        </w:rPr>
        <w:br w:type="textWrapping"/>
      </w:r>
      <w:r>
        <w:rPr>
          <w:rStyle w:val="7"/>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2021年一般公共预算当年拨款</w:t>
      </w:r>
      <w:r>
        <w:rPr>
          <w:rFonts w:hint="eastAsia" w:ascii="仿宋" w:hAnsi="仿宋" w:eastAsia="仿宋" w:cs="仿宋"/>
          <w:color w:val="000000" w:themeColor="text1"/>
          <w:sz w:val="32"/>
          <w:szCs w:val="32"/>
          <w14:textFill>
            <w14:solidFill>
              <w14:schemeClr w14:val="tx1"/>
            </w14:solidFill>
          </w14:textFill>
        </w:rPr>
        <w:t>488.26</w:t>
      </w:r>
      <w:r>
        <w:rPr>
          <w:rFonts w:hint="eastAsia" w:ascii="仿宋" w:hAnsi="仿宋" w:eastAsia="仿宋" w:cs="仿宋"/>
          <w:color w:val="000000" w:themeColor="text1"/>
          <w:sz w:val="32"/>
          <w:szCs w:val="32"/>
          <w14:textFill>
            <w14:solidFill>
              <w14:schemeClr w14:val="tx1"/>
            </w14:solidFill>
          </w14:textFill>
        </w:rPr>
        <w:t>万元，比2020年预算数增加</w:t>
      </w:r>
      <w:r>
        <w:rPr>
          <w:rFonts w:hint="eastAsia" w:ascii="仿宋" w:hAnsi="仿宋" w:eastAsia="仿宋" w:cs="仿宋"/>
          <w:color w:val="000000" w:themeColor="text1"/>
          <w:sz w:val="32"/>
          <w:szCs w:val="32"/>
          <w14:textFill>
            <w14:solidFill>
              <w14:schemeClr w14:val="tx1"/>
            </w14:solidFill>
          </w14:textFill>
        </w:rPr>
        <w:t>52.09</w:t>
      </w:r>
      <w:r>
        <w:rPr>
          <w:rFonts w:hint="eastAsia" w:ascii="仿宋" w:hAnsi="仿宋" w:eastAsia="仿宋" w:cs="仿宋"/>
          <w:color w:val="000000" w:themeColor="text1"/>
          <w:sz w:val="32"/>
          <w:szCs w:val="32"/>
          <w14:textFill>
            <w14:solidFill>
              <w14:schemeClr w14:val="tx1"/>
            </w14:solidFill>
          </w14:textFill>
        </w:rPr>
        <w:t>万元，主要原因是项目支出预算支出增加。</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楷体" w:hAnsi="楷体" w:eastAsia="楷体" w:cs="楷体"/>
          <w:b w:val="0"/>
          <w:bCs w:val="0"/>
          <w:color w:val="000000" w:themeColor="text1"/>
          <w:sz w:val="32"/>
          <w:szCs w:val="32"/>
          <w14:textFill>
            <w14:solidFill>
              <w14:schemeClr w14:val="tx1"/>
            </w14:solidFill>
          </w14:textFill>
        </w:rPr>
        <w:t>　　（二）一般公共预算当年拨款结构情况</w:t>
      </w:r>
      <w:r>
        <w:rPr>
          <w:rFonts w:hint="eastAsia" w:ascii="楷体" w:hAnsi="楷体" w:eastAsia="楷体" w:cs="楷体"/>
          <w:b w:val="0"/>
          <w:bCs w:val="0"/>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初中教育支出</w:t>
      </w: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67.19</w:t>
      </w:r>
      <w:r>
        <w:rPr>
          <w:rFonts w:hint="eastAsia" w:ascii="仿宋" w:hAnsi="仿宋" w:eastAsia="仿宋" w:cs="仿宋"/>
          <w:color w:val="000000" w:themeColor="text1"/>
          <w:sz w:val="32"/>
          <w:szCs w:val="32"/>
          <w14:textFill>
            <w14:solidFill>
              <w14:schemeClr w14:val="tx1"/>
            </w14:solidFill>
          </w14:textFill>
        </w:rPr>
        <w:t>万元，占75.2%；社会保障和就业支出4</w:t>
      </w:r>
      <w:r>
        <w:rPr>
          <w:rFonts w:hint="eastAsia" w:ascii="仿宋" w:hAnsi="仿宋" w:eastAsia="仿宋" w:cs="仿宋"/>
          <w:color w:val="000000" w:themeColor="text1"/>
          <w:sz w:val="32"/>
          <w:szCs w:val="32"/>
          <w14:textFill>
            <w14:solidFill>
              <w14:schemeClr w14:val="tx1"/>
            </w14:solidFill>
          </w14:textFill>
        </w:rPr>
        <w:t>6.4</w:t>
      </w:r>
      <w:r>
        <w:rPr>
          <w:rFonts w:hint="eastAsia" w:ascii="仿宋" w:hAnsi="仿宋" w:eastAsia="仿宋" w:cs="仿宋"/>
          <w:color w:val="000000" w:themeColor="text1"/>
          <w:sz w:val="32"/>
          <w:szCs w:val="32"/>
          <w14:textFill>
            <w14:solidFill>
              <w14:schemeClr w14:val="tx1"/>
            </w14:solidFill>
          </w14:textFill>
        </w:rPr>
        <w:t>万元，占10</w:t>
      </w: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%；卫生健康支出</w:t>
      </w: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.01</w:t>
      </w:r>
      <w:r>
        <w:rPr>
          <w:rFonts w:hint="eastAsia" w:ascii="仿宋" w:hAnsi="仿宋" w:eastAsia="仿宋" w:cs="仿宋"/>
          <w:color w:val="000000" w:themeColor="text1"/>
          <w:sz w:val="32"/>
          <w:szCs w:val="32"/>
          <w14:textFill>
            <w14:solidFill>
              <w14:schemeClr w14:val="tx1"/>
            </w14:solidFill>
          </w14:textFill>
        </w:rPr>
        <w:t>万元，占5.5%；住房保障支出37</w:t>
      </w:r>
      <w:r>
        <w:rPr>
          <w:rFonts w:hint="eastAsia" w:ascii="仿宋" w:hAnsi="仿宋" w:eastAsia="仿宋" w:cs="仿宋"/>
          <w:color w:val="000000" w:themeColor="text1"/>
          <w:sz w:val="32"/>
          <w:szCs w:val="32"/>
          <w14:textFill>
            <w14:solidFill>
              <w14:schemeClr w14:val="tx1"/>
            </w14:solidFill>
          </w14:textFill>
        </w:rPr>
        <w:t>.63</w:t>
      </w:r>
      <w:r>
        <w:rPr>
          <w:rFonts w:hint="eastAsia" w:ascii="仿宋" w:hAnsi="仿宋" w:eastAsia="仿宋" w:cs="仿宋"/>
          <w:color w:val="000000" w:themeColor="text1"/>
          <w:sz w:val="32"/>
          <w:szCs w:val="32"/>
          <w14:textFill>
            <w14:solidFill>
              <w14:schemeClr w14:val="tx1"/>
            </w14:solidFill>
          </w14:textFill>
        </w:rPr>
        <w:t>万元，占8.7%。</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楷体" w:hAnsi="楷体" w:eastAsia="楷体" w:cs="楷体"/>
          <w:b w:val="0"/>
          <w:bCs w:val="0"/>
          <w:color w:val="000000" w:themeColor="text1"/>
          <w:sz w:val="32"/>
          <w:szCs w:val="32"/>
          <w14:textFill>
            <w14:solidFill>
              <w14:schemeClr w14:val="tx1"/>
            </w14:solidFill>
          </w14:textFill>
        </w:rPr>
        <w:t>　　（三）一般公共预算当年拨款具体使用情况</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1.初中教育2021年预算数为</w:t>
      </w: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67.19</w:t>
      </w:r>
      <w:r>
        <w:rPr>
          <w:rFonts w:hint="eastAsia" w:ascii="仿宋" w:hAnsi="仿宋" w:eastAsia="仿宋" w:cs="仿宋"/>
          <w:color w:val="000000" w:themeColor="text1"/>
          <w:sz w:val="32"/>
          <w:szCs w:val="32"/>
          <w14:textFill>
            <w14:solidFill>
              <w14:schemeClr w14:val="tx1"/>
            </w14:solidFill>
          </w14:textFill>
        </w:rPr>
        <w:t>万元，主要用于：教职工基本工资、津贴补贴、退休生活补贴等人员经费。</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2.社会保障和就业（类）行政事业单位离退休（款）未归口管理的行政单位离退休（项）2021年预算数为4</w:t>
      </w:r>
      <w:r>
        <w:rPr>
          <w:rFonts w:hint="eastAsia" w:ascii="仿宋" w:hAnsi="仿宋" w:eastAsia="仿宋" w:cs="仿宋"/>
          <w:color w:val="000000" w:themeColor="text1"/>
          <w:sz w:val="32"/>
          <w:szCs w:val="32"/>
          <w14:textFill>
            <w14:solidFill>
              <w14:schemeClr w14:val="tx1"/>
            </w14:solidFill>
          </w14:textFill>
        </w:rPr>
        <w:t>6.4</w:t>
      </w:r>
      <w:r>
        <w:rPr>
          <w:rFonts w:hint="eastAsia" w:ascii="仿宋" w:hAnsi="仿宋" w:eastAsia="仿宋" w:cs="仿宋"/>
          <w:color w:val="000000" w:themeColor="text1"/>
          <w:sz w:val="32"/>
          <w:szCs w:val="32"/>
          <w14:textFill>
            <w14:solidFill>
              <w14:schemeClr w14:val="tx1"/>
            </w14:solidFill>
          </w14:textFill>
        </w:rPr>
        <w:t>万元，主要用于：教职工失业、工伤、养老保险等。</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3.卫生健康支出（类）行政事业单位医疗（款）行政单位医疗（项）2021年预算数为</w:t>
      </w: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.01</w:t>
      </w:r>
      <w:r>
        <w:rPr>
          <w:rFonts w:hint="eastAsia" w:ascii="仿宋" w:hAnsi="仿宋" w:eastAsia="仿宋" w:cs="仿宋"/>
          <w:color w:val="000000" w:themeColor="text1"/>
          <w:sz w:val="32"/>
          <w:szCs w:val="32"/>
          <w14:textFill>
            <w14:solidFill>
              <w14:schemeClr w14:val="tx1"/>
            </w14:solidFill>
          </w14:textFill>
        </w:rPr>
        <w:t>万元，主要用于：事业单位基本医疗保险缴费支出。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.住房保障（类）住房改革支出（款）住房公积金（项）2021年预算数为37</w:t>
      </w:r>
      <w:r>
        <w:rPr>
          <w:rFonts w:hint="eastAsia" w:ascii="仿宋" w:hAnsi="仿宋" w:eastAsia="仿宋" w:cs="仿宋"/>
          <w:color w:val="000000" w:themeColor="text1"/>
          <w:sz w:val="32"/>
          <w:szCs w:val="32"/>
          <w14:textFill>
            <w14:solidFill>
              <w14:schemeClr w14:val="tx1"/>
            </w14:solidFill>
          </w14:textFill>
        </w:rPr>
        <w:t>.63</w:t>
      </w:r>
      <w:r>
        <w:rPr>
          <w:rFonts w:hint="eastAsia" w:ascii="仿宋" w:hAnsi="仿宋" w:eastAsia="仿宋" w:cs="仿宋"/>
          <w:color w:val="000000" w:themeColor="text1"/>
          <w:sz w:val="32"/>
          <w:szCs w:val="32"/>
          <w14:textFill>
            <w14:solidFill>
              <w14:schemeClr w14:val="tx1"/>
            </w14:solidFill>
          </w14:textFill>
        </w:rPr>
        <w:t>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六、一般公共预算基本支出情况说明</w:t>
      </w:r>
      <w:r>
        <w:rPr>
          <w:rFonts w:hint="eastAsia" w:ascii="黑体" w:hAnsi="黑体" w:eastAsia="黑体" w:cs="黑体"/>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广元市利州区盘龙初级中学2021年一般公共预算基本支出</w:t>
      </w:r>
      <w:r>
        <w:rPr>
          <w:rFonts w:hint="eastAsia" w:ascii="仿宋" w:hAnsi="仿宋" w:eastAsia="仿宋" w:cs="仿宋"/>
          <w:color w:val="000000" w:themeColor="text1"/>
          <w:sz w:val="32"/>
          <w:szCs w:val="32"/>
          <w14:textFill>
            <w14:solidFill>
              <w14:schemeClr w14:val="tx1"/>
            </w14:solidFill>
          </w14:textFill>
        </w:rPr>
        <w:t>488.26</w:t>
      </w:r>
      <w:r>
        <w:rPr>
          <w:rFonts w:hint="eastAsia" w:ascii="仿宋" w:hAnsi="仿宋" w:eastAsia="仿宋" w:cs="仿宋"/>
          <w:color w:val="000000" w:themeColor="text1"/>
          <w:sz w:val="32"/>
          <w:szCs w:val="32"/>
          <w14:textFill>
            <w14:solidFill>
              <w14:schemeClr w14:val="tx1"/>
            </w14:solidFill>
          </w14:textFill>
        </w:rPr>
        <w:t>万元，其中：人员经费</w:t>
      </w: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67.19</w:t>
      </w:r>
      <w:r>
        <w:rPr>
          <w:rFonts w:hint="eastAsia" w:ascii="仿宋" w:hAnsi="仿宋" w:eastAsia="仿宋" w:cs="仿宋"/>
          <w:color w:val="000000" w:themeColor="text1"/>
          <w:sz w:val="32"/>
          <w:szCs w:val="32"/>
          <w14:textFill>
            <w14:solidFill>
              <w14:schemeClr w14:val="tx1"/>
            </w14:solidFill>
          </w14:textFill>
        </w:rPr>
        <w:t>万元，主要包括：基本工资、津贴补贴、奖金、社会保险缴费等支出，其中对个人和家庭补助支出2</w:t>
      </w:r>
      <w:r>
        <w:rPr>
          <w:rFonts w:hint="eastAsia" w:ascii="仿宋" w:hAnsi="仿宋" w:eastAsia="仿宋" w:cs="仿宋"/>
          <w:color w:val="000000" w:themeColor="text1"/>
          <w:sz w:val="32"/>
          <w:szCs w:val="32"/>
          <w14:textFill>
            <w14:solidFill>
              <w14:schemeClr w14:val="tx1"/>
            </w14:solidFill>
          </w14:textFill>
        </w:rPr>
        <w:t>5.4</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color w:val="000000" w:themeColor="text1"/>
          <w:sz w:val="32"/>
          <w:szCs w:val="32"/>
          <w14:textFill>
            <w14:solidFill>
              <w14:schemeClr w14:val="tx1"/>
            </w14:solidFill>
          </w14:textFill>
        </w:rPr>
        <w:t>　　七、“三公”经费财政拨款预算安排情况说明</w:t>
      </w:r>
      <w:r>
        <w:rPr>
          <w:rFonts w:hint="eastAsia" w:ascii="黑体" w:hAnsi="黑体" w:eastAsia="黑体" w:cs="黑体"/>
          <w:color w:val="000000" w:themeColor="text1"/>
          <w:sz w:val="32"/>
          <w:szCs w:val="32"/>
          <w14:textFill>
            <w14:solidFill>
              <w14:schemeClr w14:val="tx1"/>
            </w14:solidFill>
          </w14:textFill>
        </w:rPr>
        <w:br w:type="textWrapping"/>
      </w:r>
      <w:r>
        <w:rPr>
          <w:rFonts w:hint="eastAsia" w:ascii="黑体" w:hAnsi="黑体" w:eastAsia="黑体" w:cs="黑体"/>
          <w:color w:val="000000" w:themeColor="text1"/>
          <w:sz w:val="32"/>
          <w:szCs w:val="32"/>
          <w:lang w:val="en-US" w:eastAsia="zh-CN"/>
          <w14:textFill>
            <w14:solidFill>
              <w14:schemeClr w14:val="tx1"/>
            </w14:solidFill>
          </w14:textFill>
        </w:rPr>
        <w:t xml:space="preserve">    </w:t>
      </w:r>
      <w:bookmarkStart w:id="0" w:name="_GoBack"/>
      <w:bookmarkEnd w:id="0"/>
      <w:r>
        <w:rPr>
          <w:rFonts w:hint="eastAsia" w:ascii="仿宋" w:hAnsi="仿宋" w:eastAsia="仿宋" w:cs="仿宋"/>
          <w:color w:val="000000" w:themeColor="text1"/>
          <w:sz w:val="32"/>
          <w:szCs w:val="32"/>
          <w14:textFill>
            <w14:solidFill>
              <w14:schemeClr w14:val="tx1"/>
            </w14:solidFill>
          </w14:textFill>
        </w:rPr>
        <w:t>2021年财政拨款安排“三公”经费预算,0万元。单位现有公务用车0辆，其中：轿车</w:t>
      </w:r>
      <w:r>
        <w:rPr>
          <w:rFonts w:hint="eastAsia"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辆、越野车</w:t>
      </w:r>
      <w:r>
        <w:rPr>
          <w:rFonts w:hint="eastAsia"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辆、其他乘用车</w:t>
      </w:r>
      <w:r>
        <w:rPr>
          <w:rFonts w:hint="eastAsia"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辆。</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color w:val="000000" w:themeColor="text1"/>
          <w:sz w:val="32"/>
          <w:szCs w:val="32"/>
          <w14:textFill>
            <w14:solidFill>
              <w14:schemeClr w14:val="tx1"/>
            </w14:solidFill>
          </w14:textFill>
        </w:rPr>
        <w:t>　　八、政府性基金预算支出情况说明</w:t>
      </w:r>
      <w:r>
        <w:rPr>
          <w:rFonts w:hint="eastAsia" w:ascii="黑体" w:hAnsi="黑体" w:eastAsia="黑体" w:cs="黑体"/>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广元市利州区盘龙初级中学2021年没有使用政府性基金预算拨款安排的支出。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color w:val="000000" w:themeColor="text1"/>
          <w:sz w:val="32"/>
          <w:szCs w:val="32"/>
          <w14:textFill>
            <w14:solidFill>
              <w14:schemeClr w14:val="tx1"/>
            </w14:solidFill>
          </w14:textFill>
        </w:rPr>
        <w:t>　　九、国有资本经营预算支出情况说明</w:t>
      </w:r>
      <w:r>
        <w:rPr>
          <w:rFonts w:hint="eastAsia" w:ascii="黑体" w:hAnsi="黑体" w:eastAsia="黑体" w:cs="黑体"/>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广元市利州区盘龙初级中学2021年没有使用国有资本经营预算拨款安排的支出。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color w:val="000000" w:themeColor="text1"/>
          <w:sz w:val="32"/>
          <w:szCs w:val="32"/>
          <w14:textFill>
            <w14:solidFill>
              <w14:schemeClr w14:val="tx1"/>
            </w14:solidFill>
          </w14:textFill>
        </w:rPr>
        <w:t>　　十、其他重要事项的情况说明</w:t>
      </w:r>
      <w:r>
        <w:rPr>
          <w:rFonts w:hint="eastAsia" w:ascii="黑体" w:hAnsi="黑体" w:eastAsia="黑体" w:cs="黑体"/>
          <w:color w:val="000000" w:themeColor="text1"/>
          <w:sz w:val="32"/>
          <w:szCs w:val="32"/>
          <w14:textFill>
            <w14:solidFill>
              <w14:schemeClr w14:val="tx1"/>
            </w14:solidFill>
          </w14:textFill>
        </w:rPr>
        <w:br w:type="textWrapping"/>
      </w:r>
      <w:r>
        <w:rPr>
          <w:rFonts w:hint="eastAsia" w:ascii="楷体" w:hAnsi="楷体" w:eastAsia="楷体" w:cs="楷体"/>
          <w:b w:val="0"/>
          <w:bCs w:val="0"/>
          <w:color w:val="000000" w:themeColor="text1"/>
          <w:sz w:val="32"/>
          <w:szCs w:val="32"/>
          <w14:textFill>
            <w14:solidFill>
              <w14:schemeClr w14:val="tx1"/>
            </w14:solidFill>
          </w14:textFill>
        </w:rPr>
        <w:t>　　（一）政府采购情况</w:t>
      </w:r>
      <w:r>
        <w:rPr>
          <w:rFonts w:hint="eastAsia" w:ascii="楷体" w:hAnsi="楷体" w:eastAsia="楷体" w:cs="楷体"/>
          <w:b w:val="0"/>
          <w:bCs w:val="0"/>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2021年，广元市利州区盘龙初级中学自筹资金安排政府采购预算0万元，主要用于采购办公设备。</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楷体" w:hAnsi="楷体" w:eastAsia="楷体" w:cs="楷体"/>
          <w:b w:val="0"/>
          <w:bCs w:val="0"/>
          <w:color w:val="000000" w:themeColor="text1"/>
          <w:sz w:val="32"/>
          <w:szCs w:val="32"/>
          <w14:textFill>
            <w14:solidFill>
              <w14:schemeClr w14:val="tx1"/>
            </w14:solidFill>
          </w14:textFill>
        </w:rPr>
        <w:t>　　（</w:t>
      </w:r>
      <w:r>
        <w:rPr>
          <w:rFonts w:hint="eastAsia" w:ascii="楷体" w:hAnsi="楷体" w:eastAsia="楷体" w:cs="楷体"/>
          <w:b w:val="0"/>
          <w:bCs w:val="0"/>
          <w:color w:val="000000" w:themeColor="text1"/>
          <w:sz w:val="32"/>
          <w:szCs w:val="32"/>
          <w:lang w:eastAsia="zh-CN"/>
          <w14:textFill>
            <w14:solidFill>
              <w14:schemeClr w14:val="tx1"/>
            </w14:solidFill>
          </w14:textFill>
        </w:rPr>
        <w:t>二</w:t>
      </w:r>
      <w:r>
        <w:rPr>
          <w:rFonts w:hint="eastAsia" w:ascii="楷体" w:hAnsi="楷体" w:eastAsia="楷体" w:cs="楷体"/>
          <w:b w:val="0"/>
          <w:bCs w:val="0"/>
          <w:color w:val="000000" w:themeColor="text1"/>
          <w:sz w:val="32"/>
          <w:szCs w:val="32"/>
          <w14:textFill>
            <w14:solidFill>
              <w14:schemeClr w14:val="tx1"/>
            </w14:solidFill>
          </w14:textFill>
        </w:rPr>
        <w:t>）国有资产占有使用情况</w:t>
      </w:r>
      <w:r>
        <w:rPr>
          <w:rFonts w:hint="eastAsia" w:ascii="楷体" w:hAnsi="楷体" w:eastAsia="楷体" w:cs="楷体"/>
          <w:b w:val="0"/>
          <w:bCs w:val="0"/>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xml:space="preserve">     2021年部门预算未安排(安排）购置车辆及单位价值20万元以上大型设备。</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楷体" w:hAnsi="楷体" w:eastAsia="楷体" w:cs="楷体"/>
          <w:b w:val="0"/>
          <w:bCs w:val="0"/>
          <w:color w:val="000000" w:themeColor="text1"/>
          <w:sz w:val="32"/>
          <w:szCs w:val="32"/>
          <w14:textFill>
            <w14:solidFill>
              <w14:schemeClr w14:val="tx1"/>
            </w14:solidFill>
          </w14:textFill>
        </w:rPr>
        <w:t>　　（</w:t>
      </w:r>
      <w:r>
        <w:rPr>
          <w:rFonts w:hint="eastAsia" w:ascii="楷体" w:hAnsi="楷体" w:eastAsia="楷体" w:cs="楷体"/>
          <w:b w:val="0"/>
          <w:bCs w:val="0"/>
          <w:color w:val="000000" w:themeColor="text1"/>
          <w:sz w:val="32"/>
          <w:szCs w:val="32"/>
          <w:lang w:eastAsia="zh-CN"/>
          <w14:textFill>
            <w14:solidFill>
              <w14:schemeClr w14:val="tx1"/>
            </w14:solidFill>
          </w14:textFill>
        </w:rPr>
        <w:t>三</w:t>
      </w:r>
      <w:r>
        <w:rPr>
          <w:rFonts w:hint="eastAsia" w:ascii="楷体" w:hAnsi="楷体" w:eastAsia="楷体" w:cs="楷体"/>
          <w:b w:val="0"/>
          <w:bCs w:val="0"/>
          <w:color w:val="000000" w:themeColor="text1"/>
          <w:sz w:val="32"/>
          <w:szCs w:val="32"/>
          <w14:textFill>
            <w14:solidFill>
              <w14:schemeClr w14:val="tx1"/>
            </w14:solidFill>
          </w14:textFill>
        </w:rPr>
        <w:t>）绩效目标设置情况</w:t>
      </w:r>
      <w:r>
        <w:rPr>
          <w:rFonts w:hint="eastAsia" w:ascii="楷体" w:hAnsi="楷体" w:eastAsia="楷体" w:cs="楷体"/>
          <w:b w:val="0"/>
          <w:bCs w:val="0"/>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绩效目标是预算编制的前提和基础，按照“费随事定”的原则，2021年广元市利州区盘龙初级中学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color w:val="000000" w:themeColor="text1"/>
          <w:sz w:val="32"/>
          <w:szCs w:val="32"/>
          <w14:textFill>
            <w14:solidFill>
              <w14:schemeClr w14:val="tx1"/>
            </w14:solidFill>
          </w14:textFill>
        </w:rPr>
        <w:t>　　十一、名词解释</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（一）一般公共预算拨款收入：</w:t>
      </w:r>
      <w:r>
        <w:rPr>
          <w:rFonts w:hint="eastAsia" w:ascii="仿宋" w:hAnsi="仿宋" w:eastAsia="仿宋" w:cs="仿宋"/>
          <w:color w:val="000000" w:themeColor="text1"/>
          <w:sz w:val="32"/>
          <w:szCs w:val="32"/>
          <w14:textFill>
            <w14:solidFill>
              <w14:schemeClr w14:val="tx1"/>
            </w14:solidFill>
          </w14:textFill>
        </w:rPr>
        <w:t>指区级财政当年拨付的资金。</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b w:val="0"/>
          <w:bCs w:val="0"/>
          <w:color w:val="000000" w:themeColor="text1"/>
          <w:sz w:val="32"/>
          <w:szCs w:val="32"/>
          <w14:textFill>
            <w14:solidFill>
              <w14:schemeClr w14:val="tx1"/>
            </w14:solidFill>
          </w14:textFill>
        </w:rPr>
        <w:t>（二）上年结转：</w:t>
      </w:r>
      <w:r>
        <w:rPr>
          <w:rFonts w:hint="eastAsia" w:ascii="仿宋" w:hAnsi="仿宋" w:eastAsia="仿宋" w:cs="仿宋"/>
          <w:color w:val="000000" w:themeColor="text1"/>
          <w:sz w:val="32"/>
          <w:szCs w:val="32"/>
          <w14:textFill>
            <w14:solidFill>
              <w14:schemeClr w14:val="tx1"/>
            </w14:solidFill>
          </w14:textFill>
        </w:rPr>
        <w:t>指以前年度尚未完成，结转到本年仍按原规定用途继续使用的资金。</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楷体" w:hAnsi="楷体" w:eastAsia="楷体" w:cs="楷体"/>
          <w:b w:val="0"/>
          <w:bCs w:val="0"/>
          <w:color w:val="000000" w:themeColor="text1"/>
          <w:sz w:val="32"/>
          <w:szCs w:val="32"/>
          <w14:textFill>
            <w14:solidFill>
              <w14:schemeClr w14:val="tx1"/>
            </w14:solidFill>
          </w14:textFill>
        </w:rPr>
        <w:t>　　（三）一般公共服务（类）财政事务（款）行政运行（项）：</w:t>
      </w:r>
      <w:r>
        <w:rPr>
          <w:rFonts w:hint="eastAsia" w:ascii="仿宋" w:hAnsi="仿宋" w:eastAsia="仿宋" w:cs="仿宋"/>
          <w:color w:val="000000" w:themeColor="text1"/>
          <w:sz w:val="32"/>
          <w:szCs w:val="32"/>
          <w14:textFill>
            <w14:solidFill>
              <w14:schemeClr w14:val="tx1"/>
            </w14:solidFill>
          </w14:textFill>
        </w:rPr>
        <w:t>指局机关及参公管理事业单位用于保障机构正常运行、开展日常工作的基本支出。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b w:val="0"/>
          <w:bCs w:val="0"/>
          <w:color w:val="000000" w:themeColor="text1"/>
          <w:sz w:val="32"/>
          <w:szCs w:val="32"/>
          <w14:textFill>
            <w14:solidFill>
              <w14:schemeClr w14:val="tx1"/>
            </w14:solidFill>
          </w14:textFill>
        </w:rPr>
        <w:t>四）社会保障和就业（类）行政事业单位离退休（款）未归口管理的行政单位离退休（项）：</w:t>
      </w:r>
      <w:r>
        <w:rPr>
          <w:rFonts w:hint="eastAsia" w:ascii="仿宋" w:hAnsi="仿宋" w:eastAsia="仿宋" w:cs="仿宋"/>
          <w:color w:val="000000" w:themeColor="text1"/>
          <w:sz w:val="32"/>
          <w:szCs w:val="32"/>
          <w14:textFill>
            <w14:solidFill>
              <w14:schemeClr w14:val="tx1"/>
            </w14:solidFill>
          </w14:textFill>
        </w:rPr>
        <w:t>指局机关离退休人员的支出。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b w:val="0"/>
          <w:bCs w:val="0"/>
          <w:color w:val="000000" w:themeColor="text1"/>
          <w:sz w:val="32"/>
          <w:szCs w:val="32"/>
          <w14:textFill>
            <w14:solidFill>
              <w14:schemeClr w14:val="tx1"/>
            </w14:solidFill>
          </w14:textFill>
        </w:rPr>
        <w:t>（五）社会保障和就业（类）行政事业单位离退休（款）机关事业单位基本养老保险缴费支出（项）：</w:t>
      </w:r>
      <w:r>
        <w:rPr>
          <w:rFonts w:hint="eastAsia" w:ascii="仿宋" w:hAnsi="仿宋" w:eastAsia="仿宋" w:cs="仿宋"/>
          <w:color w:val="000000" w:themeColor="text1"/>
          <w:sz w:val="32"/>
          <w:szCs w:val="32"/>
          <w14:textFill>
            <w14:solidFill>
              <w14:schemeClr w14:val="tx1"/>
            </w14:solidFill>
          </w14:textFill>
        </w:rPr>
        <w:t>指部门实施养老保险制度由单位缴纳的养老保险费的支出。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b w:val="0"/>
          <w:bCs w:val="0"/>
          <w:color w:val="000000" w:themeColor="text1"/>
          <w:sz w:val="32"/>
          <w:szCs w:val="32"/>
          <w14:textFill>
            <w14:solidFill>
              <w14:schemeClr w14:val="tx1"/>
            </w14:solidFill>
          </w14:textFill>
        </w:rPr>
        <w:t>（六）社会保障和就业（类）行政事业单位离退休（款）机关事业单位职业年金缴费支出（项）：</w:t>
      </w:r>
      <w:r>
        <w:rPr>
          <w:rFonts w:hint="eastAsia" w:ascii="仿宋" w:hAnsi="仿宋" w:eastAsia="仿宋" w:cs="仿宋"/>
          <w:color w:val="000000" w:themeColor="text1"/>
          <w:sz w:val="32"/>
          <w:szCs w:val="32"/>
          <w14:textFill>
            <w14:solidFill>
              <w14:schemeClr w14:val="tx1"/>
            </w14:solidFill>
          </w14:textFill>
        </w:rPr>
        <w:t>指部门实施养老保险制度由单位缴纳的职业年金的支出。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b w:val="0"/>
          <w:bCs w:val="0"/>
          <w:color w:val="000000" w:themeColor="text1"/>
          <w:sz w:val="32"/>
          <w:szCs w:val="32"/>
          <w14:textFill>
            <w14:solidFill>
              <w14:schemeClr w14:val="tx1"/>
            </w14:solidFill>
          </w14:textFill>
        </w:rPr>
        <w:t>　（七）卫生健康（类）行政事业单位医疗（款）行政单位医疗（项）：</w:t>
      </w:r>
      <w:r>
        <w:rPr>
          <w:rFonts w:hint="eastAsia" w:ascii="仿宋" w:hAnsi="仿宋" w:eastAsia="仿宋" w:cs="仿宋"/>
          <w:color w:val="000000" w:themeColor="text1"/>
          <w:sz w:val="32"/>
          <w:szCs w:val="32"/>
          <w14:textFill>
            <w14:solidFill>
              <w14:schemeClr w14:val="tx1"/>
            </w14:solidFill>
          </w14:textFill>
        </w:rPr>
        <w:t>指局机关及参公管理事业单位用于缴纳单位基本医疗保险支出。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b w:val="0"/>
          <w:bCs w:val="0"/>
          <w:color w:val="000000" w:themeColor="text1"/>
          <w:sz w:val="32"/>
          <w:szCs w:val="32"/>
          <w14:textFill>
            <w14:solidFill>
              <w14:schemeClr w14:val="tx1"/>
            </w14:solidFill>
          </w14:textFill>
        </w:rPr>
        <w:t>（八）卫生健康（类）行政事业单位医疗（款）事业单位医疗（项）：</w:t>
      </w:r>
      <w:r>
        <w:rPr>
          <w:rFonts w:hint="eastAsia" w:ascii="仿宋" w:hAnsi="仿宋" w:eastAsia="仿宋" w:cs="仿宋"/>
          <w:color w:val="000000" w:themeColor="text1"/>
          <w:sz w:val="32"/>
          <w:szCs w:val="32"/>
          <w14:textFill>
            <w14:solidFill>
              <w14:schemeClr w14:val="tx1"/>
            </w14:solidFill>
          </w14:textFill>
        </w:rPr>
        <w:t>指事业单位用于缴纳单位基本医疗保险支出。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楷体" w:hAnsi="楷体" w:eastAsia="楷体" w:cs="楷体"/>
          <w:b w:val="0"/>
          <w:bCs w:val="0"/>
          <w:color w:val="000000" w:themeColor="text1"/>
          <w:sz w:val="32"/>
          <w:szCs w:val="32"/>
          <w14:textFill>
            <w14:solidFill>
              <w14:schemeClr w14:val="tx1"/>
            </w14:solidFill>
          </w14:textFill>
        </w:rPr>
        <w:t>　　（九）住房保障（类）住房改革支出（款）住房公积金（项）：</w:t>
      </w:r>
      <w:r>
        <w:rPr>
          <w:rFonts w:hint="eastAsia" w:ascii="仿宋" w:hAnsi="仿宋" w:eastAsia="仿宋" w:cs="仿宋"/>
          <w:color w:val="000000" w:themeColor="text1"/>
          <w:sz w:val="32"/>
          <w:szCs w:val="32"/>
          <w14:textFill>
            <w14:solidFill>
              <w14:schemeClr w14:val="tx1"/>
            </w14:solidFill>
          </w14:textFill>
        </w:rPr>
        <w:t>指按照《住房公积金管理条例》的规定，由单位及其在职职工缴存的长期住房储金。</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b w:val="0"/>
          <w:bCs w:val="0"/>
          <w:color w:val="000000" w:themeColor="text1"/>
          <w:sz w:val="32"/>
          <w:szCs w:val="32"/>
          <w14:textFill>
            <w14:solidFill>
              <w14:schemeClr w14:val="tx1"/>
            </w14:solidFill>
          </w14:textFill>
        </w:rPr>
        <w:t>（十）基本支出：</w:t>
      </w:r>
      <w:r>
        <w:rPr>
          <w:rFonts w:hint="eastAsia" w:ascii="仿宋" w:hAnsi="仿宋" w:eastAsia="仿宋" w:cs="仿宋"/>
          <w:color w:val="000000" w:themeColor="text1"/>
          <w:sz w:val="32"/>
          <w:szCs w:val="32"/>
          <w14:textFill>
            <w14:solidFill>
              <w14:schemeClr w14:val="tx1"/>
            </w14:solidFill>
          </w14:textFill>
        </w:rPr>
        <w:t>指为保证机构正常运转，完成日常工作任务而发生的人员支出和公用支出。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b w:val="0"/>
          <w:bCs w:val="0"/>
          <w:color w:val="000000" w:themeColor="text1"/>
          <w:sz w:val="32"/>
          <w:szCs w:val="32"/>
          <w14:textFill>
            <w14:solidFill>
              <w14:schemeClr w14:val="tx1"/>
            </w14:solidFill>
          </w14:textFill>
        </w:rPr>
        <w:t>（十一）项目支出：</w:t>
      </w:r>
      <w:r>
        <w:rPr>
          <w:rFonts w:hint="eastAsia" w:ascii="仿宋" w:hAnsi="仿宋" w:eastAsia="仿宋" w:cs="仿宋"/>
          <w:color w:val="000000" w:themeColor="text1"/>
          <w:sz w:val="32"/>
          <w:szCs w:val="32"/>
          <w14:textFill>
            <w14:solidFill>
              <w14:schemeClr w14:val="tx1"/>
            </w14:solidFill>
          </w14:textFill>
        </w:rPr>
        <w:t>指在基本支出之外为完成特定行政任务和事业发展目标所发生的支出。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b w:val="0"/>
          <w:bCs w:val="0"/>
          <w:color w:val="000000" w:themeColor="text1"/>
          <w:sz w:val="32"/>
          <w:szCs w:val="32"/>
          <w14:textFill>
            <w14:solidFill>
              <w14:schemeClr w14:val="tx1"/>
            </w14:solidFill>
          </w14:textFill>
        </w:rPr>
        <w:t>（十二）“三公”经费：</w:t>
      </w:r>
      <w:r>
        <w:rPr>
          <w:rFonts w:hint="eastAsia" w:ascii="仿宋" w:hAnsi="仿宋" w:eastAsia="仿宋" w:cs="仿宋"/>
          <w:color w:val="000000" w:themeColor="text1"/>
          <w:sz w:val="32"/>
          <w:szCs w:val="32"/>
          <w14:textFill>
            <w14:solidFill>
              <w14:schemeClr w14:val="tx1"/>
            </w14:solidFill>
          </w14:textFill>
        </w:rPr>
        <w:t>纳入xx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bCs/>
          <w:color w:val="000000" w:themeColor="text1"/>
          <w:sz w:val="32"/>
          <w:szCs w:val="32"/>
          <w14:textFill>
            <w14:solidFill>
              <w14:schemeClr w14:val="tx1"/>
            </w14:solidFill>
          </w14:textFill>
        </w:rPr>
        <w:t xml:space="preserve">                      广元市利州区盘龙初级中学</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4320" w:firstLineChars="135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2021年3月29日</w:t>
      </w:r>
    </w:p>
    <w:sectPr>
      <w:footerReference r:id="rId3" w:type="default"/>
      <w:pgSz w:w="11906" w:h="16838"/>
      <w:pgMar w:top="1701" w:right="1474" w:bottom="1701" w:left="1587" w:header="851" w:footer="1361"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Sakkal Majalla">
    <w:panose1 w:val="02000000000000000000"/>
    <w:charset w:val="00"/>
    <w:family w:val="auto"/>
    <w:pitch w:val="default"/>
    <w:sig w:usb0="A000207F" w:usb1="C000204B" w:usb2="00000008" w:usb3="00000000" w:csb0="200000D3"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4085A"/>
    <w:multiLevelType w:val="singleLevel"/>
    <w:tmpl w:val="0794085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0YjFkYzlmOTc4YmRhZmY2YTBjOWZhYzBiYjQyMzAifQ=="/>
  </w:docVars>
  <w:rsids>
    <w:rsidRoot w:val="004F514A"/>
    <w:rsid w:val="000234F0"/>
    <w:rsid w:val="000A3C98"/>
    <w:rsid w:val="000B2ED0"/>
    <w:rsid w:val="000C62AF"/>
    <w:rsid w:val="000F7E8B"/>
    <w:rsid w:val="0012484D"/>
    <w:rsid w:val="0019321F"/>
    <w:rsid w:val="0020247B"/>
    <w:rsid w:val="00204A7A"/>
    <w:rsid w:val="0022790D"/>
    <w:rsid w:val="0024385F"/>
    <w:rsid w:val="0026122B"/>
    <w:rsid w:val="00312142"/>
    <w:rsid w:val="00340E92"/>
    <w:rsid w:val="003A690F"/>
    <w:rsid w:val="003F084C"/>
    <w:rsid w:val="0042298F"/>
    <w:rsid w:val="004C01BC"/>
    <w:rsid w:val="004F514A"/>
    <w:rsid w:val="006669E2"/>
    <w:rsid w:val="007D2FDC"/>
    <w:rsid w:val="007E0D7C"/>
    <w:rsid w:val="008248D9"/>
    <w:rsid w:val="008352DC"/>
    <w:rsid w:val="0086021F"/>
    <w:rsid w:val="00886C02"/>
    <w:rsid w:val="009073AE"/>
    <w:rsid w:val="0098414D"/>
    <w:rsid w:val="00A235EA"/>
    <w:rsid w:val="00A565DC"/>
    <w:rsid w:val="00A923C1"/>
    <w:rsid w:val="00B72696"/>
    <w:rsid w:val="00BD07BB"/>
    <w:rsid w:val="00C06BFD"/>
    <w:rsid w:val="00CD4B04"/>
    <w:rsid w:val="00CE5135"/>
    <w:rsid w:val="00D33725"/>
    <w:rsid w:val="00D7254E"/>
    <w:rsid w:val="00E14578"/>
    <w:rsid w:val="00F534E3"/>
    <w:rsid w:val="00F724EF"/>
    <w:rsid w:val="00FB1A43"/>
    <w:rsid w:val="00FD1EE3"/>
    <w:rsid w:val="00FD2341"/>
    <w:rsid w:val="012E3C79"/>
    <w:rsid w:val="012E766D"/>
    <w:rsid w:val="044F5BC4"/>
    <w:rsid w:val="099A6EBD"/>
    <w:rsid w:val="0B974E68"/>
    <w:rsid w:val="0E1168EA"/>
    <w:rsid w:val="0ED54B8C"/>
    <w:rsid w:val="160776AB"/>
    <w:rsid w:val="1A4B3E10"/>
    <w:rsid w:val="1ED53AE3"/>
    <w:rsid w:val="1F746947"/>
    <w:rsid w:val="237F1682"/>
    <w:rsid w:val="24C90A2A"/>
    <w:rsid w:val="25C96B17"/>
    <w:rsid w:val="260A4F3C"/>
    <w:rsid w:val="2DBA1E53"/>
    <w:rsid w:val="30806273"/>
    <w:rsid w:val="43644D8C"/>
    <w:rsid w:val="45BE2AED"/>
    <w:rsid w:val="55860D15"/>
    <w:rsid w:val="578919DC"/>
    <w:rsid w:val="5FEC0D77"/>
    <w:rsid w:val="600105C9"/>
    <w:rsid w:val="67D245BF"/>
    <w:rsid w:val="74AB75CC"/>
    <w:rsid w:val="76126A64"/>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字符"/>
    <w:basedOn w:val="6"/>
    <w:link w:val="3"/>
    <w:qFormat/>
    <w:uiPriority w:val="99"/>
    <w:rPr>
      <w:rFonts w:ascii="Times New Roman" w:hAnsi="Times New Roman" w:eastAsia="宋体" w:cs="Times New Roman"/>
      <w:sz w:val="18"/>
      <w:szCs w:val="18"/>
    </w:rPr>
  </w:style>
  <w:style w:type="character" w:customStyle="1" w:styleId="10">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2468</Words>
  <Characters>2691</Characters>
  <Lines>20</Lines>
  <Paragraphs>5</Paragraphs>
  <TotalTime>12</TotalTime>
  <ScaleCrop>false</ScaleCrop>
  <LinksUpToDate>false</LinksUpToDate>
  <CharactersWithSpaces>2793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2022-06-02T07:18:00Z</dcterms:created>
  <dc:creator>微软用户</dc:creator>
  <cp:lastModifiedBy>相识是缘</cp:lastModifiedBy>
  <cp:lastPrinted>2019-07-23T02:42:00Z</cp:lastPrinted>
  <dcterms:modified xsi:type="dcterms:W3CDTF">2022-06-14T10:07:51Z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689ADF56ACEE4BF799236E16FD0FE5B0</vt:lpwstr>
  </property>
</Properties>
</file>