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ind w:left="0" w:leftChars="0"/>
        <w:jc w:val="center"/>
        <w:textAlignment w:val="baseline"/>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广元市利州区井田小学</w:t>
      </w:r>
    </w:p>
    <w:p>
      <w:pPr>
        <w:keepNext w:val="0"/>
        <w:keepLines w:val="0"/>
        <w:pageBreakBefore w:val="0"/>
        <w:kinsoku/>
        <w:wordWrap/>
        <w:overflowPunct/>
        <w:topLinePunct w:val="0"/>
        <w:autoSpaceDE/>
        <w:autoSpaceDN/>
        <w:bidi w:val="0"/>
        <w:adjustRightInd/>
        <w:spacing w:line="576" w:lineRule="exact"/>
        <w:ind w:left="0" w:leftChars="0"/>
        <w:jc w:val="center"/>
        <w:textAlignment w:val="baseline"/>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2021年部门预算情况说明</w:t>
      </w:r>
    </w:p>
    <w:p>
      <w:pPr>
        <w:keepNext w:val="0"/>
        <w:keepLines w:val="0"/>
        <w:pageBreakBefore w:val="0"/>
        <w:kinsoku/>
        <w:wordWrap/>
        <w:overflowPunct/>
        <w:topLinePunct w:val="0"/>
        <w:autoSpaceDE/>
        <w:autoSpaceDN/>
        <w:bidi w:val="0"/>
        <w:adjustRightInd/>
        <w:spacing w:line="576" w:lineRule="exact"/>
        <w:ind w:left="0" w:leftChars="0" w:firstLine="643" w:firstLineChars="200"/>
        <w:jc w:val="both"/>
        <w:textAlignment w:val="baseline"/>
        <w:rPr>
          <w:rFonts w:hint="eastAsia" w:ascii="仿宋" w:hAnsi="仿宋" w:eastAsia="仿宋" w:cs="仿宋"/>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广元市利州区井田小学编制14名，其中行政编制0名，事业编制14名，工勤编制0名。在职人员总数11人，其中行政人员0人，工勤人员0人，事业人员10人，其他人员</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人；离休人员19人。固定资产总额484.9509万元。</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二、主要职能职责</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(一)贯彻执行党和国家关于教育改革和发展的各项方针、政策，拟订全区教育事业发展规划和有关教育的规范性文件并组织实施；指导协调全区学校的教育、教学体制改革。</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(三)负责推进义务教育均衡发展和促进教育公平，负责义务教育的宏观指导与协调；全面实施素质教育；</w:t>
      </w:r>
      <w:r>
        <w:rPr>
          <w:rFonts w:hint="eastAsia" w:ascii="仿宋" w:hAnsi="仿宋" w:eastAsia="仿宋" w:cs="仿宋"/>
          <w:color w:val="000000" w:themeColor="text1"/>
          <w:sz w:val="32"/>
          <w:szCs w:val="32"/>
          <w14:textFill>
            <w14:solidFill>
              <w14:schemeClr w14:val="tx1"/>
            </w14:solidFill>
          </w14:textFill>
        </w:rPr>
        <w:t>落实</w:t>
      </w:r>
      <w:r>
        <w:rPr>
          <w:rFonts w:hint="eastAsia" w:ascii="仿宋" w:hAnsi="仿宋" w:eastAsia="仿宋" w:cs="仿宋"/>
          <w:color w:val="000000" w:themeColor="text1"/>
          <w:sz w:val="32"/>
          <w:szCs w:val="32"/>
          <w14:textFill>
            <w14:solidFill>
              <w14:schemeClr w14:val="tx1"/>
            </w14:solidFill>
          </w14:textFill>
        </w:rPr>
        <w:t>学校的办学标准、教学基本要求、教学基本条件的落实情况。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(四)指导全区的教育督导工作；组织指导对基础教育发展水平、质量的监测工作。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(五)统筹管理和协调</w:t>
      </w:r>
      <w:r>
        <w:rPr>
          <w:rFonts w:hint="eastAsia" w:ascii="仿宋" w:hAnsi="仿宋" w:eastAsia="仿宋" w:cs="仿宋"/>
          <w:color w:val="000000" w:themeColor="text1"/>
          <w:sz w:val="32"/>
          <w:szCs w:val="32"/>
          <w14:textFill>
            <w14:solidFill>
              <w14:schemeClr w14:val="tx1"/>
            </w14:solidFill>
          </w14:textFill>
        </w:rPr>
        <w:t>辖</w:t>
      </w:r>
      <w:r>
        <w:rPr>
          <w:rFonts w:hint="eastAsia" w:ascii="仿宋" w:hAnsi="仿宋" w:eastAsia="仿宋" w:cs="仿宋"/>
          <w:color w:val="000000" w:themeColor="text1"/>
          <w:sz w:val="32"/>
          <w:szCs w:val="32"/>
          <w14:textFill>
            <w14:solidFill>
              <w14:schemeClr w14:val="tx1"/>
            </w14:solidFill>
          </w14:textFill>
        </w:rPr>
        <w:t>区社会力量办学的教育工作。</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 xml:space="preserve">学校的依法治校、安全、综合治理、档案、保密、计划生育工作。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(七)统筹管理和协调学校体育、卫生与艺术教育工作。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教育人事制度改革工作，推行和实施校长、教师聘任制。</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九)主管教师工作；组织实施各级各类教师资格证书制度；统筹规划学校教师和管理人员队伍建设；负责教师的继续教育和课程改革新教材的培训工作；会同有关部门负责教师专业技术职务评审工作；指导人才队伍建设。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（十</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管理招生考试工作，会同有关部门编制并监督招生计划，组织协调招生管理工作</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(十二)指导和管理教育系统的科学研究工作，学校的科技开发、科研成果转化和教育兴农工作。</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(十三)组织指导教育方面的对外交流与合作、对外宣传。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(十四)指导、协调学校后勤保障、信息化建设以及教学仪器设备和图书资料装备工作；指导、管理教育信息统计、分析和发布。</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(十五)贯彻执行国家语言文字工作的方针、政策，编制语言文字工作中长期规划；组织协调语言文字的规范和标准的监督检查；指导和组织推广普通话、推行规范汉字；开展普通话培训和测试工作。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(十六)承办上级交办的其他事项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三、预算收支情况说明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广元市利州区井田小学2021年部门预算收入总数200.0556万元，较2020年部门预算收入总数218.5686万元增长-8.47%。2021年部门预算支出总数200.0556万元，较2020年部门预算支出总数218.5686万元增长-8.47%。</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广元市利州区井田小学2021年部门基本支出预算总数200.0556万元，其中人员支出163.1303万元，公用支出6.8909万元，对家庭和个人补助支出30.0344万元</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广元市利州区井田小学2021年部门预算安排专项资金</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万元（明细项目见附表）。</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 xml:space="preserve"> 四、财政拨款收支预算情况说明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教育局机关2021年部门预算财政拨款收入总数200.0556万元，较2020年部门预算财政拨款收入总数218.5686万元增长-8.47%。2021年部门预算财政拨款支出总数200.0556万元，较2020年部门预算财政拨款支出总数218.5686万元增长-8.47%。</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楷体" w:hAnsi="楷体" w:eastAsia="楷体" w:cs="楷体"/>
          <w:b w:val="0"/>
          <w:bCs w:val="0"/>
          <w:color w:val="000000" w:themeColor="text1"/>
          <w:sz w:val="32"/>
          <w:szCs w:val="32"/>
        </w:rPr>
      </w:pPr>
      <w:r>
        <w:rPr>
          <w:rFonts w:hint="eastAsia" w:ascii="黑体" w:hAnsi="黑体" w:eastAsia="黑体" w:cs="黑体"/>
          <w:b w:val="0"/>
          <w:bCs/>
          <w:color w:val="000000" w:themeColor="text1"/>
          <w:sz w:val="32"/>
          <w:szCs w:val="32"/>
        </w:rPr>
        <w:t>五、一般公共预算当年拨款情况说明</w:t>
      </w:r>
      <w:r>
        <w:rPr>
          <w:rFonts w:hint="eastAsia" w:ascii="黑体" w:hAnsi="黑体" w:eastAsia="黑体" w:cs="黑体"/>
          <w:b w:val="0"/>
          <w:bCs/>
          <w:color w:val="000000" w:themeColor="text1"/>
          <w:sz w:val="32"/>
          <w:szCs w:val="32"/>
        </w:rPr>
        <w:br w:type="textWrapping"/>
      </w:r>
      <w:r>
        <w:rPr>
          <w:rFonts w:hint="eastAsia" w:ascii="楷体" w:hAnsi="楷体" w:eastAsia="楷体" w:cs="楷体"/>
          <w:b w:val="0"/>
          <w:bCs w:val="0"/>
          <w:color w:val="000000" w:themeColor="text1"/>
          <w:sz w:val="32"/>
          <w:szCs w:val="32"/>
          <w14:textFill>
            <w14:solidFill>
              <w14:schemeClr w14:val="tx1"/>
            </w14:solidFill>
          </w14:textFill>
        </w:rPr>
        <w:t>　　（一）一般公共预算当年拨款规模变化情况</w:t>
      </w:r>
      <w:r>
        <w:rPr>
          <w:rStyle w:val="7"/>
          <w:rFonts w:hint="eastAsia" w:ascii="楷体" w:hAnsi="楷体" w:eastAsia="楷体" w:cs="楷体"/>
          <w:b w:val="0"/>
          <w:bCs w:val="0"/>
          <w:color w:val="000000" w:themeColor="text1"/>
          <w:sz w:val="32"/>
          <w:szCs w:val="32"/>
          <w14:textFill>
            <w14:solidFill>
              <w14:schemeClr w14:val="tx1"/>
            </w14:solidFill>
          </w14:textFill>
        </w:rPr>
        <w:br w:type="textWrapping"/>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2021年一般公共预算当年拨款200.0556万元，比2020年预算数增加-8.47万元，主要原因是人员支出预算增加。</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rPr>
        <w:t>　　（二）一般公共预算当年拨款结构情况</w:t>
      </w:r>
      <w:r>
        <w:rPr>
          <w:rFonts w:hint="eastAsia" w:ascii="楷体" w:hAnsi="楷体" w:eastAsia="楷体" w:cs="楷体"/>
          <w:b w:val="0"/>
          <w:bCs w:val="0"/>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行政运行及教育支出163.5965万元，占81.76%；社会保障和就业支出15.6878万元，占7.84%；卫生健康支出9.7732万元，占4.89%；住房保障支出10.9981万元，占5.51%。</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一般公共服务（类）财政事务（款）行政运行（项）2021年预算数为163.5965万元，主要用于：局机关及参公管理事业单位正常运转的基本支出，包括基本工资、津贴补贴等人员经费以及办公费、印刷费、水电费等日常公用经费,保障部门正常运转。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2.教育（类）进修及培训（款）培训支出（项）2021年预算数为</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万元，主要用于：部门举办财政干部系统内培训及在职人员参加外部培训等经费支出。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3. 社会保障和就业（类）行政事业单位离退休（款）未归口管理的行政单位离退休（项）2021年预算数为</w:t>
      </w:r>
      <w:r>
        <w:rPr>
          <w:rFonts w:hint="eastAsia" w:ascii="仿宋" w:hAnsi="仿宋" w:eastAsia="仿宋" w:cs="仿宋"/>
          <w:color w:val="000000" w:themeColor="text1"/>
          <w:sz w:val="32"/>
          <w:szCs w:val="32"/>
          <w14:textFill>
            <w14:solidFill>
              <w14:schemeClr w14:val="tx1"/>
            </w14:solidFill>
          </w14:textFill>
        </w:rPr>
        <w:t>15.6878万元，主要用于：保障局机关离退休人员经费支出。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4. 卫生健康支出（类）行政事业单位医疗（款）行政单位医疗（项）2021年预算数为</w:t>
      </w:r>
      <w:r>
        <w:rPr>
          <w:rFonts w:hint="eastAsia" w:ascii="仿宋" w:hAnsi="仿宋" w:eastAsia="仿宋" w:cs="仿宋"/>
          <w:color w:val="000000" w:themeColor="text1"/>
          <w:sz w:val="32"/>
          <w:szCs w:val="32"/>
          <w14:textFill>
            <w14:solidFill>
              <w14:schemeClr w14:val="tx1"/>
            </w14:solidFill>
          </w14:textFill>
        </w:rPr>
        <w:t>9.7732万元，主要用于：局机关及参公管理事业单位基本医疗保险缴费支出。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5.住房保障（类）住房改革支出（款）住房公积金（项）2021</w:t>
      </w:r>
      <w:r>
        <w:rPr>
          <w:rFonts w:hint="eastAsia" w:ascii="仿宋" w:hAnsi="仿宋" w:eastAsia="仿宋" w:cs="仿宋"/>
          <w:color w:val="000000" w:themeColor="text1"/>
          <w:sz w:val="32"/>
          <w:szCs w:val="32"/>
          <w14:textFill>
            <w14:solidFill>
              <w14:schemeClr w14:val="tx1"/>
            </w14:solidFill>
          </w14:textFill>
        </w:rPr>
        <w:t>年预算数为10.9981万元，主要用于：部门按人力资源和社会保障部、财政部规定的基本工资和津贴补贴以及规定比例为职工缴纳的住房公积金支出。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rPr>
        <w:t>六、一般公共预算基本支出情况说明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广元市利州区</w:t>
      </w:r>
      <w:r>
        <w:rPr>
          <w:rFonts w:hint="eastAsia" w:ascii="仿宋" w:hAnsi="仿宋" w:eastAsia="仿宋" w:cs="仿宋"/>
          <w:color w:val="000000" w:themeColor="text1"/>
          <w:sz w:val="32"/>
          <w:szCs w:val="32"/>
          <w14:textFill>
            <w14:solidFill>
              <w14:schemeClr w14:val="tx1"/>
            </w14:solidFill>
          </w14:textFill>
        </w:rPr>
        <w:t>井田小学2021年一般公共预算基本支出200.0556万元，其中：人员经费163.1303万元，主要包括：基本工资、津贴补贴、奖金、社会保险缴费等支出。公用经费6.8909万元，主要包括：办公费、水费、电费、邮电费、印刷费、差旅费、维修（护）费、物业管理费、劳务费等支出。对个人和家庭补助支出30.0344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七、“三公”经费财政拨款预算安排情况说明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2021年财政拨款安排“三公”经费预算</w:t>
      </w:r>
      <w:r>
        <w:rPr>
          <w:rFonts w:hint="eastAsia" w:ascii="仿宋" w:hAnsi="仿宋" w:eastAsia="仿宋" w:cs="仿宋"/>
          <w:color w:val="000000" w:themeColor="text1"/>
          <w:sz w:val="32"/>
          <w:szCs w:val="32"/>
          <w14:textFill>
            <w14:solidFill>
              <w14:schemeClr w14:val="tx1"/>
            </w14:solidFill>
          </w14:textFill>
        </w:rPr>
        <w:t>0.00万元，较2020年部门预算收入0.00万元减少0%。其中：2021年安排公务接待费预算0万元，安排公车购置及运行维护费</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rPr>
        <w:t>（一）公务接待费较2020年预算下降0%。</w:t>
      </w:r>
      <w:r>
        <w:rPr>
          <w:rFonts w:hint="eastAsia" w:ascii="楷体" w:hAnsi="楷体" w:eastAsia="楷体" w:cs="楷体"/>
          <w:b w:val="0"/>
          <w:bCs w:val="0"/>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2021年公务接待</w:t>
      </w:r>
      <w:r>
        <w:rPr>
          <w:rFonts w:hint="eastAsia" w:ascii="仿宋" w:hAnsi="仿宋" w:eastAsia="仿宋" w:cs="仿宋"/>
          <w:color w:val="000000" w:themeColor="text1"/>
          <w:sz w:val="32"/>
          <w:szCs w:val="32"/>
          <w14:textFill>
            <w14:solidFill>
              <w14:schemeClr w14:val="tx1"/>
            </w14:solidFill>
          </w14:textFill>
        </w:rPr>
        <w:t>费计划用于执行接待考察调研、检查指导等公务活动开支的交通费、住宿费、用餐费等。</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rPr>
        <w:t>　　（二）公务用车购置及运行维护费与2021年预算无增长。</w:t>
      </w:r>
      <w:r>
        <w:rPr>
          <w:rFonts w:hint="eastAsia" w:ascii="楷体" w:hAnsi="楷体" w:eastAsia="楷体" w:cs="楷体"/>
          <w:b w:val="0"/>
          <w:bCs w:val="0"/>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单位现有公务用车</w:t>
      </w:r>
      <w:r>
        <w:rPr>
          <w:rFonts w:hint="eastAsia" w:ascii="仿宋" w:hAnsi="仿宋" w:eastAsia="仿宋" w:cs="仿宋"/>
          <w:color w:val="000000" w:themeColor="text1"/>
          <w:sz w:val="32"/>
          <w:szCs w:val="32"/>
          <w14:textFill>
            <w14:solidFill>
              <w14:schemeClr w14:val="tx1"/>
            </w14:solidFill>
          </w14:textFill>
        </w:rPr>
        <w:t>0辆，其中：轿车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辆、越野车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辆、其他乘用车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2021年未安排公务用车购置费0万元。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2021年安排公务用车运行维护费</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八、政府性基金预算支出情况说明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广元市利州区井田小学2021年没有使用政府性基金预算拨款安排的支出。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九、国有资本经营预算支出情况说明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广元市利州区</w:t>
      </w:r>
      <w:r>
        <w:rPr>
          <w:rFonts w:hint="eastAsia" w:ascii="仿宋" w:hAnsi="仿宋" w:eastAsia="仿宋" w:cs="仿宋"/>
          <w:color w:val="000000" w:themeColor="text1"/>
          <w:sz w:val="32"/>
          <w:szCs w:val="32"/>
          <w14:textFill>
            <w14:solidFill>
              <w14:schemeClr w14:val="tx1"/>
            </w14:solidFill>
          </w14:textFill>
        </w:rPr>
        <w:t>井田小学2021年没有使用国有资本经营预算拨款安排的支出。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十、其他重要事项的情况说明</w:t>
      </w:r>
      <w:r>
        <w:rPr>
          <w:rFonts w:hint="eastAsia" w:ascii="黑体" w:hAnsi="黑体" w:eastAsia="黑体" w:cs="黑体"/>
          <w:b w:val="0"/>
          <w:bCs/>
          <w:color w:val="000000" w:themeColor="text1"/>
          <w:sz w:val="32"/>
          <w:szCs w:val="32"/>
        </w:rPr>
        <w:br w:type="textWrapping"/>
      </w:r>
      <w:r>
        <w:rPr>
          <w:rFonts w:hint="eastAsia" w:ascii="楷体" w:hAnsi="楷体" w:eastAsia="楷体" w:cs="楷体"/>
          <w:b w:val="0"/>
          <w:bCs w:val="0"/>
          <w:color w:val="000000" w:themeColor="text1"/>
          <w:sz w:val="32"/>
          <w:szCs w:val="32"/>
        </w:rPr>
        <w:t>　　（一）政府采购情况</w:t>
      </w:r>
      <w:r>
        <w:rPr>
          <w:rFonts w:hint="eastAsia" w:ascii="楷体" w:hAnsi="楷体" w:eastAsia="楷体" w:cs="楷体"/>
          <w:b w:val="0"/>
          <w:bCs w:val="0"/>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2021年，井田小学未安排政府采购预算</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楷体" w:hAnsi="楷体" w:eastAsia="楷体" w:cs="楷体"/>
          <w:b w:val="0"/>
          <w:bCs w:val="0"/>
          <w:color w:val="000000" w:themeColor="text1"/>
          <w:sz w:val="32"/>
          <w:szCs w:val="32"/>
        </w:rPr>
        <w:t>（二）国有资产占有使用情况</w:t>
      </w:r>
      <w:r>
        <w:rPr>
          <w:rFonts w:hint="eastAsia" w:ascii="楷体" w:hAnsi="楷体" w:eastAsia="楷体" w:cs="楷体"/>
          <w:b w:val="0"/>
          <w:bCs w:val="0"/>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截至2021年底，井田小学无车辆。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2021年部门预算未安排(安排）购置车辆及单位价值20万元以上大型设备。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rPr>
        <w:t>　　（三）绩效目标设置情况</w:t>
      </w:r>
      <w:r>
        <w:rPr>
          <w:rFonts w:hint="eastAsia" w:ascii="楷体" w:hAnsi="楷体" w:eastAsia="楷体" w:cs="楷体"/>
          <w:b w:val="0"/>
          <w:bCs w:val="0"/>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绩效目标是预算编制的前提和基础，按照“费随事定”的原则，2021年广元市利州区井田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十一、名词解释</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rPr>
        <w:t>（一）一般公共预算拨款收入：</w:t>
      </w:r>
      <w:r>
        <w:rPr>
          <w:rFonts w:hint="eastAsia" w:ascii="仿宋" w:hAnsi="仿宋" w:eastAsia="仿宋" w:cs="仿宋"/>
          <w:color w:val="000000" w:themeColor="text1"/>
          <w:sz w:val="32"/>
          <w:szCs w:val="32"/>
          <w14:textFill>
            <w14:solidFill>
              <w14:schemeClr w14:val="tx1"/>
            </w14:solidFill>
          </w14:textFill>
        </w:rPr>
        <w:t>指区级财政当年拨付的资金。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　（二）上年结转：</w:t>
      </w:r>
      <w:r>
        <w:rPr>
          <w:rFonts w:hint="eastAsia" w:ascii="仿宋" w:hAnsi="仿宋" w:eastAsia="仿宋" w:cs="仿宋"/>
          <w:color w:val="000000" w:themeColor="text1"/>
          <w:sz w:val="32"/>
          <w:szCs w:val="32"/>
          <w14:textFill>
            <w14:solidFill>
              <w14:schemeClr w14:val="tx1"/>
            </w14:solidFill>
          </w14:textFill>
        </w:rPr>
        <w:t>指以前年度尚未完成，结转到本年仍按原规定</w:t>
      </w:r>
      <w:r>
        <w:rPr>
          <w:rFonts w:hint="eastAsia" w:ascii="仿宋" w:hAnsi="仿宋" w:eastAsia="仿宋" w:cs="仿宋"/>
          <w:color w:val="000000" w:themeColor="text1"/>
          <w:sz w:val="32"/>
          <w:szCs w:val="32"/>
          <w14:textFill>
            <w14:solidFill>
              <w14:schemeClr w14:val="tx1"/>
            </w14:solidFill>
          </w14:textFill>
        </w:rPr>
        <w:t>用途继续使用的资金。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rPr>
        <w:t>　　（三）一般公共服务（类）财政事务（款）行政运行（项）：</w:t>
      </w:r>
      <w:r>
        <w:rPr>
          <w:rFonts w:hint="eastAsia" w:ascii="仿宋" w:hAnsi="仿宋" w:eastAsia="仿宋" w:cs="仿宋"/>
          <w:color w:val="000000" w:themeColor="text1"/>
          <w:sz w:val="32"/>
          <w:szCs w:val="32"/>
          <w14:textFill>
            <w14:solidFill>
              <w14:schemeClr w14:val="tx1"/>
            </w14:solidFill>
          </w14:textFill>
        </w:rPr>
        <w:t>指局机关及参公管理事业单位用于保障机构正常运行、开展日常工作的基本支出。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　（四）社会保障和就业（类）行政事业单位离退休（款）未归口管理的行政单位离退休（项）：</w:t>
      </w:r>
      <w:r>
        <w:rPr>
          <w:rFonts w:hint="eastAsia" w:ascii="仿宋" w:hAnsi="仿宋" w:eastAsia="仿宋" w:cs="仿宋"/>
          <w:color w:val="000000" w:themeColor="text1"/>
          <w:sz w:val="32"/>
          <w:szCs w:val="32"/>
          <w14:textFill>
            <w14:solidFill>
              <w14:schemeClr w14:val="tx1"/>
            </w14:solidFill>
          </w14:textFill>
        </w:rPr>
        <w:t>指局机关离退休人员的支出。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（五）社会保障和就业（类）行政事业单位离退休（款）机关事业单位基本养老保险缴费支出（项）：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指部门实施养老保险制度由单位缴纳的养老保险费的支出。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rPr>
        <w:t>　　（六）社会保障和就业（类）行政事业单位离退休（款）机关事业单位职业年金缴费支出（项）：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指部门实施养老保险制度由单位缴纳的职业年金的支出。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（七）卫生健康（类）行政事业单位医疗（款）行政单位医疗（项）：</w:t>
      </w:r>
      <w:r>
        <w:rPr>
          <w:rFonts w:hint="eastAsia" w:ascii="仿宋" w:hAnsi="仿宋" w:eastAsia="仿宋" w:cs="仿宋"/>
          <w:color w:val="000000" w:themeColor="text1"/>
          <w:sz w:val="32"/>
          <w:szCs w:val="32"/>
          <w14:textFill>
            <w14:solidFill>
              <w14:schemeClr w14:val="tx1"/>
            </w14:solidFill>
          </w14:textFill>
        </w:rPr>
        <w:t>指局机关及参公管理事业单位用于缴纳单位基本医疗保险支出。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（八）卫生健康（类）行政事业单位医疗（款）事业单位医疗（项）：</w:t>
      </w:r>
      <w:r>
        <w:rPr>
          <w:rFonts w:hint="eastAsia" w:ascii="仿宋" w:hAnsi="仿宋" w:eastAsia="仿宋" w:cs="仿宋"/>
          <w:color w:val="000000" w:themeColor="text1"/>
          <w:sz w:val="32"/>
          <w:szCs w:val="32"/>
          <w14:textFill>
            <w14:solidFill>
              <w14:schemeClr w14:val="tx1"/>
            </w14:solidFill>
          </w14:textFill>
        </w:rPr>
        <w:t>指事业单位用于缴纳单位基本医疗保险支出。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rPr>
        <w:t>　　（九）住房保障（类）住房改革支出（款）住房公积金（项）：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指按照《住房公积金管理条例》的规定，由单位及其在职职工缴存的长期住房储金。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（十）基本支出：</w:t>
      </w:r>
      <w:r>
        <w:rPr>
          <w:rFonts w:hint="eastAsia" w:ascii="仿宋" w:hAnsi="仿宋" w:eastAsia="仿宋" w:cs="仿宋"/>
          <w:color w:val="000000" w:themeColor="text1"/>
          <w:sz w:val="32"/>
          <w:szCs w:val="32"/>
          <w14:textFill>
            <w14:solidFill>
              <w14:schemeClr w14:val="tx1"/>
            </w14:solidFill>
          </w14:textFill>
        </w:rPr>
        <w:t>指为保证机构正常运转，完成日常工作任务而发生的人员支出和公用支出。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（十一）项目支出：</w:t>
      </w:r>
      <w:r>
        <w:rPr>
          <w:rFonts w:hint="eastAsia" w:ascii="仿宋" w:hAnsi="仿宋" w:eastAsia="仿宋" w:cs="仿宋"/>
          <w:color w:val="000000" w:themeColor="text1"/>
          <w:sz w:val="32"/>
          <w:szCs w:val="32"/>
          <w14:textFill>
            <w14:solidFill>
              <w14:schemeClr w14:val="tx1"/>
            </w14:solidFill>
          </w14:textFill>
        </w:rPr>
        <w:t>指在基本支出之外为完成特定行政任务和事</w:t>
      </w:r>
      <w:r>
        <w:rPr>
          <w:rFonts w:hint="eastAsia" w:ascii="仿宋" w:hAnsi="仿宋" w:eastAsia="仿宋" w:cs="仿宋"/>
          <w:color w:val="000000" w:themeColor="text1"/>
          <w:sz w:val="32"/>
          <w:szCs w:val="32"/>
          <w14:textFill>
            <w14:solidFill>
              <w14:schemeClr w14:val="tx1"/>
            </w14:solidFill>
          </w14:textFill>
        </w:rPr>
        <w:t>业发展目标所发生的支出。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rPr>
        <w:t>（十二）“三公”经费：</w:t>
      </w:r>
      <w:r>
        <w:rPr>
          <w:rFonts w:hint="eastAsia" w:ascii="仿宋" w:hAnsi="仿宋" w:eastAsia="仿宋" w:cs="仿宋"/>
          <w:color w:val="000000" w:themeColor="text1"/>
          <w:sz w:val="32"/>
          <w:szCs w:val="32"/>
          <w14:textFill>
            <w14:solidFill>
              <w14:schemeClr w14:val="tx1"/>
            </w14:solidFill>
          </w14:textFill>
        </w:rPr>
        <w:t>纳入财政预算管理的“三公”经费，是指部门用财政拨款安排的因公出国（境）费、公务用车购置及运行费和公务接待费。其中，因公出国（境）</w:t>
      </w:r>
      <w:r>
        <w:rPr>
          <w:rFonts w:hint="eastAsia" w:ascii="仿宋" w:hAnsi="仿宋" w:eastAsia="仿宋" w:cs="仿宋"/>
          <w:color w:val="000000" w:themeColor="text1"/>
          <w:sz w:val="32"/>
          <w:szCs w:val="32"/>
          <w14:textFill>
            <w14:solidFill>
              <w14:schemeClr w14:val="tx1"/>
            </w14:solidFill>
          </w14:textFill>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left="0" w:leftChars="0" w:firstLine="640" w:firstLineChars="200"/>
        <w:jc w:val="both"/>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广元市利州区井田小学</w:t>
      </w:r>
    </w:p>
    <w:p>
      <w:pPr>
        <w:keepNext w:val="0"/>
        <w:keepLines w:val="0"/>
        <w:pageBreakBefore w:val="0"/>
        <w:kinsoku/>
        <w:wordWrap/>
        <w:overflowPunct/>
        <w:topLinePunct w:val="0"/>
        <w:autoSpaceDE/>
        <w:autoSpaceDN/>
        <w:bidi w:val="0"/>
        <w:adjustRightInd/>
        <w:spacing w:line="576" w:lineRule="exact"/>
        <w:ind w:left="0" w:leftChars="0" w:firstLine="4640" w:firstLineChars="1450"/>
        <w:jc w:val="both"/>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2021年3月29日</w:t>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implified Arabic Fixed">
    <w:panose1 w:val="02070309020205020404"/>
    <w:charset w:val="00"/>
    <w:family w:val="auto"/>
    <w:pitch w:val="default"/>
    <w:sig w:usb0="00002003" w:usb1="00000000" w:usb2="00000000" w:usb3="00000000" w:csb0="00000041" w:csb1="20080000"/>
  </w:font>
  <w:font w:name="Utsaah">
    <w:panose1 w:val="020B0604020202020204"/>
    <w:charset w:val="00"/>
    <w:family w:val="auto"/>
    <w:pitch w:val="default"/>
    <w:sig w:usb0="00008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Segoe UI Light">
    <w:panose1 w:val="020B0502040204020203"/>
    <w:charset w:val="00"/>
    <w:family w:val="auto"/>
    <w:pitch w:val="default"/>
    <w:sig w:usb0="E00002FF" w:usb1="4000A47B"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YjFkYzlmOTc4YmRhZmY2YTBjOWZhYzBiYjQyMzAifQ=="/>
  </w:docVars>
  <w:rsids>
    <w:rsidRoot w:val="004F514A"/>
    <w:rsid w:val="0002016F"/>
    <w:rsid w:val="000234F0"/>
    <w:rsid w:val="000C263C"/>
    <w:rsid w:val="000D50AB"/>
    <w:rsid w:val="000F7E8B"/>
    <w:rsid w:val="0012484D"/>
    <w:rsid w:val="00185699"/>
    <w:rsid w:val="0019321F"/>
    <w:rsid w:val="002002DA"/>
    <w:rsid w:val="0020247B"/>
    <w:rsid w:val="00204A7A"/>
    <w:rsid w:val="00213C0B"/>
    <w:rsid w:val="0022790D"/>
    <w:rsid w:val="0024385F"/>
    <w:rsid w:val="002500A7"/>
    <w:rsid w:val="0026122B"/>
    <w:rsid w:val="002D1E95"/>
    <w:rsid w:val="002D5DDB"/>
    <w:rsid w:val="00312142"/>
    <w:rsid w:val="00370363"/>
    <w:rsid w:val="0037259F"/>
    <w:rsid w:val="003A690F"/>
    <w:rsid w:val="003F084C"/>
    <w:rsid w:val="00455A29"/>
    <w:rsid w:val="00485B4E"/>
    <w:rsid w:val="004C01BC"/>
    <w:rsid w:val="004F514A"/>
    <w:rsid w:val="006669E2"/>
    <w:rsid w:val="00684D85"/>
    <w:rsid w:val="006A476B"/>
    <w:rsid w:val="006A7B11"/>
    <w:rsid w:val="00716BE8"/>
    <w:rsid w:val="007359EB"/>
    <w:rsid w:val="007D2FDC"/>
    <w:rsid w:val="007E0D7C"/>
    <w:rsid w:val="00852601"/>
    <w:rsid w:val="0086021F"/>
    <w:rsid w:val="008818E4"/>
    <w:rsid w:val="00886C02"/>
    <w:rsid w:val="009073AE"/>
    <w:rsid w:val="009A3D98"/>
    <w:rsid w:val="009F7D92"/>
    <w:rsid w:val="00A565DC"/>
    <w:rsid w:val="00A65020"/>
    <w:rsid w:val="00A923C1"/>
    <w:rsid w:val="00AC2EAA"/>
    <w:rsid w:val="00B119AC"/>
    <w:rsid w:val="00B84337"/>
    <w:rsid w:val="00B86CE4"/>
    <w:rsid w:val="00C06BFD"/>
    <w:rsid w:val="00C94ABD"/>
    <w:rsid w:val="00CA6304"/>
    <w:rsid w:val="00CD4B04"/>
    <w:rsid w:val="00CE5135"/>
    <w:rsid w:val="00D33725"/>
    <w:rsid w:val="00D732C3"/>
    <w:rsid w:val="00D73BBE"/>
    <w:rsid w:val="00E14578"/>
    <w:rsid w:val="00E15DF2"/>
    <w:rsid w:val="00E44227"/>
    <w:rsid w:val="00E94E60"/>
    <w:rsid w:val="00EA4825"/>
    <w:rsid w:val="00FA6365"/>
    <w:rsid w:val="00FB1A43"/>
    <w:rsid w:val="00FD2341"/>
    <w:rsid w:val="012E766D"/>
    <w:rsid w:val="044F5BC4"/>
    <w:rsid w:val="07A2101E"/>
    <w:rsid w:val="099A6EBD"/>
    <w:rsid w:val="0B974E68"/>
    <w:rsid w:val="0E1168EA"/>
    <w:rsid w:val="0ED54B8C"/>
    <w:rsid w:val="160776AB"/>
    <w:rsid w:val="1A4B3E10"/>
    <w:rsid w:val="1ED53AE3"/>
    <w:rsid w:val="1F746947"/>
    <w:rsid w:val="237F1682"/>
    <w:rsid w:val="24C90A2A"/>
    <w:rsid w:val="25C96B17"/>
    <w:rsid w:val="260A4F3C"/>
    <w:rsid w:val="27990E65"/>
    <w:rsid w:val="2DBA1E53"/>
    <w:rsid w:val="30806273"/>
    <w:rsid w:val="35752786"/>
    <w:rsid w:val="3BEF1FB1"/>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3309</Words>
  <Characters>3640</Characters>
  <Lines>27</Lines>
  <Paragraphs>7</Paragraphs>
  <TotalTime>12</TotalTime>
  <ScaleCrop>false</ScaleCrop>
  <LinksUpToDate>false</LinksUpToDate>
  <CharactersWithSpaces>3765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2022-06-14T09:22:43Z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17C1B1262A114FA9A69797C386DD18CA</vt:lpwstr>
  </property>
</Properties>
</file>