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96597"/>
      <w:bookmarkStart w:id="2" w:name="_Toc19089858"/>
      <w:bookmarkStart w:id="3" w:name="_Toc15377193"/>
      <w:bookmarkStart w:id="4" w:name="_Toc15378441"/>
      <w:bookmarkStart w:id="5" w:name="_Toc15377425"/>
      <w:bookmarkStart w:id="6" w:name="_Toc15396475"/>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9089859"/>
      <w:bookmarkStart w:id="8" w:name="_Toc15378442"/>
      <w:bookmarkStart w:id="9" w:name="_Toc15377194"/>
      <w:bookmarkStart w:id="10" w:name="_Toc15396598"/>
      <w:bookmarkStart w:id="11" w:name="_Toc15377426"/>
      <w:bookmarkStart w:id="12" w:name="_Toc15396476"/>
      <w:r>
        <w:rPr>
          <w:rFonts w:hint="eastAsia" w:ascii="方正小标宋简体" w:hAnsi="宋体" w:eastAsia="方正小标宋简体"/>
          <w:sz w:val="58"/>
          <w:szCs w:val="58"/>
        </w:rPr>
        <w:t>四川省</w:t>
      </w:r>
      <w:bookmarkStart w:id="13" w:name="_Toc15306268"/>
      <w:r>
        <w:rPr>
          <w:rFonts w:hint="eastAsia" w:ascii="方正小标宋简体" w:hAnsi="宋体" w:eastAsia="方正小标宋简体"/>
          <w:sz w:val="58"/>
          <w:szCs w:val="58"/>
          <w:lang w:eastAsia="zh-CN"/>
        </w:rPr>
        <w:t>广元市</w:t>
      </w:r>
      <w:r>
        <w:rPr>
          <w:rFonts w:hint="eastAsia" w:ascii="方正小标宋简体" w:hAnsi="宋体" w:eastAsia="方正小标宋简体"/>
          <w:sz w:val="58"/>
          <w:szCs w:val="58"/>
        </w:rPr>
        <w:t>利州区</w:t>
      </w:r>
      <w:bookmarkEnd w:id="7"/>
      <w:r>
        <w:rPr>
          <w:rFonts w:hint="eastAsia" w:ascii="方正小标宋简体" w:hAnsi="宋体" w:eastAsia="方正小标宋简体"/>
          <w:sz w:val="58"/>
          <w:szCs w:val="58"/>
        </w:rPr>
        <w:t>清河小学</w:t>
      </w:r>
    </w:p>
    <w:p>
      <w:pPr>
        <w:adjustRightInd w:val="0"/>
        <w:snapToGrid w:val="0"/>
        <w:spacing w:line="360" w:lineRule="auto"/>
        <w:jc w:val="center"/>
        <w:outlineLvl w:val="0"/>
        <w:rPr>
          <w:rFonts w:ascii="方正小标宋简体" w:hAnsi="宋体" w:eastAsia="方正小标宋简体"/>
          <w:sz w:val="58"/>
          <w:szCs w:val="58"/>
        </w:rPr>
      </w:pPr>
      <w:bookmarkStart w:id="14" w:name="_Toc19089860"/>
      <w:r>
        <w:rPr>
          <w:rFonts w:hint="eastAsia" w:ascii="方正小标宋简体" w:hAnsi="宋体" w:eastAsia="方正小标宋简体"/>
          <w:sz w:val="58"/>
          <w:szCs w:val="58"/>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黑体" w:hAnsi="黑体" w:eastAsia="黑体"/>
          <w:sz w:val="48"/>
          <w:szCs w:val="48"/>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sz w:val="28"/>
          <w:szCs w:val="28"/>
        </w:rPr>
      </w:pPr>
      <w:r>
        <w:rPr>
          <w:rFonts w:hint="eastAsia" w:ascii="黑体" w:hAnsi="黑体" w:eastAsia="黑体"/>
          <w:sz w:val="28"/>
          <w:szCs w:val="28"/>
        </w:rPr>
        <w:t>第一部分 部门概况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一、基本职能及主要工作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二、机构设置</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sz w:val="28"/>
          <w:szCs w:val="28"/>
        </w:rPr>
      </w:pPr>
      <w:r>
        <w:rPr>
          <w:rFonts w:hint="eastAsia" w:ascii="黑体" w:hAnsi="黑体" w:eastAsia="黑体"/>
          <w:sz w:val="28"/>
          <w:szCs w:val="28"/>
        </w:rPr>
        <w:t>第二部分 2019年度部门决算情况说明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二、收入决算情况说明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三、支出决算情况说明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八、政府性基金预算支出决算情况说明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九、 国有资本经营预算支出决算情况说明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十、预算绩效情况说明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十一、其他重要事项的情况说明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sz w:val="28"/>
          <w:szCs w:val="28"/>
        </w:rPr>
      </w:pPr>
      <w:r>
        <w:rPr>
          <w:rFonts w:hint="eastAsia" w:ascii="黑体" w:hAnsi="黑体" w:eastAsia="黑体"/>
          <w:sz w:val="28"/>
          <w:szCs w:val="28"/>
        </w:rPr>
        <w:t>第三部分 名词解释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sz w:val="28"/>
          <w:szCs w:val="28"/>
        </w:rPr>
      </w:pPr>
      <w:r>
        <w:rPr>
          <w:rFonts w:hint="eastAsia" w:ascii="黑体" w:hAnsi="黑体" w:eastAsia="黑体"/>
          <w:sz w:val="28"/>
          <w:szCs w:val="28"/>
        </w:rPr>
        <w:t>第四部分 附件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eastAsia="zh-CN"/>
        </w:rPr>
        <w:t>：</w:t>
      </w: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广元市利州区清河小学2019年部门整体支出绩效评价报告</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840" w:firstLineChars="300"/>
        <w:jc w:val="left"/>
        <w:textAlignment w:val="auto"/>
        <w:rPr>
          <w:rFonts w:hint="eastAsia" w:ascii="仿宋" w:hAnsi="仿宋" w:eastAsia="仿宋" w:cs="方正小标宋简体"/>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cs="方正小标宋简体"/>
          <w:sz w:val="28"/>
          <w:szCs w:val="28"/>
        </w:rPr>
        <w:t>广元市利州区清河小学2019年学生营养改善计划项目支出</w:t>
      </w:r>
    </w:p>
    <w:p>
      <w:pPr>
        <w:keepNext w:val="0"/>
        <w:keepLines w:val="0"/>
        <w:pageBreakBefore w:val="0"/>
        <w:widowControl w:val="0"/>
        <w:kinsoku/>
        <w:wordWrap/>
        <w:overflowPunct/>
        <w:topLinePunct w:val="0"/>
        <w:autoSpaceDE/>
        <w:autoSpaceDN/>
        <w:bidi w:val="0"/>
        <w:adjustRightInd/>
        <w:snapToGrid w:val="0"/>
        <w:spacing w:line="360" w:lineRule="auto"/>
        <w:ind w:firstLine="1680" w:firstLineChars="600"/>
        <w:jc w:val="left"/>
        <w:textAlignment w:val="auto"/>
        <w:rPr>
          <w:rFonts w:ascii="仿宋" w:hAnsi="仿宋" w:eastAsia="仿宋"/>
          <w:sz w:val="28"/>
          <w:szCs w:val="28"/>
        </w:rPr>
      </w:pPr>
      <w:r>
        <w:rPr>
          <w:rFonts w:hint="eastAsia" w:ascii="仿宋" w:hAnsi="仿宋" w:eastAsia="仿宋" w:cs="方正小标宋简体"/>
          <w:sz w:val="28"/>
          <w:szCs w:val="28"/>
        </w:rPr>
        <w:t>绩效评价报告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仿宋" w:hAnsi="仿宋" w:eastAsia="仿宋"/>
          <w:sz w:val="28"/>
          <w:szCs w:val="28"/>
        </w:rPr>
      </w:pPr>
      <w:r>
        <w:rPr>
          <w:rFonts w:hint="eastAsia" w:ascii="黑体" w:hAnsi="黑体" w:eastAsia="黑体"/>
          <w:sz w:val="28"/>
          <w:szCs w:val="28"/>
        </w:rPr>
        <w:t>第五部分 附表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三、支出总表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widowControl/>
        <w:jc w:val="left"/>
        <w:rPr>
          <w:rFonts w:ascii="黑体" w:hAnsi="黑体" w:eastAsia="黑体"/>
          <w:sz w:val="28"/>
          <w:szCs w:val="28"/>
        </w:rPr>
      </w:pPr>
    </w:p>
    <w:p>
      <w:pPr>
        <w:widowControl/>
        <w:jc w:val="center"/>
        <w:rPr>
          <w:rFonts w:ascii="黑体" w:hAnsi="黑体" w:eastAsia="黑体"/>
          <w:sz w:val="48"/>
          <w:szCs w:val="48"/>
        </w:rPr>
      </w:pPr>
      <w:r>
        <w:rPr>
          <w:rFonts w:ascii="黑体" w:hAnsi="黑体" w:eastAsia="黑体"/>
          <w:sz w:val="48"/>
          <w:szCs w:val="48"/>
        </w:rPr>
        <w:t> </w:t>
      </w:r>
    </w:p>
    <w:p>
      <w:pPr>
        <w:widowControl/>
        <w:jc w:val="left"/>
        <w:rPr>
          <w:rFonts w:ascii="黑体" w:hAnsi="黑体" w:eastAsia="黑体"/>
          <w:sz w:val="48"/>
          <w:szCs w:val="48"/>
        </w:rPr>
      </w:pPr>
      <w:r>
        <w:rPr>
          <w:rFonts w:ascii="黑体" w:hAnsi="黑体" w:eastAsia="黑体"/>
          <w:sz w:val="48"/>
          <w:szCs w:val="48"/>
        </w:rPr>
        <w:br w:type="page"/>
      </w:r>
    </w:p>
    <w:p>
      <w:pPr>
        <w:pStyle w:val="2"/>
        <w:jc w:val="center"/>
        <w:rPr>
          <w:rFonts w:hint="eastAsia" w:ascii="方正小标宋简体" w:hAnsi="方正小标宋简体" w:eastAsia="方正小标宋简体" w:cs="方正小标宋简体"/>
          <w:bCs w:val="0"/>
        </w:rPr>
      </w:pPr>
      <w:bookmarkStart w:id="15" w:name="_Toc15377196"/>
      <w:bookmarkStart w:id="16" w:name="_Toc19089861"/>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60" w:lineRule="exact"/>
        <w:ind w:firstLine="560" w:firstLineChars="200"/>
        <w:textAlignment w:val="auto"/>
        <w:rPr>
          <w:rStyle w:val="26"/>
          <w:rFonts w:ascii="仿宋" w:hAnsi="仿宋" w:eastAsia="仿宋"/>
          <w:b w:val="0"/>
          <w:bCs w:val="0"/>
          <w:sz w:val="28"/>
          <w:szCs w:val="28"/>
        </w:rPr>
      </w:pPr>
      <w:bookmarkStart w:id="17" w:name="_Toc19089862"/>
      <w:bookmarkStart w:id="18" w:name="_Toc15377197"/>
      <w:r>
        <w:rPr>
          <w:rFonts w:hint="eastAsia" w:ascii="黑体" w:hAnsi="黑体" w:eastAsia="黑体"/>
          <w:b w:val="0"/>
          <w:sz w:val="28"/>
          <w:szCs w:val="28"/>
        </w:rPr>
        <w:t>一、基</w:t>
      </w:r>
      <w:r>
        <w:rPr>
          <w:rStyle w:val="26"/>
          <w:rFonts w:hint="eastAsia" w:ascii="黑体" w:hAnsi="黑体" w:eastAsia="黑体"/>
          <w:b w:val="0"/>
          <w:bCs w:val="0"/>
          <w:sz w:val="28"/>
          <w:szCs w:val="28"/>
        </w:rPr>
        <w:t>本职能及主要工作</w:t>
      </w:r>
      <w:bookmarkEnd w:id="17"/>
      <w:bookmarkEnd w:id="18"/>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Cs/>
          <w:sz w:val="28"/>
          <w:szCs w:val="28"/>
        </w:rPr>
      </w:pPr>
      <w:bookmarkStart w:id="19" w:name="_Toc15378445"/>
      <w:bookmarkStart w:id="20" w:name="_Toc15377198"/>
      <w:bookmarkStart w:id="21" w:name="_Toc15377204"/>
      <w:r>
        <w:rPr>
          <w:rFonts w:hint="eastAsia" w:ascii="楷体" w:hAnsi="楷体" w:eastAsia="楷体" w:cs="楷体"/>
          <w:bCs/>
          <w:sz w:val="28"/>
          <w:szCs w:val="28"/>
        </w:rPr>
        <w:t>（一）主要职能</w:t>
      </w:r>
      <w:bookmarkEnd w:id="19"/>
      <w:bookmarkEnd w:id="20"/>
      <w:bookmarkStart w:id="22" w:name="_Toc15377199"/>
      <w:bookmarkStart w:id="23" w:name="_Toc15378446"/>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贯彻执行党和国家关于教育改革和发展的各项方针、政策，拟订</w:t>
      </w:r>
      <w:r>
        <w:rPr>
          <w:rFonts w:hint="eastAsia" w:ascii="仿宋" w:hAnsi="仿宋" w:eastAsia="仿宋"/>
          <w:sz w:val="28"/>
          <w:szCs w:val="28"/>
        </w:rPr>
        <w:t>学校</w:t>
      </w:r>
      <w:r>
        <w:rPr>
          <w:rFonts w:ascii="仿宋" w:hAnsi="仿宋" w:eastAsia="仿宋"/>
          <w:sz w:val="28"/>
          <w:szCs w:val="28"/>
        </w:rPr>
        <w:t>教育事业发展规划和有关教育的规范性文件并组织实施；</w:t>
      </w:r>
      <w:r>
        <w:rPr>
          <w:rFonts w:hint="eastAsia" w:ascii="仿宋" w:hAnsi="仿宋" w:eastAsia="仿宋"/>
          <w:sz w:val="28"/>
          <w:szCs w:val="28"/>
        </w:rPr>
        <w:t>支持</w:t>
      </w:r>
      <w:r>
        <w:rPr>
          <w:rFonts w:ascii="仿宋" w:hAnsi="仿宋" w:eastAsia="仿宋"/>
          <w:sz w:val="28"/>
          <w:szCs w:val="28"/>
        </w:rPr>
        <w:t>学校的教育、教学体制改革。</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2．组织学校</w:t>
      </w:r>
      <w:r>
        <w:rPr>
          <w:rFonts w:ascii="仿宋" w:hAnsi="仿宋" w:eastAsia="仿宋"/>
          <w:sz w:val="28"/>
          <w:szCs w:val="28"/>
        </w:rPr>
        <w:t>教育经费的统筹管理</w:t>
      </w:r>
      <w:r>
        <w:rPr>
          <w:rFonts w:hint="eastAsia" w:ascii="仿宋" w:hAnsi="仿宋" w:eastAsia="仿宋"/>
          <w:sz w:val="28"/>
          <w:szCs w:val="28"/>
        </w:rPr>
        <w:t>、</w:t>
      </w:r>
      <w:r>
        <w:rPr>
          <w:rFonts w:ascii="仿宋" w:hAnsi="仿宋" w:eastAsia="仿宋"/>
          <w:sz w:val="28"/>
          <w:szCs w:val="28"/>
        </w:rPr>
        <w:t>筹措和使用；宣传贯彻执行国家和省市</w:t>
      </w:r>
      <w:r>
        <w:rPr>
          <w:rFonts w:hint="eastAsia" w:ascii="仿宋" w:hAnsi="仿宋" w:eastAsia="仿宋"/>
          <w:sz w:val="28"/>
          <w:szCs w:val="28"/>
        </w:rPr>
        <w:t>区</w:t>
      </w:r>
      <w:r>
        <w:rPr>
          <w:rFonts w:ascii="仿宋" w:hAnsi="仿宋" w:eastAsia="仿宋"/>
          <w:sz w:val="28"/>
          <w:szCs w:val="28"/>
        </w:rPr>
        <w:t>有关学生资助工作方针和政策，统筹管理</w:t>
      </w:r>
      <w:r>
        <w:rPr>
          <w:rFonts w:hint="eastAsia" w:ascii="仿宋" w:hAnsi="仿宋" w:eastAsia="仿宋"/>
          <w:sz w:val="28"/>
          <w:szCs w:val="28"/>
        </w:rPr>
        <w:t>片区</w:t>
      </w:r>
      <w:r>
        <w:rPr>
          <w:rFonts w:ascii="仿宋" w:hAnsi="仿宋" w:eastAsia="仿宋"/>
          <w:sz w:val="28"/>
          <w:szCs w:val="28"/>
        </w:rPr>
        <w:t>贫困家庭学生资助工作。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推进义务教育均衡发展和促进教育公平，负责义务教育的指导与协调</w:t>
      </w:r>
      <w:r>
        <w:rPr>
          <w:rFonts w:hint="eastAsia" w:ascii="仿宋" w:hAnsi="仿宋" w:eastAsia="仿宋"/>
          <w:sz w:val="28"/>
          <w:szCs w:val="28"/>
        </w:rPr>
        <w:t>，</w:t>
      </w:r>
      <w:r>
        <w:rPr>
          <w:rFonts w:ascii="仿宋" w:hAnsi="仿宋" w:eastAsia="仿宋"/>
          <w:sz w:val="28"/>
          <w:szCs w:val="28"/>
        </w:rPr>
        <w:t>全面实施素质教育</w:t>
      </w:r>
      <w:r>
        <w:rPr>
          <w:rFonts w:hint="eastAsia" w:ascii="仿宋" w:hAnsi="仿宋" w:eastAsia="仿宋"/>
          <w:sz w:val="28"/>
          <w:szCs w:val="28"/>
        </w:rPr>
        <w:t>。</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4．组织实施</w:t>
      </w:r>
      <w:r>
        <w:rPr>
          <w:rFonts w:ascii="仿宋" w:hAnsi="仿宋" w:eastAsia="仿宋"/>
          <w:sz w:val="28"/>
          <w:szCs w:val="28"/>
        </w:rPr>
        <w:t xml:space="preserve">基础教育发展水平、质量的监测工作。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统筹管理和协调</w:t>
      </w:r>
      <w:r>
        <w:rPr>
          <w:rFonts w:hint="eastAsia" w:ascii="仿宋" w:hAnsi="仿宋" w:eastAsia="仿宋"/>
          <w:sz w:val="28"/>
          <w:szCs w:val="28"/>
        </w:rPr>
        <w:t>全校</w:t>
      </w:r>
      <w:r>
        <w:rPr>
          <w:rFonts w:ascii="仿宋" w:hAnsi="仿宋" w:eastAsia="仿宋"/>
          <w:sz w:val="28"/>
          <w:szCs w:val="28"/>
        </w:rPr>
        <w:t>社会力量办学的教育工作。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指导学校的依法治校、安全、综合治理、档案、保密、计划生育工作。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 xml:space="preserve">统筹管理和协调学校体育、卫生与艺术教育工作。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8．落实</w:t>
      </w:r>
      <w:r>
        <w:rPr>
          <w:rFonts w:ascii="仿宋" w:hAnsi="仿宋" w:eastAsia="仿宋"/>
          <w:sz w:val="28"/>
          <w:szCs w:val="28"/>
        </w:rPr>
        <w:t>教育系统人事制度改革工作，推行和实施校长、教师聘任制。</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9．抓好全校</w:t>
      </w:r>
      <w:r>
        <w:rPr>
          <w:rFonts w:ascii="仿宋" w:hAnsi="仿宋" w:eastAsia="仿宋"/>
          <w:sz w:val="28"/>
          <w:szCs w:val="28"/>
        </w:rPr>
        <w:t>教师工作；组织实施各级各类教师资格证书制度；统筹规划学校教师和管理人员队伍建设；负责</w:t>
      </w:r>
      <w:r>
        <w:rPr>
          <w:rFonts w:hint="eastAsia" w:ascii="仿宋" w:hAnsi="仿宋" w:eastAsia="仿宋"/>
          <w:sz w:val="28"/>
          <w:szCs w:val="28"/>
        </w:rPr>
        <w:t>学校</w:t>
      </w:r>
      <w:r>
        <w:rPr>
          <w:rFonts w:ascii="仿宋" w:hAnsi="仿宋" w:eastAsia="仿宋"/>
          <w:sz w:val="28"/>
          <w:szCs w:val="28"/>
        </w:rPr>
        <w:t>校长、教师的继续教育和课程改革新教材的培训工作；会同有关部门负责全</w:t>
      </w:r>
      <w:r>
        <w:rPr>
          <w:rFonts w:hint="eastAsia" w:ascii="仿宋" w:hAnsi="仿宋" w:eastAsia="仿宋"/>
          <w:sz w:val="28"/>
          <w:szCs w:val="28"/>
        </w:rPr>
        <w:t>校</w:t>
      </w:r>
      <w:r>
        <w:rPr>
          <w:rFonts w:ascii="仿宋" w:hAnsi="仿宋" w:eastAsia="仿宋"/>
          <w:sz w:val="28"/>
          <w:szCs w:val="28"/>
        </w:rPr>
        <w:t>中小学教师专业技术职务评审工作；</w:t>
      </w:r>
      <w:r>
        <w:rPr>
          <w:rFonts w:hint="eastAsia" w:ascii="仿宋" w:hAnsi="仿宋" w:eastAsia="仿宋"/>
          <w:sz w:val="28"/>
          <w:szCs w:val="28"/>
        </w:rPr>
        <w:t>做好学校</w:t>
      </w:r>
      <w:r>
        <w:rPr>
          <w:rFonts w:ascii="仿宋" w:hAnsi="仿宋" w:eastAsia="仿宋"/>
          <w:sz w:val="28"/>
          <w:szCs w:val="28"/>
        </w:rPr>
        <w:t xml:space="preserve">人才队伍建设。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rPr>
        <w:t>指导和管理</w:t>
      </w:r>
      <w:r>
        <w:rPr>
          <w:rFonts w:hint="eastAsia" w:ascii="仿宋" w:hAnsi="仿宋" w:eastAsia="仿宋"/>
          <w:sz w:val="28"/>
          <w:szCs w:val="28"/>
        </w:rPr>
        <w:t>学校</w:t>
      </w:r>
      <w:r>
        <w:rPr>
          <w:rFonts w:ascii="仿宋" w:hAnsi="仿宋" w:eastAsia="仿宋"/>
          <w:sz w:val="28"/>
          <w:szCs w:val="28"/>
        </w:rPr>
        <w:t>的科学研究工作，</w:t>
      </w:r>
      <w:r>
        <w:rPr>
          <w:rFonts w:hint="eastAsia" w:ascii="仿宋" w:hAnsi="仿宋" w:eastAsia="仿宋"/>
          <w:sz w:val="28"/>
          <w:szCs w:val="28"/>
        </w:rPr>
        <w:t>推进</w:t>
      </w:r>
      <w:r>
        <w:rPr>
          <w:rFonts w:ascii="仿宋" w:hAnsi="仿宋" w:eastAsia="仿宋"/>
          <w:sz w:val="28"/>
          <w:szCs w:val="28"/>
        </w:rPr>
        <w:t>科研成果转化和教育兴农工作。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11．</w:t>
      </w:r>
      <w:r>
        <w:rPr>
          <w:rFonts w:ascii="仿宋" w:hAnsi="仿宋" w:eastAsia="仿宋"/>
          <w:sz w:val="28"/>
          <w:szCs w:val="28"/>
        </w:rPr>
        <w:t xml:space="preserve">组织教育方面的对外交流与合作、对外宣传。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12．强化</w:t>
      </w:r>
      <w:r>
        <w:rPr>
          <w:rFonts w:ascii="仿宋" w:hAnsi="仿宋" w:eastAsia="仿宋"/>
          <w:sz w:val="28"/>
          <w:szCs w:val="28"/>
        </w:rPr>
        <w:t>学校后勤保障、信息化建设以及教学仪器设备和图书资料装备工作；</w:t>
      </w:r>
      <w:r>
        <w:rPr>
          <w:rFonts w:hint="eastAsia" w:ascii="仿宋" w:hAnsi="仿宋" w:eastAsia="仿宋"/>
          <w:sz w:val="28"/>
          <w:szCs w:val="28"/>
        </w:rPr>
        <w:t>做好</w:t>
      </w:r>
      <w:r>
        <w:rPr>
          <w:rFonts w:ascii="仿宋" w:hAnsi="仿宋" w:eastAsia="仿宋"/>
          <w:sz w:val="28"/>
          <w:szCs w:val="28"/>
        </w:rPr>
        <w:t>教育信息统计、分析和发布；</w:t>
      </w:r>
      <w:r>
        <w:rPr>
          <w:rFonts w:hint="eastAsia" w:ascii="仿宋" w:hAnsi="仿宋" w:eastAsia="仿宋"/>
          <w:sz w:val="28"/>
          <w:szCs w:val="28"/>
        </w:rPr>
        <w:t>积极参加</w:t>
      </w:r>
      <w:r>
        <w:rPr>
          <w:rFonts w:ascii="仿宋" w:hAnsi="仿宋" w:eastAsia="仿宋"/>
          <w:sz w:val="28"/>
          <w:szCs w:val="28"/>
        </w:rPr>
        <w:t>有关的教育学会、协会工作。</w:t>
      </w:r>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rPr>
          <w:bCs/>
          <w:sz w:val="28"/>
          <w:szCs w:val="28"/>
        </w:rPr>
      </w:pPr>
      <w:r>
        <w:rPr>
          <w:rFonts w:hint="eastAsia" w:ascii="仿宋" w:hAnsi="仿宋" w:eastAsia="仿宋"/>
          <w:sz w:val="28"/>
          <w:szCs w:val="28"/>
        </w:rPr>
        <w:t>13．</w:t>
      </w:r>
      <w:r>
        <w:rPr>
          <w:rFonts w:ascii="仿宋" w:hAnsi="仿宋" w:eastAsia="仿宋"/>
          <w:sz w:val="28"/>
          <w:szCs w:val="28"/>
        </w:rPr>
        <w:t>贯彻执行国家语言文字工作的方针、政策，编制语言文字工作中长期规划；组织协调语言文字的规范和标准的监督检查；指导和组织推广普通话、推行规范汉字；开展普通话培训和测试工作。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（二）2019年重点工作完成情况</w:t>
      </w:r>
      <w:bookmarkEnd w:id="22"/>
      <w:bookmarkEnd w:id="23"/>
    </w:p>
    <w:p>
      <w:pPr>
        <w:pageBreakBefore w:val="0"/>
        <w:widowControl w:val="0"/>
        <w:numPr>
          <w:ilvl w:val="0"/>
          <w:numId w:val="1"/>
        </w:numPr>
        <w:kinsoku/>
        <w:wordWrap/>
        <w:overflowPunct/>
        <w:topLinePunct w:val="0"/>
        <w:autoSpaceDE/>
        <w:autoSpaceDN/>
        <w:bidi w:val="0"/>
        <w:snapToGrid w:val="0"/>
        <w:spacing w:line="560" w:lineRule="exact"/>
        <w:ind w:firstLine="536" w:firstLineChars="200"/>
        <w:textAlignment w:val="auto"/>
        <w:rPr>
          <w:rFonts w:ascii="仿宋" w:hAnsi="仿宋" w:eastAsia="仿宋" w:cs="仿宋"/>
          <w:spacing w:val="-6"/>
          <w:sz w:val="28"/>
          <w:szCs w:val="28"/>
        </w:rPr>
      </w:pPr>
      <w:r>
        <w:rPr>
          <w:rFonts w:hint="eastAsia" w:ascii="仿宋" w:hAnsi="仿宋" w:eastAsia="仿宋" w:cs="仿宋"/>
          <w:spacing w:val="-6"/>
          <w:sz w:val="28"/>
          <w:szCs w:val="28"/>
        </w:rPr>
        <w:t>教育教学成绩稳中提升：全校非毕业班成绩均比2018年有提升，六年级学业水平检测中:科学、数学名列全区同类学校第一，语文、英语名列全区前列，综合考核名列全区同类学校第一。学校获全市义务教育质量奖。</w:t>
      </w:r>
    </w:p>
    <w:p>
      <w:pPr>
        <w:pageBreakBefore w:val="0"/>
        <w:widowControl w:val="0"/>
        <w:numPr>
          <w:ilvl w:val="0"/>
          <w:numId w:val="1"/>
        </w:numPr>
        <w:kinsoku/>
        <w:wordWrap/>
        <w:overflowPunct/>
        <w:topLinePunct w:val="0"/>
        <w:autoSpaceDE/>
        <w:autoSpaceDN/>
        <w:bidi w:val="0"/>
        <w:snapToGrid w:val="0"/>
        <w:spacing w:line="560" w:lineRule="exact"/>
        <w:ind w:firstLine="536" w:firstLineChars="200"/>
        <w:textAlignment w:val="auto"/>
        <w:rPr>
          <w:rFonts w:ascii="仿宋" w:hAnsi="仿宋" w:eastAsia="仿宋" w:cs="仿宋"/>
          <w:spacing w:val="-6"/>
          <w:sz w:val="28"/>
          <w:szCs w:val="28"/>
        </w:rPr>
      </w:pPr>
      <w:r>
        <w:rPr>
          <w:rFonts w:hint="eastAsia" w:ascii="仿宋" w:hAnsi="仿宋" w:eastAsia="仿宋" w:cs="仿宋"/>
          <w:spacing w:val="-6"/>
          <w:sz w:val="28"/>
          <w:szCs w:val="28"/>
        </w:rPr>
        <w:t>德育工作和素质教育见成效：学校开展了一月一主题活动，加强对学生的行为习惯养成教育， 2019年德育工作被市评为先进集体，同时被市评为宣传工作先进单位。</w:t>
      </w:r>
    </w:p>
    <w:p>
      <w:pPr>
        <w:pageBreakBefore w:val="0"/>
        <w:widowControl w:val="0"/>
        <w:kinsoku/>
        <w:wordWrap/>
        <w:overflowPunct/>
        <w:topLinePunct w:val="0"/>
        <w:autoSpaceDE/>
        <w:autoSpaceDN/>
        <w:bidi w:val="0"/>
        <w:snapToGrid w:val="0"/>
        <w:spacing w:line="560" w:lineRule="exact"/>
        <w:ind w:firstLine="536" w:firstLineChars="200"/>
        <w:textAlignment w:val="auto"/>
        <w:rPr>
          <w:rFonts w:ascii="仿宋" w:hAnsi="仿宋" w:eastAsia="仿宋" w:cs="仿宋"/>
          <w:spacing w:val="-6"/>
          <w:sz w:val="28"/>
          <w:szCs w:val="28"/>
        </w:rPr>
      </w:pPr>
      <w:r>
        <w:rPr>
          <w:rFonts w:hint="eastAsia" w:ascii="仿宋" w:hAnsi="仿宋" w:eastAsia="仿宋" w:cs="仿宋"/>
          <w:spacing w:val="-6"/>
          <w:sz w:val="28"/>
          <w:szCs w:val="28"/>
        </w:rPr>
        <w:t>3.教育科研有序推进：加强学科教研组建设，建立规范的集体备课制度。开展群文阅读研究。建立了学生实践活动基地。</w:t>
      </w:r>
    </w:p>
    <w:p>
      <w:pPr>
        <w:pageBreakBefore w:val="0"/>
        <w:widowControl w:val="0"/>
        <w:kinsoku/>
        <w:wordWrap/>
        <w:overflowPunct/>
        <w:topLinePunct w:val="0"/>
        <w:autoSpaceDE/>
        <w:autoSpaceDN/>
        <w:bidi w:val="0"/>
        <w:snapToGrid w:val="0"/>
        <w:spacing w:line="560" w:lineRule="exact"/>
        <w:ind w:firstLine="536" w:firstLineChars="200"/>
        <w:textAlignment w:val="auto"/>
        <w:rPr>
          <w:rFonts w:ascii="仿宋" w:hAnsi="仿宋" w:eastAsia="仿宋" w:cs="仿宋"/>
          <w:spacing w:val="-6"/>
          <w:sz w:val="28"/>
          <w:szCs w:val="28"/>
        </w:rPr>
      </w:pPr>
      <w:r>
        <w:rPr>
          <w:rFonts w:hint="eastAsia" w:ascii="仿宋" w:hAnsi="仿宋" w:eastAsia="仿宋" w:cs="仿宋"/>
          <w:spacing w:val="-6"/>
          <w:sz w:val="28"/>
          <w:szCs w:val="28"/>
        </w:rPr>
        <w:t>4.教师队伍进一步加强：学校自主招娉了青年教师，加大教师培训力度，组织教师、校长参加国家、省、市、区级培训28人次，指导全体教师参加网络培训；多方协调达成东城教育集团、万达初中、北街小学等名校名师送教活动，提升了教师教育教学和科研能力。</w:t>
      </w:r>
    </w:p>
    <w:p>
      <w:pPr>
        <w:pStyle w:val="12"/>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textAlignment w:val="auto"/>
        <w:rPr>
          <w:rFonts w:ascii="仿宋" w:hAnsi="仿宋" w:eastAsia="仿宋"/>
          <w:sz w:val="28"/>
          <w:szCs w:val="28"/>
        </w:rPr>
      </w:pPr>
      <w:r>
        <w:rPr>
          <w:rFonts w:hint="eastAsia" w:ascii="仿宋" w:hAnsi="仿宋" w:eastAsia="仿宋"/>
          <w:sz w:val="28"/>
          <w:szCs w:val="28"/>
        </w:rPr>
        <w:t>5.深入开展“师德师风建设年”活动，持续推进“不忘初心、牢记使命”主题教育工作，认真落实“三重一大”集体决策制度，确保了学校重大</w:t>
      </w:r>
      <w:r>
        <w:rPr>
          <w:rFonts w:hint="eastAsia" w:ascii="仿宋" w:hAnsi="仿宋" w:eastAsia="仿宋"/>
          <w:spacing w:val="-6"/>
          <w:sz w:val="28"/>
          <w:szCs w:val="28"/>
        </w:rPr>
        <w:t>事项决策、重要干部任免、重要项目安排、大额资金的使用更加合理合规</w:t>
      </w:r>
      <w:r>
        <w:rPr>
          <w:rFonts w:hint="eastAsia" w:ascii="仿宋" w:hAnsi="仿宋" w:eastAsia="仿宋"/>
          <w:sz w:val="28"/>
          <w:szCs w:val="28"/>
        </w:rPr>
        <w:t>。</w:t>
      </w:r>
    </w:p>
    <w:p>
      <w:pPr>
        <w:pageBreakBefore w:val="0"/>
        <w:widowControl w:val="0"/>
        <w:kinsoku/>
        <w:wordWrap/>
        <w:overflowPunct/>
        <w:topLinePunct w:val="0"/>
        <w:autoSpaceDE/>
        <w:autoSpaceDN/>
        <w:bidi w:val="0"/>
        <w:snapToGrid w:val="0"/>
        <w:spacing w:line="560" w:lineRule="exact"/>
        <w:ind w:firstLine="536" w:firstLineChars="200"/>
        <w:textAlignment w:val="auto"/>
        <w:rPr>
          <w:rFonts w:ascii="仿宋" w:hAnsi="仿宋" w:eastAsia="仿宋" w:cs="仿宋"/>
          <w:spacing w:val="-6"/>
          <w:sz w:val="28"/>
          <w:szCs w:val="28"/>
        </w:rPr>
      </w:pPr>
      <w:r>
        <w:rPr>
          <w:rFonts w:hint="eastAsia" w:ascii="仿宋" w:hAnsi="仿宋" w:eastAsia="仿宋" w:cs="仿宋"/>
          <w:spacing w:val="-6"/>
          <w:sz w:val="28"/>
          <w:szCs w:val="28"/>
        </w:rPr>
        <w:t>6.办学条件进一步改善：建立了住宿制，改装寝室、洗漱间、购置实木床，改建了食堂操作间及各功能室，添置了食堂设备设施，教室、楼道贴了地板砖，教室、寝室、围墙翻新粉水，安装了太阳能解决学生用热水，为师生创建了舒适的学习生活环境。</w:t>
      </w:r>
    </w:p>
    <w:p>
      <w:pPr>
        <w:pageBreakBefore w:val="0"/>
        <w:widowControl w:val="0"/>
        <w:kinsoku/>
        <w:wordWrap/>
        <w:overflowPunct/>
        <w:topLinePunct w:val="0"/>
        <w:autoSpaceDE/>
        <w:autoSpaceDN/>
        <w:bidi w:val="0"/>
        <w:snapToGrid w:val="0"/>
        <w:spacing w:line="560" w:lineRule="exact"/>
        <w:ind w:firstLine="536" w:firstLineChars="200"/>
        <w:textAlignment w:val="auto"/>
        <w:rPr>
          <w:rFonts w:ascii="仿宋" w:hAnsi="仿宋" w:eastAsia="仿宋" w:cs="仿宋"/>
          <w:spacing w:val="-6"/>
          <w:sz w:val="28"/>
          <w:szCs w:val="28"/>
        </w:rPr>
      </w:pPr>
      <w:r>
        <w:rPr>
          <w:rFonts w:hint="eastAsia" w:ascii="仿宋" w:hAnsi="仿宋" w:eastAsia="仿宋" w:cs="仿宋"/>
          <w:spacing w:val="-6"/>
          <w:sz w:val="28"/>
          <w:szCs w:val="28"/>
        </w:rPr>
        <w:t>7.脱贫攻坚扎实推进：精准识别贫困户，建立困难学生台账，按时完成困难寄宿生生活补助及幼儿三儿资金，减免精准扶贫户学生午餐费、保险费课后服务费，全体住校生的床上用品、校服及书包、学习用品。负责5个行政村（清河村、桂花城、石青村、松柏村、天峰村）的教育扶贫宣传，核实建档立卡护学生教育资助政策的落实情况，达到片区内建档立卡护学生全面享受教育扶贫政策。</w:t>
      </w:r>
    </w:p>
    <w:p>
      <w:pPr>
        <w:pageBreakBefore w:val="0"/>
        <w:widowControl w:val="0"/>
        <w:kinsoku/>
        <w:wordWrap/>
        <w:overflowPunct/>
        <w:topLinePunct w:val="0"/>
        <w:autoSpaceDE/>
        <w:autoSpaceDN/>
        <w:bidi w:val="0"/>
        <w:snapToGrid w:val="0"/>
        <w:spacing w:line="560" w:lineRule="exact"/>
        <w:ind w:firstLine="536" w:firstLineChars="200"/>
        <w:textAlignment w:val="auto"/>
        <w:rPr>
          <w:rFonts w:ascii="仿宋" w:hAnsi="仿宋" w:eastAsia="仿宋" w:cs="仿宋"/>
          <w:sz w:val="28"/>
          <w:szCs w:val="28"/>
        </w:rPr>
      </w:pPr>
      <w:r>
        <w:rPr>
          <w:rFonts w:hint="eastAsia" w:ascii="仿宋" w:hAnsi="仿宋" w:eastAsia="仿宋" w:cs="仿宋"/>
          <w:spacing w:val="-6"/>
          <w:sz w:val="28"/>
          <w:szCs w:val="28"/>
        </w:rPr>
        <w:t>8.安全管理工作进一步加强：全面落实安全工作“一岗双责”制，坚持校园及周边安全隐患整治长效机制，加强校园安全保卫，加强学生安全教育宣传，继续深入开展学生“平安度假”“平安回家”“全校教师暑假大走访”和暑假教师“义务巡河”活动，加强学校、社会、家庭安全网络建设，假期学生平安度假。被市评为安全工作先进集体。</w:t>
      </w:r>
    </w:p>
    <w:p>
      <w:pPr>
        <w:pStyle w:val="3"/>
        <w:pageBreakBefore w:val="0"/>
        <w:widowControl w:val="0"/>
        <w:kinsoku/>
        <w:wordWrap/>
        <w:overflowPunct/>
        <w:topLinePunct w:val="0"/>
        <w:autoSpaceDE/>
        <w:autoSpaceDN/>
        <w:bidi w:val="0"/>
        <w:snapToGrid w:val="0"/>
        <w:spacing w:before="0" w:after="0" w:line="560" w:lineRule="exact"/>
        <w:ind w:firstLine="560" w:firstLineChars="200"/>
        <w:textAlignment w:val="auto"/>
        <w:rPr>
          <w:rStyle w:val="26"/>
          <w:b w:val="0"/>
          <w:bCs w:val="0"/>
          <w:sz w:val="28"/>
          <w:szCs w:val="28"/>
        </w:rPr>
      </w:pPr>
      <w:bookmarkStart w:id="24" w:name="_Toc15377200"/>
      <w:bookmarkStart w:id="25" w:name="_Toc19089863"/>
      <w:r>
        <w:rPr>
          <w:rFonts w:hint="eastAsia" w:ascii="黑体" w:eastAsia="黑体"/>
          <w:b w:val="0"/>
          <w:sz w:val="28"/>
          <w:szCs w:val="28"/>
        </w:rPr>
        <w:t>二、</w:t>
      </w:r>
      <w:r>
        <w:rPr>
          <w:rFonts w:hint="eastAsia" w:ascii="黑体" w:hAnsi="黑体" w:eastAsia="黑体"/>
          <w:b w:val="0"/>
          <w:sz w:val="28"/>
          <w:szCs w:val="28"/>
        </w:rPr>
        <w:t>机</w:t>
      </w:r>
      <w:r>
        <w:rPr>
          <w:rStyle w:val="26"/>
          <w:rFonts w:hint="eastAsia" w:ascii="黑体" w:hAnsi="黑体" w:eastAsia="黑体"/>
          <w:b w:val="0"/>
          <w:bCs w:val="0"/>
          <w:sz w:val="28"/>
          <w:szCs w:val="28"/>
        </w:rPr>
        <w:t>构设置</w:t>
      </w:r>
      <w:bookmarkEnd w:id="24"/>
      <w:bookmarkEnd w:id="25"/>
    </w:p>
    <w:p>
      <w:pPr>
        <w:pStyle w:val="5"/>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rPr>
          <w:color w:val="000000" w:themeColor="text1"/>
          <w:sz w:val="28"/>
          <w:szCs w:val="28"/>
        </w:rPr>
      </w:pPr>
      <w:bookmarkStart w:id="26" w:name="_Toc19089864"/>
      <w:r>
        <w:rPr>
          <w:rFonts w:hint="eastAsia"/>
          <w:color w:val="000000" w:themeColor="text1"/>
          <w:sz w:val="28"/>
          <w:szCs w:val="28"/>
        </w:rPr>
        <w:t>广元市利州区清河小学属于区教育局下属二级单位，其中成立学校工会、廉勤委、教导处、总务处、安办、少先队大队等部门。</w:t>
      </w:r>
    </w:p>
    <w:p>
      <w:pPr>
        <w:rPr>
          <w:rFonts w:hint="eastAsia" w:ascii="黑体" w:hAnsi="黑体" w:eastAsia="黑体"/>
          <w:b w:val="0"/>
        </w:rPr>
      </w:pPr>
      <w:r>
        <w:rPr>
          <w:rFonts w:hint="eastAsia" w:ascii="黑体" w:hAnsi="黑体" w:eastAsia="黑体"/>
          <w:b w:val="0"/>
        </w:rPr>
        <w:br w:type="page"/>
      </w:r>
    </w:p>
    <w:p>
      <w:pPr>
        <w:pStyle w:val="2"/>
        <w:ind w:right="440"/>
        <w:jc w:val="right"/>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5"/>
          <w:rFonts w:hint="eastAsia" w:ascii="方正小标宋简体" w:hAnsi="方正小标宋简体" w:eastAsia="方正小标宋简体" w:cs="方正小标宋简体"/>
          <w:b w:val="0"/>
          <w:bCs w:val="0"/>
        </w:rPr>
        <w:t>2019年度部门决算情况说明</w:t>
      </w:r>
      <w:bookmarkEnd w:id="21"/>
      <w:bookmarkEnd w:id="26"/>
    </w:p>
    <w:p>
      <w:pPr>
        <w:pStyle w:val="24"/>
        <w:keepNext w:val="0"/>
        <w:keepLines w:val="0"/>
        <w:pageBreakBefore w:val="0"/>
        <w:widowControl w:val="0"/>
        <w:numPr>
          <w:ilvl w:val="0"/>
          <w:numId w:val="2"/>
        </w:numPr>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27" w:name="_Toc15377205"/>
      <w:bookmarkStart w:id="28" w:name="_Toc19089865"/>
      <w:r>
        <w:rPr>
          <w:rFonts w:hint="eastAsia" w:ascii="黑体" w:hAnsi="黑体" w:eastAsia="黑体"/>
          <w:color w:val="000000" w:themeColor="text1"/>
          <w:sz w:val="28"/>
          <w:szCs w:val="28"/>
          <w14:textFill>
            <w14:solidFill>
              <w14:schemeClr w14:val="tx1"/>
            </w14:solidFill>
          </w14:textFill>
        </w:rPr>
        <w:t>收</w:t>
      </w:r>
      <w:r>
        <w:rPr>
          <w:rStyle w:val="26"/>
          <w:rFonts w:hint="eastAsia" w:ascii="黑体" w:hAnsi="黑体" w:eastAsia="黑体"/>
          <w:b w:val="0"/>
          <w:color w:val="000000" w:themeColor="text1"/>
          <w:sz w:val="28"/>
          <w:szCs w:val="28"/>
          <w14:textFill>
            <w14:solidFill>
              <w14:schemeClr w14:val="tx1"/>
            </w14:solidFill>
          </w14:textFill>
        </w:rPr>
        <w:t>入支</w:t>
      </w:r>
      <w:r>
        <w:rPr>
          <w:rStyle w:val="26"/>
          <w:rFonts w:hint="eastAsia" w:ascii="黑体" w:hAnsi="黑体" w:eastAsia="黑体"/>
          <w:b w:val="0"/>
          <w:bCs/>
          <w:color w:val="000000" w:themeColor="text1"/>
          <w:sz w:val="28"/>
          <w:szCs w:val="28"/>
          <w14:textFill>
            <w14:solidFill>
              <w14:schemeClr w14:val="tx1"/>
            </w14:solidFill>
          </w14:textFill>
        </w:rPr>
        <w:t>出决算总体情况说明</w:t>
      </w:r>
      <w:bookmarkEnd w:id="27"/>
      <w:bookmarkEnd w:id="28"/>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_GB2312"/>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2019年度利州区清河小学收入总计</w:t>
      </w: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14:textFill>
            <w14:solidFill>
              <w14:schemeClr w14:val="tx1"/>
            </w14:solidFill>
          </w14:textFill>
        </w:rPr>
        <w:t>6</w:t>
      </w:r>
      <w:r>
        <w:rPr>
          <w:rFonts w:ascii="仿宋" w:hAnsi="仿宋" w:eastAsia="仿宋"/>
          <w:b w:val="0"/>
          <w:bCs/>
          <w:color w:val="000000" w:themeColor="text1"/>
          <w:sz w:val="28"/>
          <w:szCs w:val="28"/>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5万元，其中，财政拨款收入205.92万元，其他收入1.03万元。</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2019年度支出合计204.88万元，其中，教育支出179.50万元，社会保障和就业支出18.14万元，卫生健康支出7.24万元。</w:t>
      </w:r>
    </w:p>
    <w:p>
      <w:pPr>
        <w:keepNext w:val="0"/>
        <w:keepLines w:val="0"/>
        <w:pageBreakBefore w:val="0"/>
        <w:widowControl w:val="0"/>
        <w:kinsoku/>
        <w:wordWrap/>
        <w:overflowPunct/>
        <w:topLinePunct w:val="0"/>
        <w:bidi w:val="0"/>
        <w:snapToGrid w:val="0"/>
        <w:spacing w:line="360" w:lineRule="auto"/>
        <w:ind w:left="0" w:firstLine="560" w:firstLineChars="200"/>
        <w:jc w:val="left"/>
        <w:textAlignment w:val="auto"/>
        <w:rPr>
          <w:rStyle w:val="26"/>
          <w:rFonts w:ascii="黑体" w:hAnsi="黑体" w:eastAsia="黑体"/>
          <w:b w:val="0"/>
          <w:bCs/>
          <w:color w:val="000000" w:themeColor="text1"/>
          <w:sz w:val="28"/>
          <w:szCs w:val="28"/>
          <w14:textFill>
            <w14:solidFill>
              <w14:schemeClr w14:val="tx1"/>
            </w14:solidFill>
          </w14:textFill>
        </w:rPr>
      </w:pPr>
      <w:bookmarkStart w:id="29" w:name="_Toc15377206"/>
      <w:r>
        <w:rPr>
          <w:rFonts w:hint="eastAsia" w:ascii="黑体" w:hAnsi="黑体" w:eastAsia="黑体"/>
          <w:b w:val="0"/>
          <w:bCs/>
          <w:color w:val="000000" w:themeColor="text1"/>
          <w:sz w:val="28"/>
          <w:szCs w:val="28"/>
          <w14:textFill>
            <w14:solidFill>
              <w14:schemeClr w14:val="tx1"/>
            </w14:solidFill>
          </w14:textFill>
        </w:rPr>
        <w:t>二、收</w:t>
      </w:r>
      <w:r>
        <w:rPr>
          <w:rStyle w:val="26"/>
          <w:rFonts w:hint="eastAsia" w:ascii="黑体" w:hAnsi="黑体" w:eastAsia="黑体"/>
          <w:b w:val="0"/>
          <w:bCs/>
          <w:color w:val="000000" w:themeColor="text1"/>
          <w:sz w:val="28"/>
          <w:szCs w:val="28"/>
          <w14:textFill>
            <w14:solidFill>
              <w14:schemeClr w14:val="tx1"/>
            </w14:solidFill>
          </w14:textFill>
        </w:rPr>
        <w:t>入决算情况说明</w:t>
      </w:r>
      <w:bookmarkEnd w:id="29"/>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Fonts w:ascii="仿宋" w:hAnsi="仿宋" w:eastAsia="仿宋"/>
          <w:b w:val="0"/>
          <w:bCs/>
          <w:color w:val="000000" w:themeColor="text1"/>
          <w:sz w:val="28"/>
          <w:szCs w:val="28"/>
          <w14:textFill>
            <w14:solidFill>
              <w14:schemeClr w14:val="tx1"/>
            </w14:solidFill>
          </w14:textFill>
        </w:rPr>
      </w:pPr>
      <w:bookmarkStart w:id="30" w:name="_Toc19089866"/>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9年本年收入合计</w:t>
      </w: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14:textFill>
            <w14:solidFill>
              <w14:schemeClr w14:val="tx1"/>
            </w14:solidFill>
          </w14:textFill>
        </w:rPr>
        <w:t>6</w:t>
      </w:r>
      <w:r>
        <w:rPr>
          <w:rFonts w:ascii="仿宋" w:hAnsi="仿宋" w:eastAsia="仿宋"/>
          <w:b w:val="0"/>
          <w:bCs/>
          <w:color w:val="000000" w:themeColor="text1"/>
          <w:sz w:val="28"/>
          <w:szCs w:val="28"/>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5万元，其中：一般公共预算财政拨款收入205.92万元，占比99.50%；政府性基金预算财政拨款收入0万元，占比0%；国有资本经营预算财政拨款收入0.00万元，占比0.00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；事业收入0.00万元，占0.00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；经营收入0.00万元，占0.00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；附属单位上缴收入0.00万元，占0.00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；其他收入1.03万元，占比0.50%。</w:t>
      </w:r>
      <w:bookmarkEnd w:id="30"/>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31" w:name="_Toc15377207"/>
      <w:bookmarkStart w:id="32" w:name="_Toc19089867"/>
      <w:r>
        <w:rPr>
          <w:rFonts w:hint="eastAsia" w:ascii="黑体" w:hAnsi="黑体" w:eastAsia="黑体"/>
          <w:b w:val="0"/>
          <w:bCs/>
          <w:color w:val="000000" w:themeColor="text1"/>
          <w:sz w:val="28"/>
          <w:szCs w:val="28"/>
          <w14:textFill>
            <w14:solidFill>
              <w14:schemeClr w14:val="tx1"/>
            </w14:solidFill>
          </w14:textFill>
        </w:rPr>
        <w:t>三、支</w:t>
      </w:r>
      <w:r>
        <w:rPr>
          <w:rStyle w:val="26"/>
          <w:rFonts w:hint="eastAsia" w:ascii="黑体" w:hAnsi="黑体" w:eastAsia="黑体"/>
          <w:b w:val="0"/>
          <w:bCs/>
          <w:color w:val="000000" w:themeColor="text1"/>
          <w:sz w:val="28"/>
          <w:szCs w:val="28"/>
          <w14:textFill>
            <w14:solidFill>
              <w14:schemeClr w14:val="tx1"/>
            </w14:solidFill>
          </w14:textFill>
        </w:rPr>
        <w:t>出决算情况说明</w:t>
      </w:r>
      <w:bookmarkEnd w:id="31"/>
      <w:bookmarkEnd w:id="32"/>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shd w:val="pct10" w:color="auto" w:fill="FFFFFF"/>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9年本年支出合计204.88万元，其中：基本支出175.88万元，占85.85%；项目支出29.00万元，占14.15%；上缴上级支出0.00万元，占0.00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；经营支出0.00万元，占0.00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；对附属单位补助支出0.00万元，占0.00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33" w:name="_Toc15377208"/>
      <w:bookmarkStart w:id="34" w:name="_Toc19089868"/>
      <w:r>
        <w:rPr>
          <w:rFonts w:hint="eastAsia" w:ascii="黑体" w:hAnsi="黑体" w:eastAsia="黑体"/>
          <w:b w:val="0"/>
          <w:bCs/>
          <w:color w:val="000000" w:themeColor="text1"/>
          <w:sz w:val="28"/>
          <w:szCs w:val="28"/>
          <w14:textFill>
            <w14:solidFill>
              <w14:schemeClr w14:val="tx1"/>
            </w14:solidFill>
          </w14:textFill>
        </w:rPr>
        <w:t>四、财</w:t>
      </w:r>
      <w:r>
        <w:rPr>
          <w:rStyle w:val="26"/>
          <w:rFonts w:hint="eastAsia" w:ascii="黑体" w:hAnsi="黑体" w:eastAsia="黑体"/>
          <w:b w:val="0"/>
          <w:bCs/>
          <w:color w:val="000000" w:themeColor="text1"/>
          <w:sz w:val="28"/>
          <w:szCs w:val="28"/>
          <w14:textFill>
            <w14:solidFill>
              <w14:schemeClr w14:val="tx1"/>
            </w14:solidFill>
          </w14:textFill>
        </w:rPr>
        <w:t>政拨款收入支出决算总体情况说明</w:t>
      </w:r>
      <w:bookmarkEnd w:id="33"/>
      <w:bookmarkEnd w:id="34"/>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_GB2312"/>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2019年度利州区清河小学收入总计</w:t>
      </w: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14:textFill>
            <w14:solidFill>
              <w14:schemeClr w14:val="tx1"/>
            </w14:solidFill>
          </w14:textFill>
        </w:rPr>
        <w:t>6</w:t>
      </w:r>
      <w:r>
        <w:rPr>
          <w:rFonts w:ascii="仿宋" w:hAnsi="仿宋" w:eastAsia="仿宋"/>
          <w:b w:val="0"/>
          <w:bCs/>
          <w:color w:val="000000" w:themeColor="text1"/>
          <w:sz w:val="28"/>
          <w:szCs w:val="28"/>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5万元，其中，财政拨款收入205.92万元，其他收入1.03万元。</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2019年度支出合计204.88万元，其中，教育支出179.50万元，社会保障和就业支出18.14万元，卫生健康支出7.24万元。</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35" w:name="_Toc19089869"/>
      <w:bookmarkStart w:id="36" w:name="_Toc15377209"/>
      <w:r>
        <w:rPr>
          <w:rFonts w:hint="eastAsia" w:ascii="黑体" w:hAnsi="黑体" w:eastAsia="黑体"/>
          <w:b w:val="0"/>
          <w:bCs/>
          <w:color w:val="000000" w:themeColor="text1"/>
          <w:sz w:val="28"/>
          <w:szCs w:val="28"/>
          <w14:textFill>
            <w14:solidFill>
              <w14:schemeClr w14:val="tx1"/>
            </w14:solidFill>
          </w14:textFill>
        </w:rPr>
        <w:t>五、一</w:t>
      </w:r>
      <w:r>
        <w:rPr>
          <w:rStyle w:val="26"/>
          <w:rFonts w:hint="eastAsia" w:ascii="黑体" w:hAnsi="黑体" w:eastAsia="黑体"/>
          <w:b w:val="0"/>
          <w:bCs/>
          <w:color w:val="000000" w:themeColor="text1"/>
          <w:sz w:val="28"/>
          <w:szCs w:val="28"/>
          <w14:textFill>
            <w14:solidFill>
              <w14:schemeClr w14:val="tx1"/>
            </w14:solidFill>
          </w14:textFill>
        </w:rPr>
        <w:t>般公共预算财政拨款支出决算情况说明</w:t>
      </w:r>
      <w:bookmarkEnd w:id="35"/>
      <w:bookmarkEnd w:id="36"/>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7" w:name="_Toc15377210"/>
      <w:r>
        <w:rPr>
          <w:rFonts w:hint="eastAsia" w:ascii="楷体" w:hAnsi="楷体" w:eastAsia="楷体" w:cs="楷体"/>
          <w:b w:val="0"/>
          <w:bCs/>
          <w:color w:val="000000" w:themeColor="text1"/>
          <w:sz w:val="28"/>
          <w:szCs w:val="28"/>
          <w14:textFill>
            <w14:solidFill>
              <w14:schemeClr w14:val="tx1"/>
            </w14:solidFill>
          </w14:textFill>
        </w:rPr>
        <w:t>（一）一般公共预算财政拨款支出决算总体情况</w:t>
      </w:r>
      <w:bookmarkEnd w:id="37"/>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9年一般公共预算财政拨款支出203.85万元，占本年支出合计（204.88</w:t>
      </w:r>
      <w:r>
        <w:rPr>
          <w:rFonts w:ascii="仿宋" w:hAnsi="仿宋" w:eastAsia="仿宋"/>
          <w:b w:val="0"/>
          <w:bCs/>
          <w:color w:val="000000" w:themeColor="text1"/>
          <w:sz w:val="28"/>
          <w:szCs w:val="28"/>
          <w14:textFill>
            <w14:solidFill>
              <w14:schemeClr w14:val="tx1"/>
            </w14:solidFill>
          </w14:textFill>
        </w:rPr>
        <w:t>万元</w:t>
      </w:r>
      <w:r>
        <w:rPr>
          <w:rFonts w:hint="eastAsia" w:ascii="仿宋" w:hAnsi="仿宋" w:eastAsia="仿宋"/>
          <w:b w:val="0"/>
          <w:bCs/>
          <w:color w:val="000000" w:themeColor="text1"/>
          <w:sz w:val="28"/>
          <w:szCs w:val="28"/>
          <w14:textFill>
            <w14:solidFill>
              <w14:schemeClr w14:val="tx1"/>
            </w14:solidFill>
          </w14:textFill>
        </w:rPr>
        <w:t>）的99.50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38" w:name="_Toc15377211"/>
      <w:r>
        <w:rPr>
          <w:rFonts w:hint="eastAsia" w:ascii="楷体" w:hAnsi="楷体" w:eastAsia="楷体" w:cs="楷体"/>
          <w:b w:val="0"/>
          <w:bCs/>
          <w:color w:val="000000" w:themeColor="text1"/>
          <w:sz w:val="28"/>
          <w:szCs w:val="28"/>
        </w:rPr>
        <w:t>（二）一般公共预算财政拨款支出决算结构情况</w:t>
      </w:r>
      <w:bookmarkEnd w:id="38"/>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9年一般公共预算财政拨款支出203.85万元，主要用于以下方面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一般公共服务（类）支出0.00万元，占0.00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；教育支出（类）178.47万元，占87.55%；科学技术（类）支出0.00万元，占0.00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；社会保障和就业（类）支出18.14万元，占8.90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；卫生健康（类）支出7.24万元，占3.55%；农林水（类）支出0.00万元，占0.00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；住房保障(类)支出0.00万元，占0.00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；其它支出（类）支出0.00万元，占0.00%。</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39" w:name="_Toc15377212"/>
      <w:r>
        <w:rPr>
          <w:rFonts w:hint="eastAsia" w:ascii="楷体" w:hAnsi="楷体" w:eastAsia="楷体" w:cs="楷体"/>
          <w:b w:val="0"/>
          <w:bCs/>
          <w:color w:val="000000" w:themeColor="text1"/>
          <w:sz w:val="28"/>
          <w:szCs w:val="28"/>
        </w:rPr>
        <w:t>（三）一般公共预算财政拨款支出决算具体情况</w:t>
      </w:r>
      <w:bookmarkEnd w:id="39"/>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Style w:val="15"/>
          <w:rFonts w:ascii="仿宋" w:hAnsi="仿宋" w:eastAsia="仿宋"/>
          <w:b w:val="0"/>
          <w:bCs/>
          <w:color w:val="000000" w:themeColor="text1"/>
          <w:sz w:val="28"/>
          <w:szCs w:val="28"/>
          <w14:textFill>
            <w14:solidFill>
              <w14:schemeClr w14:val="tx1"/>
            </w14:solidFill>
          </w14:textFill>
        </w:rPr>
      </w:pPr>
      <w:bookmarkStart w:id="40" w:name="_Toc15378460"/>
      <w:bookmarkStart w:id="41" w:name="_Toc15377444"/>
      <w:bookmarkStart w:id="42" w:name="_Toc15377213"/>
      <w:r>
        <w:rPr>
          <w:rFonts w:hint="eastAsia" w:ascii="仿宋" w:hAnsi="仿宋" w:eastAsia="仿宋"/>
          <w:b w:val="0"/>
          <w:bCs/>
          <w:color w:val="000000" w:themeColor="text1"/>
          <w:sz w:val="28"/>
          <w:szCs w:val="28"/>
          <w14:textFill>
            <w14:solidFill>
              <w14:schemeClr w14:val="tx1"/>
            </w14:solidFill>
          </w14:textFill>
        </w:rPr>
        <w:t>2</w:t>
      </w:r>
      <w:r>
        <w:rPr>
          <w:rFonts w:hint="eastAsia" w:ascii="仿宋" w:hAnsi="仿宋" w:eastAsia="仿宋"/>
          <w:b w:val="0"/>
          <w:bCs/>
          <w:color w:val="000000" w:themeColor="text1"/>
          <w:spacing w:val="-6"/>
          <w:sz w:val="28"/>
          <w:szCs w:val="28"/>
          <w14:textFill>
            <w14:solidFill>
              <w14:schemeClr w14:val="tx1"/>
            </w14:solidFill>
          </w14:textFill>
        </w:rPr>
        <w:t>019年一般公共预算支出决算数为203.85万元，</w:t>
      </w:r>
      <w:r>
        <w:rPr>
          <w:rStyle w:val="15"/>
          <w:rFonts w:hint="eastAsia" w:ascii="仿宋" w:hAnsi="仿宋" w:eastAsia="仿宋"/>
          <w:b w:val="0"/>
          <w:bCs/>
          <w:color w:val="000000" w:themeColor="text1"/>
          <w:spacing w:val="-6"/>
          <w:sz w:val="28"/>
          <w:szCs w:val="28"/>
          <w14:textFill>
            <w14:solidFill>
              <w14:schemeClr w14:val="tx1"/>
            </w14:solidFill>
          </w14:textFill>
        </w:rPr>
        <w:t>完成预算100</w:t>
      </w:r>
      <w:r>
        <w:rPr>
          <w:rStyle w:val="15"/>
          <w:rFonts w:ascii="仿宋" w:hAnsi="仿宋" w:eastAsia="仿宋"/>
          <w:b w:val="0"/>
          <w:bCs/>
          <w:color w:val="000000" w:themeColor="text1"/>
          <w:spacing w:val="-6"/>
          <w:sz w:val="28"/>
          <w:szCs w:val="28"/>
          <w14:textFill>
            <w14:solidFill>
              <w14:schemeClr w14:val="tx1"/>
            </w14:solidFill>
          </w14:textFill>
        </w:rPr>
        <w:t>%</w:t>
      </w:r>
      <w:r>
        <w:rPr>
          <w:rStyle w:val="15"/>
          <w:rFonts w:hint="eastAsia" w:ascii="仿宋" w:hAnsi="仿宋" w:eastAsia="仿宋"/>
          <w:b w:val="0"/>
          <w:bCs/>
          <w:color w:val="000000" w:themeColor="text1"/>
          <w:spacing w:val="-6"/>
          <w:sz w:val="28"/>
          <w:szCs w:val="28"/>
          <w14:textFill>
            <w14:solidFill>
              <w14:schemeClr w14:val="tx1"/>
            </w14:solidFill>
          </w14:textFill>
        </w:rPr>
        <w:t>。其中</w:t>
      </w:r>
      <w:r>
        <w:rPr>
          <w:rStyle w:val="15"/>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1</w:t>
      </w:r>
      <w:r>
        <w:rPr>
          <w:rStyle w:val="15"/>
          <w:rFonts w:ascii="仿宋" w:hAnsi="仿宋" w:eastAsia="仿宋"/>
          <w:b w:val="0"/>
          <w:bCs/>
          <w:color w:val="000000" w:themeColor="text1"/>
          <w:sz w:val="28"/>
          <w:szCs w:val="28"/>
          <w14:textFill>
            <w14:solidFill>
              <w14:schemeClr w14:val="tx1"/>
            </w14:solidFill>
          </w14:textFill>
        </w:rPr>
        <w:t>.教育支出</w:t>
      </w:r>
      <w:r>
        <w:rPr>
          <w:rStyle w:val="15"/>
          <w:rFonts w:hint="eastAsia" w:ascii="仿宋" w:hAnsi="仿宋" w:eastAsia="仿宋"/>
          <w:b w:val="0"/>
          <w:bCs/>
          <w:color w:val="000000" w:themeColor="text1"/>
          <w:sz w:val="28"/>
          <w:szCs w:val="28"/>
          <w14:textFill>
            <w14:solidFill>
              <w14:schemeClr w14:val="tx1"/>
            </w14:solidFill>
          </w14:textFill>
        </w:rPr>
        <w:t>（类）普通教育（款）学前教育（项）</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支出决算数为20.26万元，完成预算100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2</w:t>
      </w:r>
      <w:r>
        <w:rPr>
          <w:rStyle w:val="15"/>
          <w:rFonts w:ascii="仿宋" w:hAnsi="仿宋" w:eastAsia="仿宋"/>
          <w:b w:val="0"/>
          <w:bCs/>
          <w:color w:val="000000" w:themeColor="text1"/>
          <w:sz w:val="28"/>
          <w:szCs w:val="28"/>
          <w14:textFill>
            <w14:solidFill>
              <w14:schemeClr w14:val="tx1"/>
            </w14:solidFill>
          </w14:textFill>
        </w:rPr>
        <w:t>.教育支出</w:t>
      </w:r>
      <w:r>
        <w:rPr>
          <w:rStyle w:val="15"/>
          <w:rFonts w:hint="eastAsia" w:ascii="仿宋" w:hAnsi="仿宋" w:eastAsia="仿宋"/>
          <w:b w:val="0"/>
          <w:bCs/>
          <w:color w:val="000000" w:themeColor="text1"/>
          <w:sz w:val="28"/>
          <w:szCs w:val="28"/>
          <w14:textFill>
            <w14:solidFill>
              <w14:schemeClr w14:val="tx1"/>
            </w14:solidFill>
          </w14:textFill>
        </w:rPr>
        <w:t>（类）普通教育（款）小学教育（项）</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支出决算数为158.21元，完成预算100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Style w:val="15"/>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3.</w:t>
      </w:r>
      <w:r>
        <w:rPr>
          <w:rFonts w:ascii="仿宋" w:hAnsi="仿宋" w:eastAsia="仿宋"/>
          <w:b w:val="0"/>
          <w:bCs/>
          <w:color w:val="000000" w:themeColor="text1"/>
          <w:sz w:val="28"/>
          <w:szCs w:val="28"/>
          <w14:textFill>
            <w14:solidFill>
              <w14:schemeClr w14:val="tx1"/>
            </w14:solidFill>
          </w14:textFill>
        </w:rPr>
        <w:t>社会保障和就业支出</w:t>
      </w:r>
      <w:r>
        <w:rPr>
          <w:rStyle w:val="15"/>
          <w:rFonts w:hint="eastAsia" w:ascii="仿宋" w:hAnsi="仿宋" w:eastAsia="仿宋"/>
          <w:b w:val="0"/>
          <w:bCs/>
          <w:color w:val="000000" w:themeColor="text1"/>
          <w:sz w:val="28"/>
          <w:szCs w:val="28"/>
          <w14:textFill>
            <w14:solidFill>
              <w14:schemeClr w14:val="tx1"/>
            </w14:solidFill>
          </w14:textFill>
        </w:rPr>
        <w:t>（类）行政事业单位离退休（款）机关事业单位基本养老保险缴费支出（项）</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支出决算为17.20万元，完成预算100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4</w:t>
      </w:r>
      <w:r>
        <w:rPr>
          <w:rStyle w:val="15"/>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社会保障和就业支出</w:t>
      </w:r>
      <w:r>
        <w:rPr>
          <w:rStyle w:val="15"/>
          <w:rFonts w:hint="eastAsia" w:ascii="仿宋" w:hAnsi="仿宋" w:eastAsia="仿宋"/>
          <w:b w:val="0"/>
          <w:bCs/>
          <w:color w:val="000000" w:themeColor="text1"/>
          <w:sz w:val="28"/>
          <w:szCs w:val="28"/>
          <w14:textFill>
            <w14:solidFill>
              <w14:schemeClr w14:val="tx1"/>
            </w14:solidFill>
          </w14:textFill>
        </w:rPr>
        <w:t>（类）其它社会保障和就业支出（款）其它社会保障和就业支出（项）</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支出决算为0.94万元，完成预算100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Style w:val="15"/>
          <w:rFonts w:ascii="仿宋" w:hAnsi="仿宋" w:eastAsia="仿宋"/>
          <w:b w:val="0"/>
          <w:bCs/>
          <w:color w:val="000000" w:themeColor="text1"/>
          <w:sz w:val="28"/>
          <w:szCs w:val="28"/>
          <w14:textFill>
            <w14:solidFill>
              <w14:schemeClr w14:val="tx1"/>
            </w14:solidFill>
          </w14:textFill>
        </w:rPr>
      </w:pPr>
      <w:r>
        <w:rPr>
          <w:rStyle w:val="15"/>
          <w:rFonts w:hint="eastAsia" w:ascii="仿宋" w:hAnsi="仿宋" w:eastAsia="仿宋"/>
          <w:b w:val="0"/>
          <w:bCs/>
          <w:color w:val="000000" w:themeColor="text1"/>
          <w:sz w:val="28"/>
          <w:szCs w:val="28"/>
          <w14:textFill>
            <w14:solidFill>
              <w14:schemeClr w14:val="tx1"/>
            </w14:solidFill>
          </w14:textFill>
        </w:rPr>
        <w:t>5</w:t>
      </w:r>
      <w:r>
        <w:rPr>
          <w:rStyle w:val="15"/>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卫生健康支出</w:t>
      </w:r>
      <w:r>
        <w:rPr>
          <w:rStyle w:val="15"/>
          <w:rFonts w:hint="eastAsia" w:ascii="仿宋" w:hAnsi="仿宋" w:eastAsia="仿宋"/>
          <w:b w:val="0"/>
          <w:bCs/>
          <w:color w:val="000000" w:themeColor="text1"/>
          <w:sz w:val="28"/>
          <w:szCs w:val="28"/>
          <w14:textFill>
            <w14:solidFill>
              <w14:schemeClr w14:val="tx1"/>
            </w14:solidFill>
          </w14:textFill>
        </w:rPr>
        <w:t>（类）行政事业单位医疗（款）行政单位医疗（项）</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支出决算为7.24万元，完成预算100</w:t>
      </w:r>
      <w:r>
        <w:rPr>
          <w:rStyle w:val="15"/>
          <w:rFonts w:ascii="仿宋" w:hAnsi="仿宋" w:eastAsia="仿宋"/>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。决算数等于预算数。</w:t>
      </w:r>
    </w:p>
    <w:bookmarkEnd w:id="40"/>
    <w:bookmarkEnd w:id="41"/>
    <w:bookmarkEnd w:id="42"/>
    <w:p>
      <w:pPr>
        <w:keepNext w:val="0"/>
        <w:keepLines w:val="0"/>
        <w:pageBreakBefore w:val="0"/>
        <w:widowControl w:val="0"/>
        <w:kinsoku/>
        <w:wordWrap/>
        <w:overflowPunct/>
        <w:topLinePunct w:val="0"/>
        <w:bidi w:val="0"/>
        <w:snapToGrid w:val="0"/>
        <w:spacing w:line="360" w:lineRule="auto"/>
        <w:ind w:left="0" w:firstLine="560" w:firstLineChars="200"/>
        <w:textAlignment w:val="auto"/>
        <w:rPr>
          <w:rStyle w:val="26"/>
          <w:b w:val="0"/>
          <w:bCs/>
          <w:color w:val="000000" w:themeColor="text1"/>
          <w:sz w:val="28"/>
          <w:szCs w:val="28"/>
          <w14:textFill>
            <w14:solidFill>
              <w14:schemeClr w14:val="tx1"/>
            </w14:solidFill>
          </w14:textFill>
        </w:rPr>
      </w:pPr>
      <w:bookmarkStart w:id="43" w:name="_Toc15377214"/>
      <w:r>
        <w:rPr>
          <w:rFonts w:hint="eastAsia" w:ascii="黑体" w:eastAsia="黑体"/>
          <w:b w:val="0"/>
          <w:bCs/>
          <w:color w:val="000000" w:themeColor="text1"/>
          <w:sz w:val="28"/>
          <w:szCs w:val="28"/>
          <w14:textFill>
            <w14:solidFill>
              <w14:schemeClr w14:val="tx1"/>
            </w14:solidFill>
          </w14:textFill>
        </w:rPr>
        <w:t>六、</w:t>
      </w:r>
      <w:r>
        <w:rPr>
          <w:rFonts w:hint="eastAsia" w:ascii="黑体" w:hAnsi="黑体" w:eastAsia="黑体"/>
          <w:b w:val="0"/>
          <w:bCs/>
          <w:color w:val="000000" w:themeColor="text1"/>
          <w:sz w:val="28"/>
          <w:szCs w:val="28"/>
          <w14:textFill>
            <w14:solidFill>
              <w14:schemeClr w14:val="tx1"/>
            </w14:solidFill>
          </w14:textFill>
        </w:rPr>
        <w:t>一</w:t>
      </w:r>
      <w:r>
        <w:rPr>
          <w:rStyle w:val="26"/>
          <w:rFonts w:hint="eastAsia" w:ascii="黑体" w:hAnsi="黑体" w:eastAsia="黑体"/>
          <w:b w:val="0"/>
          <w:bCs/>
          <w:color w:val="000000" w:themeColor="text1"/>
          <w:sz w:val="28"/>
          <w:szCs w:val="28"/>
          <w14:textFill>
            <w14:solidFill>
              <w14:schemeClr w14:val="tx1"/>
            </w14:solidFill>
          </w14:textFill>
        </w:rPr>
        <w:t>般公共预算财政拨款基本支出决算情况说明</w:t>
      </w:r>
      <w:bookmarkEnd w:id="43"/>
      <w:r>
        <w:rPr>
          <w:rStyle w:val="26"/>
          <w:rFonts w:ascii="黑体" w:hAnsi="黑体" w:eastAsia="黑体"/>
          <w:b w:val="0"/>
          <w:bCs/>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9年一般公共预算财政拨款基本支出203.85万元，其中：</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人员经费120.70万元，主要包括：基本工资34.87万元、津贴补贴8.35万元、奖金0.00万元、伙食补助费0.00万元、绩效工资23.01万元、机关事业单位基本养老保险缴费17.20万元、职业年金缴费0.00万元、职工基本医疗保险缴费7.24万元、其他社会保障缴费2.04万元、住房公积金11.32万元、其他工资福利支出16.67万元、离休费0.00万元、退休费0.00万元、抚恤金0.00万元、生活补助0.00万元、助学金0.00万元、奖励金0.00万元等。</w:t>
      </w:r>
      <w:r>
        <w:rPr>
          <w:rFonts w:ascii="仿宋" w:hAnsi="仿宋" w:eastAsia="仿宋"/>
          <w:b w:val="0"/>
          <w:bCs/>
          <w:color w:val="000000" w:themeColor="text1"/>
          <w:sz w:val="28"/>
          <w:szCs w:val="28"/>
          <w14:textFill>
            <w14:solidFill>
              <w14:schemeClr w14:val="tx1"/>
            </w14:solidFill>
          </w14:textFill>
        </w:rPr>
        <w:br w:type="textWrapping"/>
      </w:r>
      <w:r>
        <w:rPr>
          <w:rFonts w:hint="eastAsia" w:ascii="仿宋" w:hAnsi="仿宋" w:eastAsia="仿宋"/>
          <w:b w:val="0"/>
          <w:bCs/>
          <w:color w:val="000000" w:themeColor="text1"/>
          <w:sz w:val="28"/>
          <w:szCs w:val="28"/>
          <w14:textFill>
            <w14:solidFill>
              <w14:schemeClr w14:val="tx1"/>
            </w14:solidFill>
          </w14:textFill>
        </w:rPr>
        <w:t>　　商品和服务费支出60.28万元，主要包括：办公费10.60万元、印刷费1.08万元、咨询费0.00万元、手续费0.00万元、水费0.88万元、电费1.13万元、邮电费0.38万元、物业管理费0.00万元、差旅费6.44万元、因公出国（境）费用0.00万元、维修（护）费25.06万元、租赁费0.00万元、会议费0.00万元、培训费0.54万元、公务接待费0.00万元、专用材料费0.00万元、劳务费11.79万元、委托业务费0.00万元、工会经费0.60万元、福利费1.80万元、公务用车运行维护费0.00万元、其他交通费0.00万元、税金及附加费用0.00万元、其他商品和服务支出0.00万元；对个人和家庭的补助支出11.00万元，生活补助支出9.80万元、助学金支出1.20万元；资本性支出11.87万元，办公设备购置4.06万元、房屋建筑物购建支出7.81万元、信息网络及软件购置更新0.00万元、其他资本性支出等。</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（数据来源财决</w:t>
      </w:r>
      <w:r>
        <w:rPr>
          <w:rFonts w:ascii="仿宋" w:hAnsi="仿宋" w:eastAsia="仿宋"/>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7表，根据本部门实际支出情况罗列全部经济分类科目。）</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44" w:name="_Toc19089870"/>
      <w:bookmarkStart w:id="45" w:name="_Toc15377215"/>
      <w:r>
        <w:rPr>
          <w:rFonts w:hint="eastAsia" w:ascii="黑体" w:eastAsia="黑体"/>
          <w:b w:val="0"/>
          <w:bCs/>
          <w:color w:val="000000" w:themeColor="text1"/>
          <w:sz w:val="28"/>
          <w:szCs w:val="28"/>
          <w14:textFill>
            <w14:solidFill>
              <w14:schemeClr w14:val="tx1"/>
            </w14:solidFill>
          </w14:textFill>
        </w:rPr>
        <w:t>七、</w:t>
      </w:r>
      <w:r>
        <w:rPr>
          <w:rStyle w:val="26"/>
          <w:rFonts w:hint="eastAsia" w:ascii="黑体" w:hAnsi="黑体" w:eastAsia="黑体"/>
          <w:b w:val="0"/>
          <w:bCs/>
          <w:color w:val="000000" w:themeColor="text1"/>
          <w:sz w:val="28"/>
          <w:szCs w:val="28"/>
          <w14:textFill>
            <w14:solidFill>
              <w14:schemeClr w14:val="tx1"/>
            </w14:solidFill>
          </w14:textFill>
        </w:rPr>
        <w:t>“三公”经费财政拨款支出决算情况说明</w:t>
      </w:r>
      <w:bookmarkEnd w:id="44"/>
      <w:bookmarkEnd w:id="45"/>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46" w:name="_Toc15377216"/>
      <w:r>
        <w:rPr>
          <w:rFonts w:hint="eastAsia" w:ascii="楷体" w:hAnsi="楷体" w:eastAsia="楷体" w:cs="楷体"/>
          <w:b w:val="0"/>
          <w:bCs/>
          <w:color w:val="000000" w:themeColor="text1"/>
          <w:sz w:val="28"/>
          <w:szCs w:val="28"/>
        </w:rPr>
        <w:t>（一）“三公”经费财政拨款支出决算总体情况说明</w:t>
      </w:r>
      <w:bookmarkEnd w:id="46"/>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9年“三公”经费财政拨款支出决算为</w:t>
      </w:r>
      <w:r>
        <w:rPr>
          <w:rFonts w:hint="eastAsia" w:ascii="仿宋_GB2312" w:hAnsi="仿宋_GB2312" w:eastAsia="仿宋_GB2312" w:cs="仿宋_GB2312"/>
          <w:b w:val="0"/>
          <w:bCs/>
          <w:color w:val="000000" w:themeColor="text1"/>
          <w:sz w:val="28"/>
          <w:szCs w:val="28"/>
          <w14:textFill>
            <w14:solidFill>
              <w14:schemeClr w14:val="tx1"/>
            </w14:solidFill>
          </w14:textFill>
        </w:rPr>
        <w:t>0.00万元</w:t>
      </w:r>
      <w:r>
        <w:rPr>
          <w:rFonts w:hint="eastAsia" w:ascii="仿宋" w:hAnsi="仿宋" w:eastAsia="仿宋"/>
          <w:b w:val="0"/>
          <w:bCs/>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color w:val="000000" w:themeColor="text1"/>
          <w:sz w:val="28"/>
          <w:szCs w:val="28"/>
          <w14:textFill>
            <w14:solidFill>
              <w14:schemeClr w14:val="tx1"/>
            </w14:solidFill>
          </w14:textFill>
        </w:rPr>
        <w:t>100%</w:t>
      </w:r>
      <w:r>
        <w:rPr>
          <w:rFonts w:hint="eastAsia" w:ascii="仿宋" w:hAnsi="仿宋" w:eastAsia="仿宋"/>
          <w:b w:val="0"/>
          <w:bCs/>
          <w:color w:val="000000" w:themeColor="text1"/>
          <w:sz w:val="28"/>
          <w:szCs w:val="28"/>
          <w14:textFill>
            <w14:solidFill>
              <w14:schemeClr w14:val="tx1"/>
            </w14:solidFill>
          </w14:textFill>
        </w:rPr>
        <w:t>，决算数与预算数持平的主要原因是合理安排预算,严格控制因公出国、出境事项和公务接待事项。</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47" w:name="_Toc15377217"/>
      <w:r>
        <w:rPr>
          <w:rFonts w:hint="eastAsia" w:ascii="楷体" w:hAnsi="楷体" w:eastAsia="楷体" w:cs="楷体"/>
          <w:b w:val="0"/>
          <w:bCs/>
          <w:color w:val="000000" w:themeColor="text1"/>
          <w:sz w:val="28"/>
          <w:szCs w:val="28"/>
        </w:rPr>
        <w:t>（二）“三公”经费财政拨款支出决算具体情况说明</w:t>
      </w:r>
      <w:bookmarkEnd w:id="47"/>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9年“三公”经费财政拨款支出决算中，因公出国（境）费支出决算</w:t>
      </w:r>
      <w:r>
        <w:rPr>
          <w:rFonts w:hint="eastAsia" w:ascii="仿宋_GB2312" w:hAnsi="仿宋_GB2312" w:eastAsia="仿宋_GB2312" w:cs="仿宋_GB2312"/>
          <w:b w:val="0"/>
          <w:bCs/>
          <w:color w:val="000000" w:themeColor="text1"/>
          <w:sz w:val="28"/>
          <w:szCs w:val="28"/>
          <w14:textFill>
            <w14:solidFill>
              <w14:schemeClr w14:val="tx1"/>
            </w14:solidFill>
          </w14:textFill>
        </w:rPr>
        <w:t>0.00</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_GB2312" w:hAnsi="仿宋_GB2312" w:eastAsia="仿宋_GB2312" w:cs="仿宋_GB2312"/>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；公务用车购置及运行维护费支出决算0.00万元，占0.00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；公务接待费支出决算</w:t>
      </w:r>
      <w:r>
        <w:rPr>
          <w:rFonts w:hint="eastAsia" w:ascii="仿宋_GB2312" w:hAnsi="仿宋_GB2312" w:eastAsia="仿宋_GB2312" w:cs="仿宋_GB2312"/>
          <w:b w:val="0"/>
          <w:bCs/>
          <w:color w:val="000000" w:themeColor="text1"/>
          <w:sz w:val="28"/>
          <w:szCs w:val="28"/>
          <w14:textFill>
            <w14:solidFill>
              <w14:schemeClr w14:val="tx1"/>
            </w14:solidFill>
          </w14:textFill>
        </w:rPr>
        <w:t>0.00万元</w:t>
      </w:r>
      <w:r>
        <w:rPr>
          <w:rFonts w:hint="eastAsia" w:ascii="仿宋" w:hAnsi="仿宋" w:eastAsia="仿宋"/>
          <w:b w:val="0"/>
          <w:bCs/>
          <w:color w:val="000000" w:themeColor="text1"/>
          <w:sz w:val="28"/>
          <w:szCs w:val="28"/>
          <w14:textFill>
            <w14:solidFill>
              <w14:schemeClr w14:val="tx1"/>
            </w14:solidFill>
          </w14:textFill>
        </w:rPr>
        <w:t>，占</w:t>
      </w:r>
      <w:r>
        <w:rPr>
          <w:rFonts w:hint="eastAsia" w:ascii="仿宋_GB2312" w:hAnsi="仿宋_GB2312" w:eastAsia="仿宋_GB2312" w:cs="仿宋_GB2312"/>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。具体情况如下：</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1.</w:t>
      </w:r>
      <w:r>
        <w:rPr>
          <w:rFonts w:hint="eastAsia" w:ascii="仿宋_GB2312" w:eastAsia="仿宋_GB2312"/>
          <w:b w:val="0"/>
          <w:bCs/>
          <w:color w:val="000000" w:themeColor="text1"/>
          <w:sz w:val="28"/>
          <w:szCs w:val="28"/>
          <w14:textFill>
            <w14:solidFill>
              <w14:schemeClr w14:val="tx1"/>
            </w14:solidFill>
          </w14:textFill>
        </w:rPr>
        <w:t>因公出国（境）经费支出</w:t>
      </w:r>
      <w:r>
        <w:rPr>
          <w:rFonts w:hint="eastAsia" w:ascii="仿宋_GB2312" w:hAnsi="仿宋_GB2312" w:eastAsia="仿宋_GB2312" w:cs="仿宋_GB2312"/>
          <w:b w:val="0"/>
          <w:bCs/>
          <w:color w:val="000000" w:themeColor="text1"/>
          <w:sz w:val="28"/>
          <w:szCs w:val="28"/>
          <w14:textFill>
            <w14:solidFill>
              <w14:schemeClr w14:val="tx1"/>
            </w14:solidFill>
          </w14:textFill>
        </w:rPr>
        <w:t>0万元</w:t>
      </w:r>
      <w:r>
        <w:rPr>
          <w:rFonts w:hint="eastAsia" w:ascii="仿宋_GB2312" w:eastAsia="仿宋_GB2312"/>
          <w:b w:val="0"/>
          <w:bCs/>
          <w:color w:val="000000" w:themeColor="text1"/>
          <w:sz w:val="28"/>
          <w:szCs w:val="28"/>
          <w14:textFill>
            <w14:solidFill>
              <w14:schemeClr w14:val="tx1"/>
            </w14:solidFill>
          </w14:textFill>
        </w:rPr>
        <w:t>，</w:t>
      </w:r>
      <w:r>
        <w:rPr>
          <w:rStyle w:val="15"/>
          <w:rFonts w:hint="eastAsia" w:ascii="仿宋" w:hAnsi="仿宋" w:eastAsia="仿宋"/>
          <w:b w:val="0"/>
          <w:bCs/>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color w:val="000000" w:themeColor="text1"/>
          <w:sz w:val="28"/>
          <w:szCs w:val="28"/>
          <w14:textFill>
            <w14:solidFill>
              <w14:schemeClr w14:val="tx1"/>
            </w14:solidFill>
          </w14:textFill>
        </w:rPr>
        <w:t>100%</w:t>
      </w:r>
      <w:r>
        <w:rPr>
          <w:rStyle w:val="15"/>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sz w:val="28"/>
          <w:szCs w:val="28"/>
          <w14:textFill>
            <w14:solidFill>
              <w14:schemeClr w14:val="tx1"/>
            </w14:solidFill>
          </w14:textFill>
        </w:rPr>
        <w:t>全年安排因公出国（境）团组</w:t>
      </w:r>
      <w:r>
        <w:rPr>
          <w:rFonts w:hint="eastAsia" w:ascii="仿宋_GB2312" w:hAnsi="仿宋_GB2312" w:eastAsia="仿宋_GB2312" w:cs="仿宋_GB2312"/>
          <w:b w:val="0"/>
          <w:bCs/>
          <w:color w:val="000000" w:themeColor="text1"/>
          <w:sz w:val="28"/>
          <w:szCs w:val="28"/>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次，出国（境）</w:t>
      </w:r>
      <w:r>
        <w:rPr>
          <w:rFonts w:hint="eastAsia" w:ascii="仿宋_GB2312" w:hAnsi="仿宋_GB2312" w:eastAsia="仿宋_GB2312" w:cs="仿宋_GB2312"/>
          <w:b w:val="0"/>
          <w:bCs/>
          <w:color w:val="000000" w:themeColor="text1"/>
          <w:sz w:val="28"/>
          <w:szCs w:val="28"/>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人。因公出国（境）支出决算比</w:t>
      </w: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8年（0万元）增加/减少</w:t>
      </w:r>
      <w:r>
        <w:rPr>
          <w:rFonts w:hint="eastAsia" w:ascii="仿宋_GB2312" w:hAnsi="仿宋_GB2312" w:eastAsia="仿宋_GB2312" w:cs="仿宋_GB2312"/>
          <w:b w:val="0"/>
          <w:bCs/>
          <w:color w:val="000000" w:themeColor="text1"/>
          <w:sz w:val="28"/>
          <w:szCs w:val="28"/>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万,增长/降低</w:t>
      </w:r>
      <w:r>
        <w:rPr>
          <w:rFonts w:hint="eastAsia" w:ascii="仿宋_GB2312" w:hAnsi="仿宋_GB2312" w:eastAsia="仿宋_GB2312" w:cs="仿宋_GB2312"/>
          <w:b w:val="0"/>
          <w:bCs/>
          <w:color w:val="000000" w:themeColor="text1"/>
          <w:sz w:val="28"/>
          <w:szCs w:val="28"/>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w:t>
      </w:r>
      <w:r>
        <w:rPr>
          <w:rFonts w:hint="eastAsia" w:ascii="仿宋_GB2312" w:eastAsia="仿宋_GB2312"/>
          <w:b w:val="0"/>
          <w:bCs/>
          <w:color w:val="000000" w:themeColor="text1"/>
          <w:sz w:val="28"/>
          <w:szCs w:val="28"/>
          <w14:textFill>
            <w14:solidFill>
              <w14:schemeClr w14:val="tx1"/>
            </w14:solidFill>
          </w14:textFill>
        </w:rPr>
        <w:t>公务用车购置及运行维护费支出</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学校无公务用车，2019年度无公务用车购置及运行维护费开支。</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shd w:val="clear" w:color="auto" w:fill="FFFFFF"/>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3.</w:t>
      </w:r>
      <w:r>
        <w:rPr>
          <w:rFonts w:hint="eastAsia" w:ascii="仿宋" w:hAnsi="仿宋" w:eastAsia="仿宋"/>
          <w:b w:val="0"/>
          <w:bCs/>
          <w:color w:val="000000" w:themeColor="text1"/>
          <w:sz w:val="28"/>
          <w:szCs w:val="28"/>
          <w:shd w:val="clear" w:color="auto" w:fill="FFFFFF"/>
          <w14:textFill>
            <w14:solidFill>
              <w14:schemeClr w14:val="tx1"/>
            </w14:solidFill>
          </w14:textFill>
        </w:rPr>
        <w:t>公务接待费支出</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shd w:val="clear" w:color="auto" w:fill="FFFFFF"/>
          <w14:textFill>
            <w14:solidFill>
              <w14:schemeClr w14:val="tx1"/>
            </w14:solidFill>
          </w14:textFill>
        </w:rPr>
        <w:t>学校公务接待费支出0万元，完成预算0%。公务接待费支出决算比2018年</w:t>
      </w:r>
      <w:r>
        <w:rPr>
          <w:rFonts w:hint="eastAsia" w:ascii="仿宋_GB2312" w:eastAsia="仿宋_GB2312"/>
          <w:b w:val="0"/>
          <w:bCs/>
          <w:color w:val="000000" w:themeColor="text1"/>
          <w:sz w:val="28"/>
          <w:szCs w:val="28"/>
          <w14:textFill>
            <w14:solidFill>
              <w14:schemeClr w14:val="tx1"/>
            </w14:solidFill>
          </w14:textFill>
        </w:rPr>
        <w:t>（0万元）</w:t>
      </w:r>
      <w:r>
        <w:rPr>
          <w:rFonts w:hint="eastAsia" w:ascii="仿宋" w:hAnsi="仿宋" w:eastAsia="仿宋"/>
          <w:b w:val="0"/>
          <w:bCs/>
          <w:color w:val="000000" w:themeColor="text1"/>
          <w:sz w:val="28"/>
          <w:szCs w:val="28"/>
          <w:shd w:val="clear" w:color="auto" w:fill="FFFFFF"/>
          <w14:textFill>
            <w14:solidFill>
              <w14:schemeClr w14:val="tx1"/>
            </w14:solidFill>
          </w14:textFill>
        </w:rPr>
        <w:t>增加/减少0万元，增长/下降0%。</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48" w:name="_Toc19089871"/>
      <w:bookmarkStart w:id="49" w:name="_Toc15377218"/>
      <w:r>
        <w:rPr>
          <w:rFonts w:hint="eastAsia" w:ascii="黑体" w:eastAsia="黑体"/>
          <w:b w:val="0"/>
          <w:bCs/>
          <w:color w:val="000000" w:themeColor="text1"/>
          <w:sz w:val="28"/>
          <w:szCs w:val="28"/>
          <w14:textFill>
            <w14:solidFill>
              <w14:schemeClr w14:val="tx1"/>
            </w14:solidFill>
          </w14:textFill>
        </w:rPr>
        <w:t>八、</w:t>
      </w:r>
      <w:r>
        <w:rPr>
          <w:rStyle w:val="26"/>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8"/>
      <w:bookmarkEnd w:id="49"/>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9年政府性基金预算拨款支出</w:t>
      </w:r>
      <w:r>
        <w:rPr>
          <w:rFonts w:hint="eastAsia" w:ascii="仿宋_GB2312" w:hAnsi="仿宋_GB2312" w:eastAsia="仿宋_GB2312" w:cs="仿宋_GB2312"/>
          <w:b w:val="0"/>
          <w:bCs/>
          <w:color w:val="000000" w:themeColor="text1"/>
          <w:sz w:val="28"/>
          <w:szCs w:val="28"/>
          <w14:textFill>
            <w14:solidFill>
              <w14:schemeClr w14:val="tx1"/>
            </w14:solidFill>
          </w14:textFill>
        </w:rPr>
        <w:t>0.00</w:t>
      </w:r>
      <w:r>
        <w:rPr>
          <w:rFonts w:hint="eastAsia" w:ascii="仿宋_GB2312" w:eastAsia="仿宋_GB2312"/>
          <w:b w:val="0"/>
          <w:bCs/>
          <w:color w:val="000000" w:themeColor="text1"/>
          <w:sz w:val="28"/>
          <w:szCs w:val="28"/>
          <w14:textFill>
            <w14:solidFill>
              <w14:schemeClr w14:val="tx1"/>
            </w14:solidFill>
          </w14:textFill>
        </w:rPr>
        <w:t>万元。</w:t>
      </w:r>
    </w:p>
    <w:p>
      <w:pPr>
        <w:keepNext w:val="0"/>
        <w:keepLines w:val="0"/>
        <w:pageBreakBefore w:val="0"/>
        <w:widowControl w:val="0"/>
        <w:numPr>
          <w:ilvl w:val="0"/>
          <w:numId w:val="3"/>
        </w:numPr>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50" w:name="_Toc15377219"/>
      <w:bookmarkStart w:id="51" w:name="_Toc19089872"/>
      <w:r>
        <w:rPr>
          <w:rStyle w:val="26"/>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50"/>
      <w:bookmarkEnd w:id="51"/>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9年国有资本经营预算拨款支出0.00万元。</w:t>
      </w:r>
    </w:p>
    <w:p>
      <w:pPr>
        <w:pStyle w:val="24"/>
        <w:keepNext w:val="0"/>
        <w:keepLines w:val="0"/>
        <w:pageBreakBefore w:val="0"/>
        <w:widowControl w:val="0"/>
        <w:numPr>
          <w:ilvl w:val="0"/>
          <w:numId w:val="4"/>
        </w:numPr>
        <w:kinsoku/>
        <w:wordWrap/>
        <w:overflowPunct/>
        <w:topLinePunct w:val="0"/>
        <w:bidi w:val="0"/>
        <w:snapToGrid w:val="0"/>
        <w:spacing w:line="360" w:lineRule="auto"/>
        <w:ind w:left="0" w:firstLine="560" w:firstLineChars="200"/>
        <w:textAlignment w:val="auto"/>
        <w:rPr>
          <w:rStyle w:val="26"/>
          <w:rFonts w:ascii="黑体" w:hAnsi="黑体" w:eastAsia="黑体"/>
          <w:b w:val="0"/>
          <w:bCs/>
          <w:color w:val="000000" w:themeColor="text1"/>
          <w:sz w:val="28"/>
          <w:szCs w:val="28"/>
          <w14:textFill>
            <w14:solidFill>
              <w14:schemeClr w14:val="tx1"/>
            </w14:solidFill>
          </w14:textFill>
        </w:rPr>
      </w:pPr>
      <w:bookmarkStart w:id="52" w:name="_Toc19089873"/>
      <w:r>
        <w:rPr>
          <w:rStyle w:val="26"/>
          <w:rFonts w:hint="eastAsia" w:ascii="黑体" w:hAnsi="黑体" w:eastAsia="黑体"/>
          <w:b w:val="0"/>
          <w:bCs/>
          <w:color w:val="000000" w:themeColor="text1"/>
          <w:sz w:val="28"/>
          <w:szCs w:val="28"/>
          <w14:textFill>
            <w14:solidFill>
              <w14:schemeClr w14:val="tx1"/>
            </w14:solidFill>
          </w14:textFill>
        </w:rPr>
        <w:t>预算绩效情况说明</w:t>
      </w:r>
      <w:bookmarkEnd w:id="52"/>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r>
        <w:rPr>
          <w:rFonts w:hint="eastAsia" w:ascii="楷体" w:hAnsi="楷体" w:eastAsia="楷体" w:cs="楷体"/>
          <w:b w:val="0"/>
          <w:bCs/>
          <w:color w:val="000000" w:themeColor="text1"/>
          <w:sz w:val="28"/>
          <w:szCs w:val="28"/>
          <w:lang w:eastAsia="zh-CN"/>
        </w:rPr>
        <w:t>（一）</w:t>
      </w:r>
      <w:r>
        <w:rPr>
          <w:rFonts w:hint="eastAsia" w:ascii="楷体" w:hAnsi="楷体" w:eastAsia="楷体" w:cs="楷体"/>
          <w:b w:val="0"/>
          <w:bCs/>
          <w:color w:val="000000" w:themeColor="text1"/>
          <w:sz w:val="28"/>
          <w:szCs w:val="28"/>
        </w:rPr>
        <w:t>预算绩效管理工作开展情况</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华文仿宋" w:hAnsi="华文仿宋" w:eastAsia="华文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存在的问题：</w:t>
      </w:r>
      <w:r>
        <w:rPr>
          <w:rFonts w:hint="eastAsia" w:ascii="仿宋_GB2312" w:hAnsi="宋体" w:eastAsia="仿宋_GB2312" w:cs="仿宋_GB2312"/>
          <w:b w:val="0"/>
          <w:bCs/>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华文仿宋" w:hAnsi="华文仿宋" w:eastAsia="华文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下一步改进措施：</w:t>
      </w:r>
      <w:r>
        <w:rPr>
          <w:rStyle w:val="15"/>
          <w:rFonts w:hint="eastAsia" w:ascii="仿宋_GB2312" w:hAnsi="宋体" w:eastAsia="仿宋_GB2312" w:cs="仿宋_GB2312"/>
          <w:b w:val="0"/>
          <w:bCs/>
          <w:color w:val="000000" w:themeColor="text1"/>
          <w:sz w:val="28"/>
          <w:szCs w:val="28"/>
          <w14:textFill>
            <w14:solidFill>
              <w14:schemeClr w14:val="tx1"/>
            </w14:solidFill>
          </w14:textFill>
        </w:rPr>
        <w:t>一是</w:t>
      </w:r>
      <w:r>
        <w:rPr>
          <w:rFonts w:hint="eastAsia" w:ascii="仿宋_GB2312" w:hAnsi="宋体" w:eastAsia="仿宋_GB2312" w:cs="仿宋_GB2312"/>
          <w:b w:val="0"/>
          <w:bCs/>
          <w:color w:val="000000" w:themeColor="text1"/>
          <w:sz w:val="28"/>
          <w:szCs w:val="28"/>
          <w14:textFill>
            <w14:solidFill>
              <w14:schemeClr w14:val="tx1"/>
            </w14:solidFill>
          </w14:textFill>
        </w:rPr>
        <w:t>进一步加强绩效评价管理制度建设；二是建立有效的绩效管理体系；</w:t>
      </w:r>
      <w:r>
        <w:rPr>
          <w:rStyle w:val="15"/>
          <w:rFonts w:hint="eastAsia" w:ascii="仿宋_GB2312" w:hAnsi="宋体" w:eastAsia="仿宋_GB2312" w:cs="仿宋_GB2312"/>
          <w:b w:val="0"/>
          <w:bCs/>
          <w:color w:val="000000" w:themeColor="text1"/>
          <w:sz w:val="28"/>
          <w:szCs w:val="28"/>
          <w14:textFill>
            <w14:solidFill>
              <w14:schemeClr w14:val="tx1"/>
            </w14:solidFill>
          </w14:textFill>
        </w:rPr>
        <w:t>三是</w:t>
      </w:r>
      <w:r>
        <w:rPr>
          <w:rFonts w:hint="eastAsia" w:ascii="仿宋_GB2312" w:hAnsi="宋体" w:eastAsia="仿宋_GB2312" w:cs="仿宋_GB2312"/>
          <w:b w:val="0"/>
          <w:bCs/>
          <w:color w:val="000000" w:themeColor="text1"/>
          <w:sz w:val="28"/>
          <w:szCs w:val="28"/>
          <w14:textFill>
            <w14:solidFill>
              <w14:schemeClr w14:val="tx1"/>
            </w14:solidFill>
          </w14:textFill>
        </w:rPr>
        <w:t>强化绩效管理数据分析，强化绩效管理数据运用；四是强化绩效评价专业技能的培训；</w:t>
      </w:r>
      <w:r>
        <w:rPr>
          <w:rFonts w:hint="eastAsia" w:ascii="华文仿宋" w:hAnsi="华文仿宋" w:eastAsia="华文仿宋"/>
          <w:b w:val="0"/>
          <w:bCs/>
          <w:color w:val="000000" w:themeColor="text1"/>
          <w:sz w:val="28"/>
          <w:szCs w:val="28"/>
          <w14:textFill>
            <w14:solidFill>
              <w14:schemeClr w14:val="tx1"/>
            </w14:solidFill>
          </w14:textFill>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1"/>
        <w:rPr>
          <w:rStyle w:val="26"/>
          <w:rFonts w:ascii="黑体" w:hAnsi="黑体" w:eastAsia="黑体"/>
          <w:b w:val="0"/>
          <w:bCs/>
          <w:color w:val="000000" w:themeColor="text1"/>
          <w:sz w:val="28"/>
          <w:szCs w:val="28"/>
          <w14:textFill>
            <w14:solidFill>
              <w14:schemeClr w14:val="tx1"/>
            </w14:solidFill>
          </w14:textFill>
        </w:rPr>
      </w:pPr>
      <w:bookmarkStart w:id="53" w:name="_Toc19089874"/>
      <w:bookmarkStart w:id="54" w:name="_Toc15377221"/>
      <w:r>
        <w:rPr>
          <w:rFonts w:hint="eastAsia" w:ascii="黑体" w:hAnsi="黑体" w:eastAsia="黑体"/>
          <w:b w:val="0"/>
          <w:bCs/>
          <w:color w:val="000000" w:themeColor="text1"/>
          <w:sz w:val="28"/>
          <w:szCs w:val="28"/>
          <w14:textFill>
            <w14:solidFill>
              <w14:schemeClr w14:val="tx1"/>
            </w14:solidFill>
          </w14:textFill>
        </w:rPr>
        <w:t>十</w:t>
      </w:r>
      <w:r>
        <w:rPr>
          <w:rStyle w:val="26"/>
          <w:rFonts w:hint="eastAsia" w:ascii="黑体" w:hAnsi="黑体" w:eastAsia="黑体"/>
          <w:b w:val="0"/>
          <w:bCs/>
          <w:color w:val="000000" w:themeColor="text1"/>
          <w:sz w:val="28"/>
          <w:szCs w:val="28"/>
          <w14:textFill>
            <w14:solidFill>
              <w14:schemeClr w14:val="tx1"/>
            </w14:solidFill>
          </w14:textFill>
        </w:rPr>
        <w:t>一、其他重要事项的情况说明</w:t>
      </w:r>
      <w:bookmarkEnd w:id="53"/>
      <w:bookmarkEnd w:id="54"/>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55" w:name="_Toc15377222"/>
      <w:r>
        <w:rPr>
          <w:rFonts w:hint="eastAsia" w:ascii="楷体" w:hAnsi="楷体" w:eastAsia="楷体" w:cs="楷体"/>
          <w:b w:val="0"/>
          <w:bCs/>
          <w:color w:val="000000" w:themeColor="text1"/>
          <w:sz w:val="28"/>
          <w:szCs w:val="28"/>
        </w:rPr>
        <w:t>（一）机关运行经费支出情况</w:t>
      </w:r>
      <w:bookmarkEnd w:id="55"/>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9年，利州区清河小学运行经费支出</w:t>
      </w:r>
      <w:r>
        <w:rPr>
          <w:rFonts w:hint="eastAsia" w:ascii="仿宋" w:hAnsi="仿宋" w:eastAsia="仿宋" w:cs="仿宋_GB2312"/>
          <w:b w:val="0"/>
          <w:bCs/>
          <w:color w:val="000000" w:themeColor="text1"/>
          <w:sz w:val="28"/>
          <w:szCs w:val="28"/>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ascii="仿宋" w:hAnsi="仿宋" w:eastAsia="仿宋"/>
          <w:b w:val="0"/>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56" w:name="_Toc15377223"/>
      <w:r>
        <w:rPr>
          <w:rFonts w:hint="eastAsia" w:ascii="楷体" w:hAnsi="楷体" w:eastAsia="楷体" w:cs="楷体"/>
          <w:b w:val="0"/>
          <w:bCs/>
          <w:color w:val="000000" w:themeColor="text1"/>
          <w:sz w:val="28"/>
          <w:szCs w:val="28"/>
        </w:rPr>
        <w:t>（二）政府采购支出情况</w:t>
      </w:r>
      <w:bookmarkEnd w:id="56"/>
    </w:p>
    <w:p>
      <w:pPr>
        <w:keepNext w:val="0"/>
        <w:keepLines w:val="0"/>
        <w:pageBreakBefore w:val="0"/>
        <w:widowControl w:val="0"/>
        <w:kinsoku/>
        <w:wordWrap/>
        <w:overflowPunct/>
        <w:topLinePunct w:val="0"/>
        <w:bidi w:val="0"/>
        <w:snapToGrid w:val="0"/>
        <w:spacing w:line="360" w:lineRule="auto"/>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9年，利州区清河小学采购支出总额0.00万元，其中：政府采购货物支出0.00万元、政府采购工程支出0.00万元、政府采购服务支出0.00万元。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snapToGrid w:val="0"/>
        <w:spacing w:line="360" w:lineRule="auto"/>
        <w:ind w:left="0" w:firstLine="560" w:firstLineChars="200"/>
        <w:textAlignment w:val="auto"/>
        <w:outlineLvl w:val="2"/>
        <w:rPr>
          <w:rFonts w:hint="eastAsia" w:ascii="楷体" w:hAnsi="楷体" w:eastAsia="楷体" w:cs="楷体"/>
          <w:b w:val="0"/>
          <w:bCs/>
          <w:color w:val="000000" w:themeColor="text1"/>
          <w:sz w:val="28"/>
          <w:szCs w:val="28"/>
        </w:rPr>
      </w:pPr>
      <w:bookmarkStart w:id="57" w:name="_Toc15377224"/>
      <w:r>
        <w:rPr>
          <w:rFonts w:hint="eastAsia" w:ascii="楷体" w:hAnsi="楷体" w:eastAsia="楷体" w:cs="楷体"/>
          <w:b w:val="0"/>
          <w:bCs/>
          <w:color w:val="000000" w:themeColor="text1"/>
          <w:sz w:val="28"/>
          <w:szCs w:val="28"/>
        </w:rPr>
        <w:t>（三）国有资产占有使用情况</w:t>
      </w:r>
      <w:bookmarkEnd w:id="57"/>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截至</w:t>
      </w: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w:t>
      </w:r>
      <w:r>
        <w:rPr>
          <w:rFonts w:ascii="仿宋_GB2312" w:eastAsia="仿宋_GB2312"/>
          <w:b w:val="0"/>
          <w:bCs/>
          <w:color w:val="000000" w:themeColor="text1"/>
          <w:sz w:val="28"/>
          <w:szCs w:val="28"/>
          <w14:textFill>
            <w14:solidFill>
              <w14:schemeClr w14:val="tx1"/>
            </w14:solidFill>
          </w14:textFill>
        </w:rPr>
        <w:t>12</w:t>
      </w:r>
      <w:r>
        <w:rPr>
          <w:rFonts w:hint="eastAsia" w:ascii="仿宋_GB2312" w:eastAsia="仿宋_GB2312"/>
          <w:b w:val="0"/>
          <w:bCs/>
          <w:color w:val="000000" w:themeColor="text1"/>
          <w:sz w:val="28"/>
          <w:szCs w:val="28"/>
          <w14:textFill>
            <w14:solidFill>
              <w14:schemeClr w14:val="tx1"/>
            </w14:solidFill>
          </w14:textFill>
        </w:rPr>
        <w:t>月</w:t>
      </w:r>
      <w:r>
        <w:rPr>
          <w:rFonts w:ascii="仿宋_GB2312" w:eastAsia="仿宋_GB2312"/>
          <w:b w:val="0"/>
          <w:bCs/>
          <w:color w:val="000000" w:themeColor="text1"/>
          <w:sz w:val="28"/>
          <w:szCs w:val="28"/>
          <w14:textFill>
            <w14:solidFill>
              <w14:schemeClr w14:val="tx1"/>
            </w14:solidFill>
          </w14:textFill>
        </w:rPr>
        <w:t>31</w:t>
      </w:r>
      <w:r>
        <w:rPr>
          <w:rFonts w:hint="eastAsia" w:ascii="仿宋_GB2312" w:eastAsia="仿宋_GB2312"/>
          <w:b w:val="0"/>
          <w:bCs/>
          <w:color w:val="000000" w:themeColor="text1"/>
          <w:sz w:val="28"/>
          <w:szCs w:val="28"/>
          <w14:textFill>
            <w14:solidFill>
              <w14:schemeClr w14:val="tx1"/>
            </w14:solidFill>
          </w14:textFill>
        </w:rPr>
        <w:t>日，利州区清河小学共有车辆0辆，单价</w:t>
      </w:r>
      <w:r>
        <w:rPr>
          <w:rFonts w:ascii="仿宋_GB2312" w:eastAsia="仿宋_GB2312"/>
          <w:b w:val="0"/>
          <w:bCs/>
          <w:color w:val="000000" w:themeColor="text1"/>
          <w:sz w:val="28"/>
          <w:szCs w:val="28"/>
          <w14:textFill>
            <w14:solidFill>
              <w14:schemeClr w14:val="tx1"/>
            </w14:solidFill>
          </w14:textFill>
        </w:rPr>
        <w:t>50</w:t>
      </w:r>
      <w:r>
        <w:rPr>
          <w:rFonts w:hint="eastAsia" w:ascii="仿宋_GB2312" w:eastAsia="仿宋_GB2312"/>
          <w:b w:val="0"/>
          <w:bCs/>
          <w:color w:val="000000" w:themeColor="text1"/>
          <w:sz w:val="28"/>
          <w:szCs w:val="28"/>
          <w14:textFill>
            <w14:solidFill>
              <w14:schemeClr w14:val="tx1"/>
            </w14:solidFill>
          </w14:textFill>
        </w:rPr>
        <w:t>万元以上通用设备0台（套），单价</w:t>
      </w:r>
      <w:r>
        <w:rPr>
          <w:rFonts w:ascii="仿宋_GB2312" w:eastAsia="仿宋_GB2312"/>
          <w:b w:val="0"/>
          <w:bCs/>
          <w:color w:val="000000" w:themeColor="text1"/>
          <w:sz w:val="28"/>
          <w:szCs w:val="28"/>
          <w14:textFill>
            <w14:solidFill>
              <w14:schemeClr w14:val="tx1"/>
            </w14:solidFill>
          </w14:textFill>
        </w:rPr>
        <w:t>100</w:t>
      </w:r>
      <w:r>
        <w:rPr>
          <w:rFonts w:hint="eastAsia" w:ascii="仿宋_GB2312" w:eastAsia="仿宋_GB2312"/>
          <w:b w:val="0"/>
          <w:bCs/>
          <w:color w:val="000000" w:themeColor="text1"/>
          <w:sz w:val="28"/>
          <w:szCs w:val="28"/>
          <w14:textFill>
            <w14:solidFill>
              <w14:schemeClr w14:val="tx1"/>
            </w14:solidFill>
          </w14:textFill>
        </w:rPr>
        <w:t>万元以上专用设备0台（套）。</w:t>
      </w:r>
    </w:p>
    <w:p>
      <w:pPr>
        <w:rPr>
          <w:rFonts w:ascii="黑体" w:hAnsi="黑体" w:eastAsia="黑体"/>
          <w:bCs/>
          <w:kern w:val="44"/>
          <w:sz w:val="44"/>
          <w:szCs w:val="44"/>
        </w:rPr>
      </w:pPr>
      <w:bookmarkStart w:id="58" w:name="_Toc15377225"/>
      <w:bookmarkStart w:id="59" w:name="_Toc19089875"/>
      <w:r>
        <w:rPr>
          <w:rFonts w:hint="eastAsia" w:ascii="黑体" w:hAnsi="黑体" w:eastAsia="黑体"/>
          <w:b/>
          <w:sz w:val="44"/>
          <w:szCs w:val="44"/>
        </w:rPr>
        <w:br w:type="page"/>
      </w:r>
    </w:p>
    <w:p>
      <w:pPr>
        <w:numPr>
          <w:ilvl w:val="0"/>
          <w:numId w:val="5"/>
        </w:numPr>
        <w:spacing w:line="600" w:lineRule="exact"/>
        <w:ind w:left="0" w:leftChars="0" w:firstLine="0" w:firstLineChars="0"/>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
          <w:sz w:val="44"/>
          <w:szCs w:val="44"/>
        </w:rPr>
        <w:t>名</w:t>
      </w:r>
      <w:r>
        <w:rPr>
          <w:rStyle w:val="25"/>
          <w:rFonts w:hint="eastAsia" w:ascii="方正小标宋简体" w:hAnsi="方正小标宋简体" w:eastAsia="方正小标宋简体" w:cs="方正小标宋简体"/>
          <w:b w:val="0"/>
        </w:rPr>
        <w:t>词解释</w:t>
      </w:r>
      <w:bookmarkEnd w:id="58"/>
      <w:bookmarkEnd w:id="59"/>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 xml:space="preserve">4.其他收入：指单位取得的除上述收入以外的各项收入。主要是学前教育保育教育费收入、银行存款利息收入等。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20. 教育支出（类）特殊教育（款）工读学校教育（项）:指各部门举办的工读学校的支出。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21. 教育支出（类）教育附加费安排的支出（款）农村中小学校舍建设（项）:反映教育附加费安排用于农村中小学校舍新建、改建、修缮和维护的支出。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 xml:space="preserve">34.项目支出：指在基本支出之外为完成特定行政任务和事业发展目标所发生的支出。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00" w:lineRule="exact"/>
        <w:ind w:left="0" w:firstLine="560" w:firstLineChars="200"/>
        <w:textAlignment w:val="auto"/>
        <w:rPr>
          <w:rFonts w:hint="eastAsia" w:ascii="仿宋_GB2312" w:hAnsi="宋体" w:eastAsia="仿宋_GB2312" w:cs="仿宋_GB2312"/>
          <w:b w:val="0"/>
          <w:bCs/>
          <w:color w:val="000000" w:themeColor="text1"/>
          <w:sz w:val="28"/>
          <w:szCs w:val="28"/>
        </w:rPr>
      </w:pPr>
      <w:r>
        <w:rPr>
          <w:rFonts w:hint="eastAsia" w:ascii="仿宋_GB2312" w:hAnsi="宋体" w:eastAsia="仿宋_GB2312" w:cs="仿宋_GB2312"/>
          <w:b w:val="0"/>
          <w:bCs/>
          <w:color w:val="000000" w:themeColor="text1"/>
          <w:sz w:val="28"/>
          <w:szCs w:val="28"/>
        </w:rPr>
        <w:t>（名词解释部分请根据各部门实际列支情况罗列，并根据本部门职责职能增减名词解释内容。）</w:t>
      </w:r>
    </w:p>
    <w:p>
      <w:pPr>
        <w:spacing w:line="600" w:lineRule="exact"/>
        <w:jc w:val="center"/>
        <w:outlineLvl w:val="0"/>
        <w:rPr>
          <w:rFonts w:ascii="黑体" w:hAnsi="黑体" w:eastAsia="黑体"/>
          <w:sz w:val="44"/>
          <w:szCs w:val="44"/>
        </w:rPr>
      </w:pPr>
      <w:bookmarkStart w:id="60" w:name="_Toc19089876"/>
      <w:bookmarkStart w:id="61"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outlineLvl w:val="0"/>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四部分 附件</w:t>
      </w:r>
      <w:bookmarkEnd w:id="60"/>
    </w:p>
    <w:p>
      <w:pPr>
        <w:widowControl/>
        <w:jc w:val="left"/>
        <w:rPr>
          <w:rFonts w:ascii="黑体" w:hAnsi="黑体" w:eastAsia="黑体"/>
          <w:bCs/>
          <w:kern w:val="44"/>
          <w:sz w:val="28"/>
          <w:szCs w:val="28"/>
        </w:rPr>
      </w:pPr>
      <w:bookmarkStart w:id="62" w:name="_Toc19089877"/>
      <w:r>
        <w:rPr>
          <w:rFonts w:hint="eastAsia" w:ascii="仿宋" w:hAnsi="仿宋" w:eastAsia="仿宋"/>
          <w:kern w:val="44"/>
          <w:sz w:val="28"/>
          <w:szCs w:val="28"/>
        </w:rPr>
        <w:t>附件1</w:t>
      </w:r>
      <w:bookmarkEnd w:id="62"/>
    </w:p>
    <w:p>
      <w:pPr>
        <w:spacing w:line="600" w:lineRule="exact"/>
        <w:jc w:val="center"/>
        <w:outlineLvl w:val="0"/>
        <w:rPr>
          <w:rFonts w:hint="eastAsia" w:ascii="黑体" w:hAnsi="黑体" w:eastAsia="黑体" w:cs="方正小标宋简体"/>
          <w:sz w:val="36"/>
          <w:szCs w:val="36"/>
        </w:rPr>
      </w:pPr>
      <w:bookmarkStart w:id="63" w:name="_Toc19089878"/>
      <w:bookmarkStart w:id="64" w:name="_Toc15396616"/>
      <w:bookmarkStart w:id="65" w:name="_Toc19089880"/>
      <w:r>
        <w:rPr>
          <w:rFonts w:hint="eastAsia" w:ascii="黑体" w:hAnsi="黑体" w:eastAsia="黑体" w:cs="方正小标宋简体"/>
          <w:sz w:val="36"/>
          <w:szCs w:val="36"/>
        </w:rPr>
        <w:t>广元市利州区清河小学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63"/>
      <w:bookmarkStart w:id="66" w:name="_Toc19089879"/>
      <w:r>
        <w:rPr>
          <w:rFonts w:hint="eastAsia" w:ascii="黑体" w:hAnsi="黑体" w:eastAsia="黑体" w:cs="方正小标宋简体"/>
          <w:sz w:val="36"/>
          <w:szCs w:val="36"/>
        </w:rPr>
        <w:t>绩效评价报告</w:t>
      </w:r>
      <w:bookmarkEnd w:id="64"/>
      <w:bookmarkEnd w:id="66"/>
    </w:p>
    <w:p>
      <w:pPr>
        <w:spacing w:line="580"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一、部门（单位）概况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（一）</w:t>
      </w:r>
      <w:r>
        <w:rPr>
          <w:rFonts w:hint="eastAsia" w:ascii="楷体" w:hAnsi="楷体" w:eastAsia="楷体" w:cs="楷体"/>
          <w:b w:val="0"/>
          <w:bCs w:val="0"/>
          <w:color w:val="000000" w:themeColor="text1"/>
          <w:sz w:val="28"/>
          <w:szCs w:val="28"/>
        </w:rPr>
        <w:t>部门职能</w:t>
      </w:r>
    </w:p>
    <w:p>
      <w:pPr>
        <w:keepNext w:val="0"/>
        <w:keepLines w:val="0"/>
        <w:pageBreakBefore w:val="0"/>
        <w:widowControl w:val="0"/>
        <w:kinsoku/>
        <w:wordWrap/>
        <w:overflowPunct/>
        <w:topLinePunct w:val="0"/>
        <w:autoSpaceDE/>
        <w:autoSpaceDN/>
        <w:bidi w:val="0"/>
        <w:adjustRightInd/>
        <w:snapToGrid w:val="0"/>
        <w:spacing w:line="500" w:lineRule="exact"/>
        <w:ind w:firstLine="536" w:firstLineChars="200"/>
        <w:jc w:val="both"/>
        <w:textAlignment w:val="auto"/>
        <w:rPr>
          <w:rFonts w:hint="eastAsia" w:ascii="仿宋" w:hAnsi="仿宋" w:eastAsia="仿宋" w:cs="仿宋_GB2312"/>
          <w:b w:val="0"/>
          <w:bCs w:val="0"/>
          <w:color w:val="000000" w:themeColor="text1"/>
          <w:spacing w:val="-6"/>
          <w:sz w:val="28"/>
          <w:szCs w:val="28"/>
        </w:rPr>
      </w:pPr>
      <w:r>
        <w:rPr>
          <w:rFonts w:hint="eastAsia" w:ascii="仿宋" w:hAnsi="仿宋" w:eastAsia="仿宋" w:cs="仿宋_GB2312"/>
          <w:b w:val="0"/>
          <w:bCs w:val="0"/>
          <w:color w:val="000000" w:themeColor="text1"/>
          <w:spacing w:val="-6"/>
          <w:sz w:val="28"/>
          <w:szCs w:val="28"/>
        </w:rPr>
        <w:t>清河小学是经利州区编制委员会批准成立的，在区教育局领导下的一所农村小学校。实施小学义务教育，小学学历教育，是学校的主要工作职能。</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（二）</w:t>
      </w:r>
      <w:r>
        <w:rPr>
          <w:rFonts w:hint="eastAsia" w:ascii="楷体" w:hAnsi="楷体" w:eastAsia="楷体" w:cs="楷体"/>
          <w:b w:val="0"/>
          <w:bCs w:val="0"/>
          <w:color w:val="000000" w:themeColor="text1"/>
          <w:sz w:val="28"/>
          <w:szCs w:val="28"/>
        </w:rPr>
        <w:t>机构情况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宋体" w:hAnsi="宋体"/>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rPr>
        <w:t>清河小学是区编制委员会命名的独立法人机构，为经费独立核算单位。</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（三）</w:t>
      </w:r>
      <w:r>
        <w:rPr>
          <w:rFonts w:hint="eastAsia" w:ascii="楷体" w:hAnsi="楷体" w:eastAsia="楷体" w:cs="楷体"/>
          <w:b w:val="0"/>
          <w:bCs w:val="0"/>
          <w:color w:val="000000" w:themeColor="text1"/>
          <w:sz w:val="28"/>
          <w:szCs w:val="28"/>
        </w:rPr>
        <w:t>人员情况及增减变动原因</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仿宋" w:hAnsi="仿宋" w:eastAsia="仿宋" w:cs="仿宋_GB2312"/>
          <w:b w:val="0"/>
          <w:bCs w:val="0"/>
          <w:color w:val="000000" w:themeColor="text1"/>
          <w:sz w:val="28"/>
          <w:szCs w:val="28"/>
        </w:rPr>
      </w:pPr>
      <w:r>
        <w:rPr>
          <w:rFonts w:hint="eastAsia" w:ascii="仿宋" w:hAnsi="仿宋" w:eastAsia="仿宋" w:cs="仿宋_GB2312"/>
          <w:b w:val="0"/>
          <w:bCs w:val="0"/>
          <w:color w:val="000000" w:themeColor="text1"/>
          <w:sz w:val="28"/>
          <w:szCs w:val="28"/>
        </w:rPr>
        <w:t>我校编制人数9人，年末实有在编教职工10人。退休教职工7人。小学在校学生38人，其中留守儿童6人。38人全寄宿在校。</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（一）部门财政资金收入情况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2019年财政拨款收入总计205.92万元。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（二）部门财政资金支出情况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2019年财政拨款支出合计204.88万元。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（一）部门预算管理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w:t>
      </w:r>
      <w:r>
        <w:rPr>
          <w:rFonts w:ascii="仿宋" w:hAnsi="仿宋" w:eastAsia="仿宋" w:cs="仿宋_GB2312"/>
          <w:b w:val="0"/>
          <w:bCs w:val="0"/>
          <w:color w:val="000000" w:themeColor="text1"/>
          <w:sz w:val="28"/>
          <w:szCs w:val="28"/>
          <w14:textFill>
            <w14:solidFill>
              <w14:schemeClr w14:val="tx1"/>
            </w14:solidFill>
          </w14:textFill>
        </w:rPr>
        <w:t>部门绩效目标制定</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w:t>
      </w:r>
      <w:r>
        <w:rPr>
          <w:rFonts w:ascii="仿宋" w:hAnsi="仿宋" w:eastAsia="仿宋" w:cs="仿宋_GB2312"/>
          <w:b w:val="0"/>
          <w:bCs w:val="0"/>
          <w:color w:val="000000" w:themeColor="text1"/>
          <w:sz w:val="28"/>
          <w:szCs w:val="28"/>
          <w14:textFill>
            <w14:solidFill>
              <w14:schemeClr w14:val="tx1"/>
            </w14:solidFill>
          </w14:textFill>
        </w:rPr>
        <w:t>预算编制</w:t>
      </w:r>
      <w:r>
        <w:rPr>
          <w:rFonts w:hint="eastAsia" w:ascii="仿宋" w:hAnsi="仿宋" w:eastAsia="仿宋" w:cs="仿宋_GB2312"/>
          <w:b w:val="0"/>
          <w:bCs w:val="0"/>
          <w:color w:val="000000" w:themeColor="text1"/>
          <w:sz w:val="28"/>
          <w:szCs w:val="28"/>
          <w14:textFill>
            <w14:solidFill>
              <w14:schemeClr w14:val="tx1"/>
            </w14:solidFill>
          </w14:textFill>
        </w:rPr>
        <w:t>和执行</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（二）专项预算管理。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1.专项预算编制情况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2.专项预算执行</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3.专项预算绩效目标完成情况</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2019年清河小学财政专项预算支出共</w:t>
      </w:r>
      <w:r>
        <w:rPr>
          <w:rFonts w:hint="eastAsia" w:ascii="仿宋" w:hAnsi="仿宋" w:eastAsia="仿宋"/>
          <w:b w:val="0"/>
          <w:bCs w:val="0"/>
          <w:color w:val="000000" w:themeColor="text1"/>
          <w:sz w:val="28"/>
          <w:szCs w:val="28"/>
          <w14:textFill>
            <w14:solidFill>
              <w14:schemeClr w14:val="tx1"/>
            </w14:solidFill>
          </w14:textFill>
        </w:rPr>
        <w:t>204.88万元，</w:t>
      </w:r>
      <w:r>
        <w:rPr>
          <w:rFonts w:hint="eastAsia" w:ascii="仿宋" w:hAnsi="仿宋" w:eastAsia="仿宋" w:cs="仿宋_GB2312"/>
          <w:b w:val="0"/>
          <w:bCs w:val="0"/>
          <w:color w:val="000000" w:themeColor="text1"/>
          <w:sz w:val="28"/>
          <w:szCs w:val="28"/>
          <w14:textFill>
            <w14:solidFill>
              <w14:schemeClr w14:val="tx1"/>
            </w14:solidFill>
          </w14:textFill>
        </w:rPr>
        <w:t>完成预算率达到</w:t>
      </w:r>
      <w:r>
        <w:rPr>
          <w:rStyle w:val="15"/>
          <w:rFonts w:hint="eastAsia" w:ascii="仿宋" w:hAnsi="仿宋" w:eastAsia="仿宋"/>
          <w:b w:val="0"/>
          <w:bCs w:val="0"/>
          <w:color w:val="000000" w:themeColor="text1"/>
          <w:sz w:val="28"/>
          <w:szCs w:val="28"/>
          <w14:textFill>
            <w14:solidFill>
              <w14:schemeClr w14:val="tx1"/>
            </w14:solidFill>
          </w14:textFill>
        </w:rPr>
        <w:t>99.50</w:t>
      </w:r>
      <w:r>
        <w:rPr>
          <w:rStyle w:val="15"/>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（一）评价结论</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95.5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（二）存在问题</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预算追加经费下达时间比较晚，造成预算执行率偏差。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（三）改进建议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仿宋_GB2312"/>
          <w:b w:val="0"/>
          <w:bCs w:val="0"/>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Style w:val="25"/>
          <w:rFonts w:hint="eastAsia" w:ascii="仿宋" w:hAnsi="仿宋" w:eastAsia="仿宋"/>
          <w:sz w:val="28"/>
          <w:szCs w:val="28"/>
        </w:rPr>
      </w:pPr>
      <w:r>
        <w:rPr>
          <w:rStyle w:val="25"/>
          <w:rFonts w:hint="eastAsia" w:ascii="仿宋" w:hAnsi="仿宋" w:eastAsia="仿宋"/>
          <w:sz w:val="28"/>
          <w:szCs w:val="28"/>
        </w:rPr>
        <w:t>附件2</w:t>
      </w:r>
    </w:p>
    <w:p>
      <w:pPr>
        <w:widowControl/>
        <w:jc w:val="left"/>
        <w:rPr>
          <w:rStyle w:val="25"/>
          <w:rFonts w:hint="eastAsia" w:ascii="仿宋" w:hAnsi="仿宋" w:eastAsia="仿宋"/>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广元市利州区清河小学</w:t>
      </w: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2019年学生营养改善计划项目支出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一、评价工作开展及项目情况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（一）项目选点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利州区清河小学学生营养改善计划项目已实施7个年度（2012年开始实施），本次绩效评价期间为2019年度。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本项目主要对农村义务教育阶段学校根据《四川省教育厅关于追加下达地方试点县2015年农村义务教育学生营养改善计划提标省级补助资金预算的通知》（川财教</w:t>
      </w:r>
      <w:r>
        <w:rPr>
          <w:rFonts w:hint="eastAsia" w:ascii="仿宋" w:hAnsi="仿宋" w:eastAsia="仿宋" w:cs="仿宋_GB2312"/>
          <w:sz w:val="28"/>
          <w:szCs w:val="28"/>
          <w:lang w:eastAsia="zh-CN"/>
        </w:rPr>
        <w:t>〔</w:t>
      </w:r>
      <w:r>
        <w:rPr>
          <w:rFonts w:hint="eastAsia" w:ascii="仿宋" w:hAnsi="仿宋" w:eastAsia="仿宋" w:cs="仿宋_GB2312"/>
          <w:sz w:val="28"/>
          <w:szCs w:val="28"/>
        </w:rPr>
        <w:t>2015</w:t>
      </w:r>
      <w:r>
        <w:rPr>
          <w:rFonts w:hint="eastAsia" w:ascii="仿宋" w:hAnsi="仿宋" w:eastAsia="仿宋" w:cs="仿宋_GB2312"/>
          <w:sz w:val="28"/>
          <w:szCs w:val="28"/>
          <w:lang w:eastAsia="zh-CN"/>
        </w:rPr>
        <w:t>〕</w:t>
      </w:r>
      <w:r>
        <w:rPr>
          <w:rFonts w:hint="eastAsia" w:ascii="仿宋" w:hAnsi="仿宋" w:eastAsia="仿宋" w:cs="仿宋_GB2312"/>
          <w:sz w:val="28"/>
          <w:szCs w:val="28"/>
        </w:rPr>
        <w:t>10号）文件要求，按照每人每天4元标准进行补助。2019年学校</w:t>
      </w:r>
      <w:r>
        <w:rPr>
          <w:rFonts w:hint="eastAsia" w:ascii="仿宋" w:hAnsi="仿宋" w:eastAsia="仿宋" w:cs="仿宋_GB2312"/>
          <w:color w:val="000000" w:themeColor="text1"/>
          <w:sz w:val="28"/>
          <w:szCs w:val="28"/>
        </w:rPr>
        <w:t>受补助学生38人，</w:t>
      </w:r>
      <w:r>
        <w:rPr>
          <w:rFonts w:hint="eastAsia" w:ascii="仿宋" w:hAnsi="仿宋" w:eastAsia="仿宋" w:cs="仿宋_GB2312"/>
          <w:sz w:val="28"/>
          <w:szCs w:val="28"/>
        </w:rPr>
        <w:t>全部采用食堂供餐模式。项目资金由中央、省、市、区四级财政共同分担。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通过项目的实施进一步贯彻落实了《国务院办公厅关于实施农村义务教育学生营养改善计划的意见》（国办发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2011</w:t>
      </w:r>
      <w:r>
        <w:rPr>
          <w:rFonts w:hint="eastAsia" w:ascii="仿宋" w:hAnsi="仿宋" w:eastAsia="仿宋" w:cs="仿宋_GB2312"/>
          <w:sz w:val="28"/>
          <w:szCs w:val="28"/>
          <w:lang w:eastAsia="zh-CN"/>
        </w:rPr>
        <w:t>〕</w:t>
      </w:r>
      <w:r>
        <w:rPr>
          <w:rFonts w:hint="eastAsia" w:ascii="仿宋" w:hAnsi="仿宋" w:eastAsia="仿宋" w:cs="仿宋_GB2312"/>
          <w:sz w:val="28"/>
          <w:szCs w:val="28"/>
        </w:rPr>
        <w:t>54号）、《四川省人民政府办公厅关于实施农村义务教育学生营养改善计划地方试点工作的通知》（川办发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2012</w:t>
      </w:r>
      <w:r>
        <w:rPr>
          <w:rFonts w:hint="eastAsia" w:ascii="仿宋" w:hAnsi="仿宋" w:eastAsia="仿宋" w:cs="仿宋_GB2312"/>
          <w:sz w:val="28"/>
          <w:szCs w:val="28"/>
          <w:lang w:eastAsia="zh-CN"/>
        </w:rPr>
        <w:t>〕</w:t>
      </w:r>
      <w:r>
        <w:rPr>
          <w:rFonts w:hint="eastAsia" w:ascii="仿宋" w:hAnsi="仿宋" w:eastAsia="仿宋" w:cs="仿宋_GB2312"/>
          <w:sz w:val="28"/>
          <w:szCs w:val="28"/>
        </w:rPr>
        <w:t>21号）和省、市相关会议精神，切实改善农村学生营养状况，提高农村学生健康水平。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（二）绩效评价指标体系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制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被评价项目绩效评价指标体系设置三个一级指标、八个二级指标、十五个三级指标。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（1）一级指标：设置了项目完成、项目效益、满意度指标三个。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（2）二级指标：项目完成设置了数量目标、质量指标、时效指标和成本指标四个，项目效益设置经济效益、社会效益和可持续影响指标三个，满意度指标设置社会满意度指标一个。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32个；社会满意度指标设置学生满意度、家长满意度指标2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（三）评价标准和评价方法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1.评价标准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绩效评价标准是指衡量财政支出绩效目标完成程度的尺度。绩效评价标准具体包括：计划标准、行业标准、历史标准、其他经财政部门确认的标准。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2.评价方法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绩效评价方法主要采用成本效益分析法、比较法、因素分析法、最低成本法、公众评判法等。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二、评价结论及绩效分析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201</w:t>
      </w:r>
      <w:r>
        <w:rPr>
          <w:rFonts w:ascii="仿宋" w:hAnsi="仿宋" w:eastAsia="仿宋" w:cs="仿宋_GB2312"/>
          <w:sz w:val="28"/>
          <w:szCs w:val="28"/>
        </w:rPr>
        <w:t>9</w:t>
      </w:r>
      <w:r>
        <w:rPr>
          <w:rFonts w:hint="eastAsia" w:ascii="仿宋" w:hAnsi="仿宋" w:eastAsia="仿宋" w:cs="仿宋_GB2312"/>
          <w:sz w:val="28"/>
          <w:szCs w:val="28"/>
        </w:rPr>
        <w:t>年度农村义务教育阶段学校营养改善计划项目实现了学校营养改善计划学生全覆盖，项目受益学生</w:t>
      </w:r>
      <w:r>
        <w:rPr>
          <w:rFonts w:hint="eastAsia" w:ascii="仿宋" w:hAnsi="仿宋" w:eastAsia="仿宋" w:cs="仿宋_GB2312"/>
          <w:color w:val="000000" w:themeColor="text1"/>
          <w:sz w:val="28"/>
          <w:szCs w:val="28"/>
        </w:rPr>
        <w:t>38人，营养餐财政拨款资金19688.00元，食堂供餐率达到100%。项目目标明确、资金到位率高、资金使用规范、组织监管体系完善，项目质量达到相关行业标准，符合经济社会发展和</w:t>
      </w:r>
      <w:r>
        <w:rPr>
          <w:rFonts w:hint="eastAsia" w:ascii="仿宋" w:hAnsi="仿宋" w:eastAsia="仿宋" w:cs="仿宋_GB2312"/>
          <w:sz w:val="28"/>
          <w:szCs w:val="28"/>
        </w:rPr>
        <w:t>客观实际的要求，达到预期绩效目标要求。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（二）绩效分析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lang w:eastAsia="zh-CN"/>
        </w:rPr>
        <w:t>.</w:t>
      </w:r>
      <w:r>
        <w:rPr>
          <w:rFonts w:ascii="仿宋" w:hAnsi="仿宋" w:eastAsia="仿宋" w:cs="仿宋_GB2312"/>
          <w:sz w:val="28"/>
          <w:szCs w:val="28"/>
        </w:rPr>
        <w:t>项目决策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（1）必要性：该项目进一步贯彻落实了《国务院办公厅关于实施农村义务教育学生营养改善计划的意见》（国办发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2011</w:t>
      </w:r>
      <w:r>
        <w:rPr>
          <w:rFonts w:hint="eastAsia" w:ascii="仿宋" w:hAnsi="仿宋" w:eastAsia="仿宋" w:cs="仿宋_GB2312"/>
          <w:sz w:val="28"/>
          <w:szCs w:val="28"/>
          <w:lang w:eastAsia="zh-CN"/>
        </w:rPr>
        <w:t>〕</w:t>
      </w:r>
      <w:r>
        <w:rPr>
          <w:rFonts w:hint="eastAsia" w:ascii="仿宋" w:hAnsi="仿宋" w:eastAsia="仿宋" w:cs="仿宋_GB2312"/>
          <w:sz w:val="28"/>
          <w:szCs w:val="28"/>
        </w:rPr>
        <w:t>54号）、《四川省人民政府办公厅关于实施农村义务教育学生营养改善计划地方试点工作的通知》（川办发</w:t>
      </w:r>
      <w:r>
        <w:rPr>
          <w:rFonts w:hint="eastAsia" w:ascii="仿宋" w:hAnsi="仿宋" w:eastAsia="仿宋" w:cs="仿宋_GB2312"/>
          <w:sz w:val="28"/>
          <w:szCs w:val="28"/>
          <w:lang w:eastAsia="zh-CN"/>
        </w:rPr>
        <w:t>〔</w:t>
      </w:r>
      <w:r>
        <w:rPr>
          <w:rFonts w:hint="eastAsia" w:ascii="仿宋" w:hAnsi="仿宋" w:eastAsia="仿宋" w:cs="仿宋_GB2312"/>
          <w:sz w:val="28"/>
          <w:szCs w:val="28"/>
        </w:rPr>
        <w:t>2012</w:t>
      </w:r>
      <w:r>
        <w:rPr>
          <w:rFonts w:hint="eastAsia" w:ascii="仿宋" w:hAnsi="仿宋" w:eastAsia="仿宋" w:cs="仿宋_GB2312"/>
          <w:sz w:val="28"/>
          <w:szCs w:val="28"/>
          <w:lang w:eastAsia="zh-CN"/>
        </w:rPr>
        <w:t>〕</w:t>
      </w:r>
      <w:r>
        <w:rPr>
          <w:rFonts w:hint="eastAsia" w:ascii="仿宋" w:hAnsi="仿宋" w:eastAsia="仿宋" w:cs="仿宋_GB2312"/>
          <w:sz w:val="28"/>
          <w:szCs w:val="28"/>
        </w:rPr>
        <w:t>21号）文件要求。改善了农村学生营养状况，促进了学生身心健康的发展，有力支持了教育事业的发展，减轻了贫困家庭的经济负担，广大群众看到了变化，有了实实在在的“获得感”。对加快农村教育发展，促进教育公平起了积极的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（2）可行性：上级教育主管部门制定了《广元市教育局关于加强学校食堂财务管理的实施意见》（广教发</w:t>
      </w:r>
      <w:r>
        <w:rPr>
          <w:rFonts w:hint="eastAsia" w:ascii="宋体" w:hAnsi="宋体" w:cs="仿宋_GB2312"/>
          <w:sz w:val="28"/>
          <w:szCs w:val="28"/>
        </w:rPr>
        <w:t>〔2016〕13号</w:t>
      </w:r>
      <w:r>
        <w:rPr>
          <w:rFonts w:hint="eastAsia" w:ascii="仿宋" w:hAnsi="仿宋" w:eastAsia="仿宋" w:cs="仿宋_GB2312"/>
          <w:sz w:val="28"/>
          <w:szCs w:val="28"/>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lang w:eastAsia="zh-CN"/>
        </w:rPr>
        <w:t>.</w:t>
      </w:r>
      <w:r>
        <w:rPr>
          <w:rFonts w:ascii="仿宋" w:hAnsi="仿宋" w:eastAsia="仿宋" w:cs="仿宋_GB2312"/>
          <w:sz w:val="28"/>
          <w:szCs w:val="28"/>
        </w:rPr>
        <w:t>项目管理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在资金使用上，各校按照市、区教育主管部门要求，制定了相应的财务管理制度，做到专款专用、专项核算。每周公布带量食谱及核算价格，校长、教师“陪餐”费用自理。资金支出手续齐全，收支票据规范，原始凭证合规，无白条抵账、不合规凭证和大额现金支付等现象，无超范围使用或挪作他用的现象，确保了膳食补助资金足额用于学生营养改善。用于日常运转的配套资金和食堂聘用人员工资、设备设施购置等费用部分均纳入年度财政预算管理，保障了实施学生营养改善计划所需资金的正常运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lang w:eastAsia="zh-CN"/>
        </w:rPr>
        <w:t>.</w:t>
      </w:r>
      <w:r>
        <w:rPr>
          <w:rFonts w:ascii="仿宋" w:hAnsi="仿宋" w:eastAsia="仿宋" w:cs="仿宋_GB2312"/>
          <w:sz w:val="28"/>
          <w:szCs w:val="28"/>
        </w:rPr>
        <w:t>项目绩效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项目目标完成情况</w:t>
      </w:r>
      <w:r>
        <w:rPr>
          <w:rFonts w:hint="eastAsia" w:ascii="仿宋" w:hAnsi="仿宋" w:eastAsia="仿宋"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201</w:t>
      </w:r>
      <w:r>
        <w:rPr>
          <w:rFonts w:ascii="仿宋" w:hAnsi="仿宋" w:eastAsia="仿宋" w:cs="仿宋_GB2312"/>
          <w:sz w:val="28"/>
          <w:szCs w:val="28"/>
        </w:rPr>
        <w:t>9</w:t>
      </w:r>
      <w:r>
        <w:rPr>
          <w:rFonts w:hint="eastAsia" w:ascii="仿宋" w:hAnsi="仿宋" w:eastAsia="仿宋" w:cs="仿宋_GB2312"/>
          <w:sz w:val="28"/>
          <w:szCs w:val="28"/>
        </w:rPr>
        <w:t>年度学校农村义务教育阶段学校营养改善计划补助资金覆盖率达到100%，食堂供餐率达到100%。营养改善计划资金按月结算并拨付到位。区食品监督部门、市场监督管理部门定期抽查供餐学校食品及进货验收资料，已抽检的供餐食品质量符合要求；随机突击查看供餐单位现场，无供餐数量和品种与公示菜谱不相符的现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（2）项</w:t>
      </w:r>
      <w:r>
        <w:rPr>
          <w:rFonts w:ascii="仿宋" w:hAnsi="仿宋" w:eastAsia="仿宋" w:cs="仿宋_GB2312"/>
          <w:sz w:val="28"/>
          <w:szCs w:val="28"/>
        </w:rPr>
        <w:t>目效益情况（经济效益、项目社会效益、生态效益、可持续效益、公平性、资金使用效率、受益群体满意度等）。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项目的实施改善了农村学生营养状况，促进了学生身心健康的发展，有力支持了教育事业的发展，减轻了贫困家庭的经济负担，广大群众看到了变化，有了实实在在的“获得感”。学生营养状况改善明显，促进了学生身心的健康发展。从学校201</w:t>
      </w:r>
      <w:r>
        <w:rPr>
          <w:rFonts w:ascii="仿宋" w:hAnsi="仿宋" w:eastAsia="仿宋" w:cs="仿宋_GB2312"/>
          <w:sz w:val="28"/>
          <w:szCs w:val="28"/>
        </w:rPr>
        <w:t>9</w:t>
      </w:r>
      <w:r>
        <w:rPr>
          <w:rFonts w:hint="eastAsia" w:ascii="仿宋" w:hAnsi="仿宋" w:eastAsia="仿宋" w:cs="仿宋_GB2312"/>
          <w:sz w:val="28"/>
          <w:szCs w:val="28"/>
        </w:rPr>
        <w:t>年《国家学生体质健康标准》测试和学生调查问卷结果显示，与往年同期相比，学校学生平均身高、肺活量有所增加，学生肥胖现象有所减少，学习能力有所提高。在区委、区政府、区教育局高度重视下，学校积极开展学生行为习惯教育，学生厌食偏食现象明显改善，养成良好的就餐习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通过问卷调查、电话访问、现场走访等形式，对学生、教师和学生家长等进行的调查反映，营养改善计划相关政策知晓率和受益满意度达98%以上。广大师生和社会公众对实施学生营养改善计划信任度高、认同感强，社会反响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三、存在主要问题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（一）营养配餐能力不足。学校地处偏远，缺乏营养配餐、科学饮食方面的指导，难以提供科学合理的营养食谱，制约了学生营养的科学化、合理化。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（二）学生饮食习惯不健康。部分学生存在偏食、挑食等不良饮食习惯，缺乏科学合理的营养膳食观念。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 xml:space="preserve">（三）每年除营养改善计划配套资金外，还要配备食堂建设、从业人员薪酬、食堂设施设备配备等资金，学校财政压力较大。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四、相关措施建议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（一）做好宣传教育工作。通过多种形式，向社会广泛宣传营养改善计划政策措施，引导社会和家长正确认识营养改善计划政策内涵，普及营养科学知识，引导学生树立科学的营养观念、养成健康的饮食习惯。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5"/>
          <w:rFonts w:ascii="仿宋" w:hAnsi="仿宋" w:eastAsia="仿宋" w:cs="仿宋_GB2312"/>
          <w:b w:val="0"/>
          <w:bCs w:val="0"/>
          <w:sz w:val="28"/>
          <w:szCs w:val="28"/>
        </w:rPr>
      </w:pPr>
      <w:r>
        <w:rPr>
          <w:rFonts w:hint="eastAsia" w:ascii="仿宋" w:hAnsi="仿宋" w:eastAsia="仿宋" w:cs="仿宋_GB2312"/>
          <w:sz w:val="28"/>
          <w:szCs w:val="28"/>
        </w:rPr>
        <w:t>（二）加大学校食堂从业人员培训力度，提高学校营养配餐能力。</w:t>
      </w:r>
    </w:p>
    <w:p>
      <w:pPr>
        <w:widowControl/>
        <w:jc w:val="left"/>
        <w:rPr>
          <w:rFonts w:ascii="黑体" w:hAnsi="黑体" w:eastAsia="黑体"/>
          <w:color w:val="000000" w:themeColor="text1"/>
          <w:sz w:val="44"/>
          <w:szCs w:val="44"/>
        </w:rPr>
      </w:pPr>
      <w:r>
        <w:rPr>
          <w:rFonts w:ascii="黑体" w:hAnsi="黑体" w:eastAsia="黑体"/>
          <w:color w:val="000000" w:themeColor="text1"/>
          <w:sz w:val="44"/>
          <w:szCs w:val="44"/>
        </w:rPr>
        <w:br w:type="page"/>
      </w:r>
      <w:bookmarkStart w:id="67" w:name="_GoBack"/>
      <w:bookmarkEnd w:id="67"/>
    </w:p>
    <w:p>
      <w:pPr>
        <w:jc w:val="center"/>
        <w:rPr>
          <w:rStyle w:val="25"/>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五部分 附表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二、收入总表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三、支出总表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五、财政拨款支出决算明细表（政府经济分类科目）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六、一般公共预算财政拨款支出决算表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七、一般公共预算财政拨款支出决算明细表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八、一般公共预算财政拨款基本支出决算表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九、一般公共预算财政拨款项目支出决算表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十、一般公共预算财政拨款“三公”经费支出决算表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十一、政府性基金预算财政拨款收入支出决算表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十二、政府性基金预算财政拨款“三公”经费支出决算表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十三、国有资本经营预算支出决算表</w:t>
      </w:r>
    </w:p>
    <w:p/>
    <w:p/>
    <w:p>
      <w:pPr>
        <w:pStyle w:val="3"/>
        <w:rPr>
          <w:rStyle w:val="25"/>
          <w:rFonts w:ascii="仿宋" w:hAnsi="仿宋" w:eastAsia="仿宋"/>
          <w:b w:val="0"/>
          <w:bCs w:val="0"/>
          <w:sz w:val="36"/>
        </w:rPr>
      </w:pPr>
    </w:p>
    <w:p>
      <w:pPr>
        <w:pStyle w:val="3"/>
        <w:rPr>
          <w:rStyle w:val="25"/>
          <w:rFonts w:ascii="仿宋" w:hAnsi="仿宋" w:eastAsia="仿宋"/>
          <w:b w:val="0"/>
          <w:bCs w:val="0"/>
          <w:sz w:val="36"/>
        </w:rPr>
      </w:pPr>
      <w:r>
        <w:rPr>
          <w:rStyle w:val="25"/>
          <w:rFonts w:hint="eastAsia" w:ascii="仿宋" w:hAnsi="仿宋" w:eastAsia="仿宋"/>
          <w:b w:val="0"/>
          <w:bCs w:val="0"/>
          <w:sz w:val="36"/>
        </w:rPr>
        <w:t xml:space="preserve"> </w:t>
      </w:r>
      <w:bookmarkEnd w:id="61"/>
      <w:bookmarkEnd w:id="65"/>
    </w:p>
    <w:sectPr>
      <w:headerReference r:id="rId3" w:type="default"/>
      <w:footerReference r:id="rId4" w:type="default"/>
      <w:pgSz w:w="11906" w:h="16838"/>
      <w:pgMar w:top="1701" w:right="1474" w:bottom="1701"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24</w:t>
        </w:r>
        <w:r>
          <w:rPr>
            <w:rFonts w:hint="eastAsia" w:asciiTheme="minorEastAsia" w:hAnsiTheme="minorEastAsia" w:eastAsiaTheme="minorEastAsia" w:cstheme="minorEastAsia"/>
            <w:sz w:val="24"/>
            <w:szCs w:val="24"/>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F07BDEB"/>
    <w:multiLevelType w:val="singleLevel"/>
    <w:tmpl w:val="0F07BDEB"/>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5D6"/>
    <w:rsid w:val="000222C6"/>
    <w:rsid w:val="0002549F"/>
    <w:rsid w:val="00027662"/>
    <w:rsid w:val="000425B4"/>
    <w:rsid w:val="00062A5B"/>
    <w:rsid w:val="0006487A"/>
    <w:rsid w:val="00065F8F"/>
    <w:rsid w:val="000768F2"/>
    <w:rsid w:val="0009184B"/>
    <w:rsid w:val="00094044"/>
    <w:rsid w:val="0009593C"/>
    <w:rsid w:val="000B047F"/>
    <w:rsid w:val="000B30C6"/>
    <w:rsid w:val="000B3BF0"/>
    <w:rsid w:val="000B48C7"/>
    <w:rsid w:val="000B5923"/>
    <w:rsid w:val="000B5A48"/>
    <w:rsid w:val="000B6FF3"/>
    <w:rsid w:val="000C3467"/>
    <w:rsid w:val="000C3CA6"/>
    <w:rsid w:val="000D1267"/>
    <w:rsid w:val="000D1D50"/>
    <w:rsid w:val="000D5782"/>
    <w:rsid w:val="000E363E"/>
    <w:rsid w:val="000E630C"/>
    <w:rsid w:val="000E6613"/>
    <w:rsid w:val="000E7119"/>
    <w:rsid w:val="001006C5"/>
    <w:rsid w:val="00114E9B"/>
    <w:rsid w:val="00147108"/>
    <w:rsid w:val="0014729F"/>
    <w:rsid w:val="00157BAB"/>
    <w:rsid w:val="001614F6"/>
    <w:rsid w:val="001654D1"/>
    <w:rsid w:val="0018106D"/>
    <w:rsid w:val="001877A7"/>
    <w:rsid w:val="00191536"/>
    <w:rsid w:val="00196687"/>
    <w:rsid w:val="001B73A2"/>
    <w:rsid w:val="001C0962"/>
    <w:rsid w:val="001D33BA"/>
    <w:rsid w:val="001D7531"/>
    <w:rsid w:val="001E51AF"/>
    <w:rsid w:val="001E737D"/>
    <w:rsid w:val="001F0592"/>
    <w:rsid w:val="001F6AC8"/>
    <w:rsid w:val="001F7506"/>
    <w:rsid w:val="002006CD"/>
    <w:rsid w:val="00202B36"/>
    <w:rsid w:val="00204B7A"/>
    <w:rsid w:val="0021101A"/>
    <w:rsid w:val="00220536"/>
    <w:rsid w:val="00235629"/>
    <w:rsid w:val="00245678"/>
    <w:rsid w:val="00251A05"/>
    <w:rsid w:val="00260C38"/>
    <w:rsid w:val="00261689"/>
    <w:rsid w:val="002616C0"/>
    <w:rsid w:val="002662AA"/>
    <w:rsid w:val="00280496"/>
    <w:rsid w:val="00295495"/>
    <w:rsid w:val="002B2613"/>
    <w:rsid w:val="002E1C32"/>
    <w:rsid w:val="002F1818"/>
    <w:rsid w:val="002F567B"/>
    <w:rsid w:val="00303037"/>
    <w:rsid w:val="003216A9"/>
    <w:rsid w:val="00324C77"/>
    <w:rsid w:val="0037013F"/>
    <w:rsid w:val="00374B44"/>
    <w:rsid w:val="00380C92"/>
    <w:rsid w:val="00383320"/>
    <w:rsid w:val="003A34C1"/>
    <w:rsid w:val="003A484F"/>
    <w:rsid w:val="003B0BE0"/>
    <w:rsid w:val="003B0C1B"/>
    <w:rsid w:val="003B0ED3"/>
    <w:rsid w:val="003B688C"/>
    <w:rsid w:val="003C0291"/>
    <w:rsid w:val="003C39AE"/>
    <w:rsid w:val="003C7B60"/>
    <w:rsid w:val="003D1FB2"/>
    <w:rsid w:val="003D2250"/>
    <w:rsid w:val="003D66DA"/>
    <w:rsid w:val="003E1310"/>
    <w:rsid w:val="003E6F55"/>
    <w:rsid w:val="003E7AD4"/>
    <w:rsid w:val="003F1B51"/>
    <w:rsid w:val="00406254"/>
    <w:rsid w:val="004223DE"/>
    <w:rsid w:val="004241B4"/>
    <w:rsid w:val="00427040"/>
    <w:rsid w:val="00434489"/>
    <w:rsid w:val="00437085"/>
    <w:rsid w:val="00443880"/>
    <w:rsid w:val="00444307"/>
    <w:rsid w:val="004464F4"/>
    <w:rsid w:val="00471401"/>
    <w:rsid w:val="0047387D"/>
    <w:rsid w:val="00473F31"/>
    <w:rsid w:val="0048263A"/>
    <w:rsid w:val="00487E5D"/>
    <w:rsid w:val="004A55C6"/>
    <w:rsid w:val="004A711F"/>
    <w:rsid w:val="004B199D"/>
    <w:rsid w:val="004B4690"/>
    <w:rsid w:val="004C0FEC"/>
    <w:rsid w:val="004E0A2D"/>
    <w:rsid w:val="004E206B"/>
    <w:rsid w:val="004E6DF7"/>
    <w:rsid w:val="004F0FBD"/>
    <w:rsid w:val="00502479"/>
    <w:rsid w:val="00503383"/>
    <w:rsid w:val="00505A47"/>
    <w:rsid w:val="00512FDA"/>
    <w:rsid w:val="00520DA0"/>
    <w:rsid w:val="005664BB"/>
    <w:rsid w:val="0057481D"/>
    <w:rsid w:val="00574BF0"/>
    <w:rsid w:val="0058486E"/>
    <w:rsid w:val="005936D1"/>
    <w:rsid w:val="00597410"/>
    <w:rsid w:val="005A46E1"/>
    <w:rsid w:val="005B0362"/>
    <w:rsid w:val="005D1C8B"/>
    <w:rsid w:val="005D55F1"/>
    <w:rsid w:val="005D5CED"/>
    <w:rsid w:val="005F1A4C"/>
    <w:rsid w:val="005F4E6B"/>
    <w:rsid w:val="00600C84"/>
    <w:rsid w:val="00605688"/>
    <w:rsid w:val="006070AF"/>
    <w:rsid w:val="00607E6C"/>
    <w:rsid w:val="006101B1"/>
    <w:rsid w:val="00614212"/>
    <w:rsid w:val="00614E44"/>
    <w:rsid w:val="00622830"/>
    <w:rsid w:val="00630AEF"/>
    <w:rsid w:val="00631B17"/>
    <w:rsid w:val="006325F8"/>
    <w:rsid w:val="00634C9A"/>
    <w:rsid w:val="006440E4"/>
    <w:rsid w:val="0066343B"/>
    <w:rsid w:val="00664777"/>
    <w:rsid w:val="006748A4"/>
    <w:rsid w:val="00683E73"/>
    <w:rsid w:val="006861E9"/>
    <w:rsid w:val="006A3141"/>
    <w:rsid w:val="006A5E34"/>
    <w:rsid w:val="006B2422"/>
    <w:rsid w:val="006B2B9A"/>
    <w:rsid w:val="006C1937"/>
    <w:rsid w:val="006C2699"/>
    <w:rsid w:val="006D0478"/>
    <w:rsid w:val="006F020C"/>
    <w:rsid w:val="00704D04"/>
    <w:rsid w:val="007127B7"/>
    <w:rsid w:val="0071378E"/>
    <w:rsid w:val="00713EDE"/>
    <w:rsid w:val="007416B6"/>
    <w:rsid w:val="00746F48"/>
    <w:rsid w:val="0075404D"/>
    <w:rsid w:val="00754C1B"/>
    <w:rsid w:val="0076182A"/>
    <w:rsid w:val="0076670D"/>
    <w:rsid w:val="00767B7E"/>
    <w:rsid w:val="007770C3"/>
    <w:rsid w:val="00784D24"/>
    <w:rsid w:val="00785FBA"/>
    <w:rsid w:val="00786E4A"/>
    <w:rsid w:val="007875EB"/>
    <w:rsid w:val="0079426B"/>
    <w:rsid w:val="007A43AF"/>
    <w:rsid w:val="007A72DE"/>
    <w:rsid w:val="007D2C66"/>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87161"/>
    <w:rsid w:val="0089274D"/>
    <w:rsid w:val="008939CD"/>
    <w:rsid w:val="008A19E0"/>
    <w:rsid w:val="008B768C"/>
    <w:rsid w:val="008B773E"/>
    <w:rsid w:val="008C4DB1"/>
    <w:rsid w:val="008C4EAF"/>
    <w:rsid w:val="008C5176"/>
    <w:rsid w:val="008C7FD0"/>
    <w:rsid w:val="008D105F"/>
    <w:rsid w:val="008E1DE7"/>
    <w:rsid w:val="008E707C"/>
    <w:rsid w:val="008F4458"/>
    <w:rsid w:val="008F7544"/>
    <w:rsid w:val="00900B08"/>
    <w:rsid w:val="00902155"/>
    <w:rsid w:val="00902FA3"/>
    <w:rsid w:val="00920912"/>
    <w:rsid w:val="009216B2"/>
    <w:rsid w:val="00922899"/>
    <w:rsid w:val="00923564"/>
    <w:rsid w:val="0092392E"/>
    <w:rsid w:val="009315F9"/>
    <w:rsid w:val="00943E15"/>
    <w:rsid w:val="00946945"/>
    <w:rsid w:val="00951109"/>
    <w:rsid w:val="00951248"/>
    <w:rsid w:val="009514D4"/>
    <w:rsid w:val="0095152F"/>
    <w:rsid w:val="00954C49"/>
    <w:rsid w:val="0097099F"/>
    <w:rsid w:val="00971997"/>
    <w:rsid w:val="00971FFC"/>
    <w:rsid w:val="0098660A"/>
    <w:rsid w:val="009931C3"/>
    <w:rsid w:val="009A48C2"/>
    <w:rsid w:val="009B1BC8"/>
    <w:rsid w:val="009B2C43"/>
    <w:rsid w:val="009B4605"/>
    <w:rsid w:val="009B4EAE"/>
    <w:rsid w:val="009B7573"/>
    <w:rsid w:val="009C22F4"/>
    <w:rsid w:val="009C2E98"/>
    <w:rsid w:val="009D3447"/>
    <w:rsid w:val="009D4711"/>
    <w:rsid w:val="009F1185"/>
    <w:rsid w:val="009F18CD"/>
    <w:rsid w:val="009F2A13"/>
    <w:rsid w:val="009F2A55"/>
    <w:rsid w:val="00A0499B"/>
    <w:rsid w:val="00A04EB0"/>
    <w:rsid w:val="00A11484"/>
    <w:rsid w:val="00A13CC1"/>
    <w:rsid w:val="00A16847"/>
    <w:rsid w:val="00A237D8"/>
    <w:rsid w:val="00A268C4"/>
    <w:rsid w:val="00A307CD"/>
    <w:rsid w:val="00A40A00"/>
    <w:rsid w:val="00A4142F"/>
    <w:rsid w:val="00A4228D"/>
    <w:rsid w:val="00A56DF2"/>
    <w:rsid w:val="00A6345C"/>
    <w:rsid w:val="00A67AB5"/>
    <w:rsid w:val="00A87258"/>
    <w:rsid w:val="00A91760"/>
    <w:rsid w:val="00A93B00"/>
    <w:rsid w:val="00A93C21"/>
    <w:rsid w:val="00AA4B2D"/>
    <w:rsid w:val="00AB0CE4"/>
    <w:rsid w:val="00AB434E"/>
    <w:rsid w:val="00AB79D7"/>
    <w:rsid w:val="00AC3C6A"/>
    <w:rsid w:val="00AD482B"/>
    <w:rsid w:val="00AD5620"/>
    <w:rsid w:val="00AD5A1E"/>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6676E"/>
    <w:rsid w:val="00B77EA6"/>
    <w:rsid w:val="00B81598"/>
    <w:rsid w:val="00B82C3B"/>
    <w:rsid w:val="00B841F1"/>
    <w:rsid w:val="00B944D6"/>
    <w:rsid w:val="00BB4DF0"/>
    <w:rsid w:val="00BB612C"/>
    <w:rsid w:val="00BC289F"/>
    <w:rsid w:val="00BC5361"/>
    <w:rsid w:val="00BC5460"/>
    <w:rsid w:val="00BC6B50"/>
    <w:rsid w:val="00BD0E25"/>
    <w:rsid w:val="00BD259E"/>
    <w:rsid w:val="00BD3681"/>
    <w:rsid w:val="00BD6775"/>
    <w:rsid w:val="00BF5BD6"/>
    <w:rsid w:val="00C03E31"/>
    <w:rsid w:val="00C33E72"/>
    <w:rsid w:val="00C3445D"/>
    <w:rsid w:val="00C354B2"/>
    <w:rsid w:val="00C35554"/>
    <w:rsid w:val="00C42709"/>
    <w:rsid w:val="00C533CC"/>
    <w:rsid w:val="00C5751C"/>
    <w:rsid w:val="00C61BFC"/>
    <w:rsid w:val="00C62B85"/>
    <w:rsid w:val="00C65438"/>
    <w:rsid w:val="00C70109"/>
    <w:rsid w:val="00C91CBB"/>
    <w:rsid w:val="00CA6DC6"/>
    <w:rsid w:val="00CB6684"/>
    <w:rsid w:val="00CC09B6"/>
    <w:rsid w:val="00CC666F"/>
    <w:rsid w:val="00CD026F"/>
    <w:rsid w:val="00CD1E3F"/>
    <w:rsid w:val="00CD6C39"/>
    <w:rsid w:val="00CE44F6"/>
    <w:rsid w:val="00CE49DA"/>
    <w:rsid w:val="00CE7B61"/>
    <w:rsid w:val="00D00095"/>
    <w:rsid w:val="00D1016D"/>
    <w:rsid w:val="00D20620"/>
    <w:rsid w:val="00D26091"/>
    <w:rsid w:val="00D34E7C"/>
    <w:rsid w:val="00D35489"/>
    <w:rsid w:val="00D36359"/>
    <w:rsid w:val="00D51276"/>
    <w:rsid w:val="00D56132"/>
    <w:rsid w:val="00D61F87"/>
    <w:rsid w:val="00D6249F"/>
    <w:rsid w:val="00D65988"/>
    <w:rsid w:val="00D7035F"/>
    <w:rsid w:val="00D844D7"/>
    <w:rsid w:val="00D935DA"/>
    <w:rsid w:val="00DA3A73"/>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42DE8"/>
    <w:rsid w:val="00E50624"/>
    <w:rsid w:val="00E568DF"/>
    <w:rsid w:val="00E56E47"/>
    <w:rsid w:val="00E64269"/>
    <w:rsid w:val="00E82267"/>
    <w:rsid w:val="00EA010F"/>
    <w:rsid w:val="00EA1DBA"/>
    <w:rsid w:val="00EA638B"/>
    <w:rsid w:val="00EC589E"/>
    <w:rsid w:val="00ED1B63"/>
    <w:rsid w:val="00ED3C1F"/>
    <w:rsid w:val="00ED4085"/>
    <w:rsid w:val="00ED420E"/>
    <w:rsid w:val="00ED4613"/>
    <w:rsid w:val="00ED7024"/>
    <w:rsid w:val="00EE2F57"/>
    <w:rsid w:val="00EE34D4"/>
    <w:rsid w:val="00EE7E76"/>
    <w:rsid w:val="00EF4C34"/>
    <w:rsid w:val="00EF77C6"/>
    <w:rsid w:val="00F0275D"/>
    <w:rsid w:val="00F05438"/>
    <w:rsid w:val="00F1361C"/>
    <w:rsid w:val="00F160C7"/>
    <w:rsid w:val="00F222A1"/>
    <w:rsid w:val="00F32E9D"/>
    <w:rsid w:val="00F36D8F"/>
    <w:rsid w:val="00F417B1"/>
    <w:rsid w:val="00F42685"/>
    <w:rsid w:val="00F602DF"/>
    <w:rsid w:val="00F81FD9"/>
    <w:rsid w:val="00F841AA"/>
    <w:rsid w:val="00FA23E8"/>
    <w:rsid w:val="00FB1744"/>
    <w:rsid w:val="00FC0D7B"/>
    <w:rsid w:val="00FD3CC1"/>
    <w:rsid w:val="00FD4A6A"/>
    <w:rsid w:val="00FD6073"/>
    <w:rsid w:val="00FE45FC"/>
    <w:rsid w:val="00FF1E02"/>
    <w:rsid w:val="00FF30B4"/>
    <w:rsid w:val="10C055FF"/>
    <w:rsid w:val="16BB723D"/>
    <w:rsid w:val="1BF15163"/>
    <w:rsid w:val="1E147BE1"/>
    <w:rsid w:val="240371BF"/>
    <w:rsid w:val="256F312A"/>
    <w:rsid w:val="29FD04D3"/>
    <w:rsid w:val="310163AC"/>
    <w:rsid w:val="319F7F4E"/>
    <w:rsid w:val="39233B37"/>
    <w:rsid w:val="409501C5"/>
    <w:rsid w:val="48384D73"/>
    <w:rsid w:val="53C52CC6"/>
    <w:rsid w:val="5AFC64AD"/>
    <w:rsid w:val="5BA52C06"/>
    <w:rsid w:val="5DB12F7E"/>
    <w:rsid w:val="5EC52399"/>
    <w:rsid w:val="6A1D1304"/>
    <w:rsid w:val="6FCD7A5B"/>
    <w:rsid w:val="76FA7C0E"/>
    <w:rsid w:val="7BD53E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BDDA5-B87F-4C97-AECB-0A0C3A5C560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12210</Words>
  <Characters>1132</Characters>
  <Lines>9</Lines>
  <Paragraphs>26</Paragraphs>
  <TotalTime>8</TotalTime>
  <ScaleCrop>false</ScaleCrop>
  <LinksUpToDate>false</LinksUpToDate>
  <CharactersWithSpaces>13316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2020-09-16T08:09:00Z</dcterms:created>
  <dc:creator>张彬茜</dc:creator>
  <cp:lastModifiedBy>相识是缘</cp:lastModifiedBy>
  <cp:lastPrinted>2020-09-01T03:32:00Z</cp:lastPrinted>
  <dcterms:modified xsi:type="dcterms:W3CDTF">2020-09-17T23:51:01Z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