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bookmarkEnd w:id="0"/>
    <w:p>
      <w:pPr>
        <w:adjustRightInd w:val="0"/>
        <w:snapToGrid w:val="0"/>
        <w:spacing w:line="360" w:lineRule="auto"/>
        <w:jc w:val="center"/>
        <w:outlineLvl w:val="0"/>
        <w:rPr>
          <w:rFonts w:ascii="方正小标宋简体" w:hAnsi="宋体" w:eastAsia="方正小标宋简体"/>
          <w:color w:val="000000" w:themeColor="text1"/>
          <w:sz w:val="56"/>
          <w:szCs w:val="56"/>
          <w14:textFill>
            <w14:solidFill>
              <w14:schemeClr w14:val="tx1"/>
            </w14:solidFill>
          </w14:textFill>
        </w:rPr>
      </w:pPr>
      <w:bookmarkStart w:id="1" w:name="_Toc15396597"/>
      <w:bookmarkStart w:id="2" w:name="_Toc19089858"/>
      <w:bookmarkStart w:id="3" w:name="_Toc15377193"/>
      <w:bookmarkStart w:id="4" w:name="_Toc15378441"/>
      <w:bookmarkStart w:id="5" w:name="_Toc15377425"/>
      <w:bookmarkStart w:id="6" w:name="_Toc15396475"/>
      <w:r>
        <w:rPr>
          <w:rFonts w:ascii="黑体" w:hAnsi="黑体" w:eastAsia="黑体"/>
          <w:color w:val="000000" w:themeColor="text1"/>
          <w:sz w:val="56"/>
          <w:szCs w:val="56"/>
          <w14:textFill>
            <w14:solidFill>
              <w14:schemeClr w14:val="tx1"/>
            </w14:solidFill>
          </w14:textFill>
        </w:rPr>
        <w:t>201</w:t>
      </w:r>
      <w:r>
        <w:rPr>
          <w:rFonts w:hint="eastAsia" w:ascii="黑体" w:hAnsi="黑体" w:eastAsia="黑体"/>
          <w:color w:val="000000" w:themeColor="text1"/>
          <w:sz w:val="56"/>
          <w:szCs w:val="56"/>
          <w14:textFill>
            <w14:solidFill>
              <w14:schemeClr w14:val="tx1"/>
            </w14:solidFill>
          </w14:textFill>
        </w:rPr>
        <w:t>9</w:t>
      </w:r>
      <w:r>
        <w:rPr>
          <w:rFonts w:hint="eastAsia" w:ascii="方正小标宋简体" w:hAnsi="宋体" w:eastAsia="方正小标宋简体"/>
          <w:color w:val="000000" w:themeColor="text1"/>
          <w:sz w:val="56"/>
          <w:szCs w:val="56"/>
          <w14:textFill>
            <w14:solidFill>
              <w14:schemeClr w14:val="tx1"/>
            </w14:solidFill>
          </w14:textFill>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themeColor="text1"/>
          <w:sz w:val="56"/>
          <w:szCs w:val="56"/>
          <w14:textFill>
            <w14:solidFill>
              <w14:schemeClr w14:val="tx1"/>
            </w14:solidFill>
          </w14:textFill>
        </w:rPr>
      </w:pPr>
      <w:bookmarkStart w:id="7" w:name="_Toc19089859"/>
      <w:bookmarkStart w:id="8" w:name="_Toc15378442"/>
      <w:bookmarkStart w:id="9" w:name="_Toc15377426"/>
      <w:bookmarkStart w:id="10" w:name="_Toc15396598"/>
      <w:bookmarkStart w:id="11" w:name="_Toc15396476"/>
      <w:bookmarkStart w:id="12" w:name="_Toc15377194"/>
      <w:r>
        <w:rPr>
          <w:rFonts w:hint="eastAsia" w:ascii="方正小标宋简体" w:hAnsi="宋体" w:eastAsia="方正小标宋简体"/>
          <w:color w:val="000000" w:themeColor="text1"/>
          <w:sz w:val="56"/>
          <w:szCs w:val="56"/>
          <w14:textFill>
            <w14:solidFill>
              <w14:schemeClr w14:val="tx1"/>
            </w14:solidFill>
          </w14:textFill>
        </w:rPr>
        <w:t>四川省</w:t>
      </w:r>
      <w:bookmarkStart w:id="13" w:name="_Toc15306268"/>
      <w:r>
        <w:rPr>
          <w:rFonts w:hint="eastAsia" w:ascii="方正小标宋简体" w:hAnsi="宋体" w:eastAsia="方正小标宋简体"/>
          <w:color w:val="000000" w:themeColor="text1"/>
          <w:sz w:val="56"/>
          <w:szCs w:val="56"/>
          <w:lang w:eastAsia="zh-CN"/>
          <w14:textFill>
            <w14:solidFill>
              <w14:schemeClr w14:val="tx1"/>
            </w14:solidFill>
          </w14:textFill>
        </w:rPr>
        <w:t>广元市</w:t>
      </w:r>
      <w:r>
        <w:rPr>
          <w:rFonts w:hint="eastAsia" w:ascii="方正小标宋简体" w:hAnsi="宋体" w:eastAsia="方正小标宋简体"/>
          <w:color w:val="000000" w:themeColor="text1"/>
          <w:sz w:val="56"/>
          <w:szCs w:val="56"/>
          <w14:textFill>
            <w14:solidFill>
              <w14:schemeClr w14:val="tx1"/>
            </w14:solidFill>
          </w14:textFill>
        </w:rPr>
        <w:t>利州区</w:t>
      </w:r>
      <w:bookmarkEnd w:id="7"/>
      <w:bookmarkStart w:id="14" w:name="_Toc19089860"/>
      <w:r>
        <w:rPr>
          <w:rFonts w:hint="eastAsia" w:ascii="方正小标宋简体" w:hAnsi="宋体" w:eastAsia="方正小标宋简体"/>
          <w:color w:val="000000" w:themeColor="text1"/>
          <w:sz w:val="56"/>
          <w:szCs w:val="56"/>
          <w14:textFill>
            <w14:solidFill>
              <w14:schemeClr w14:val="tx1"/>
            </w14:solidFill>
          </w14:textFill>
        </w:rPr>
        <w:t>下西小学</w:t>
      </w:r>
    </w:p>
    <w:p>
      <w:pPr>
        <w:adjustRightInd w:val="0"/>
        <w:snapToGrid w:val="0"/>
        <w:spacing w:line="360" w:lineRule="auto"/>
        <w:jc w:val="center"/>
        <w:outlineLvl w:val="0"/>
        <w:rPr>
          <w:rFonts w:ascii="方正小标宋简体" w:hAnsi="宋体" w:eastAsia="方正小标宋简体"/>
          <w:color w:val="000000" w:themeColor="text1"/>
          <w:sz w:val="56"/>
          <w:szCs w:val="56"/>
          <w14:textFill>
            <w14:solidFill>
              <w14:schemeClr w14:val="tx1"/>
            </w14:solidFill>
          </w14:textFill>
        </w:rPr>
      </w:pPr>
      <w:r>
        <w:rPr>
          <w:rFonts w:hint="eastAsia" w:ascii="方正小标宋简体" w:hAnsi="宋体" w:eastAsia="方正小标宋简体"/>
          <w:color w:val="000000" w:themeColor="text1"/>
          <w:sz w:val="56"/>
          <w:szCs w:val="56"/>
          <w:lang w:eastAsia="zh-CN"/>
          <w14:textFill>
            <w14:solidFill>
              <w14:schemeClr w14:val="tx1"/>
            </w14:solidFill>
          </w14:textFill>
        </w:rPr>
        <w:t>部门</w:t>
      </w:r>
      <w:r>
        <w:rPr>
          <w:rFonts w:hint="eastAsia" w:ascii="方正小标宋简体" w:hAnsi="宋体" w:eastAsia="方正小标宋简体"/>
          <w:color w:val="000000" w:themeColor="text1"/>
          <w:sz w:val="56"/>
          <w:szCs w:val="56"/>
          <w14:textFill>
            <w14:solidFill>
              <w14:schemeClr w14:val="tx1"/>
            </w14:solidFill>
          </w14:textFill>
        </w:rPr>
        <w:t>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hAnsi="宋体" w:eastAsia="方正小标宋简体"/>
          <w:color w:val="000000" w:themeColor="text1"/>
          <w:sz w:val="36"/>
          <w:szCs w:val="36"/>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录</w:t>
      </w:r>
    </w:p>
    <w:p>
      <w:pPr>
        <w:widowControl/>
        <w:jc w:val="center"/>
        <w:rPr>
          <w:rFonts w:ascii="黑体" w:hAnsi="黑体" w:eastAsia="黑体"/>
          <w:color w:val="000000" w:themeColor="text1"/>
          <w:sz w:val="48"/>
          <w:szCs w:val="48"/>
          <w14:textFill>
            <w14:solidFill>
              <w14:schemeClr w14:val="tx1"/>
            </w14:solidFill>
          </w14:textFill>
        </w:rPr>
      </w:pPr>
    </w:p>
    <w:p>
      <w:pPr>
        <w:pageBreakBefore w:val="0"/>
        <w:widowControl/>
        <w:kinsoku/>
        <w:overflowPunct/>
        <w:topLinePunct w:val="0"/>
        <w:bidi w:val="0"/>
        <w:snapToGrid w:val="0"/>
        <w:spacing w:line="560" w:lineRule="exact"/>
        <w:ind w:right="0"/>
        <w:jc w:val="both"/>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第一部分 部门概况</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一、基本职能及主要工作</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二、机构设置</w:t>
      </w:r>
    </w:p>
    <w:p>
      <w:pPr>
        <w:pageBreakBefore w:val="0"/>
        <w:widowControl/>
        <w:kinsoku/>
        <w:overflowPunct/>
        <w:topLinePunct w:val="0"/>
        <w:bidi w:val="0"/>
        <w:snapToGrid w:val="0"/>
        <w:spacing w:line="560" w:lineRule="exact"/>
        <w:ind w:right="0"/>
        <w:jc w:val="both"/>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第二部分 2019年度部门决算情况说明</w:t>
      </w:r>
    </w:p>
    <w:p>
      <w:pPr>
        <w:pageBreakBefore w:val="0"/>
        <w:widowControl/>
        <w:kinsoku/>
        <w:overflowPunct/>
        <w:topLinePunct w:val="0"/>
        <w:bidi w:val="0"/>
        <w:snapToGrid w:val="0"/>
        <w:spacing w:line="560" w:lineRule="exact"/>
        <w:ind w:left="0" w:right="0" w:firstLine="560" w:firstLineChars="200"/>
        <w:jc w:val="both"/>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一、收入支出决算总体情况说明</w:t>
      </w:r>
    </w:p>
    <w:p>
      <w:pPr>
        <w:pageBreakBefore w:val="0"/>
        <w:widowControl/>
        <w:kinsoku/>
        <w:overflowPunct/>
        <w:topLinePunct w:val="0"/>
        <w:bidi w:val="0"/>
        <w:snapToGrid w:val="0"/>
        <w:spacing w:line="560" w:lineRule="exact"/>
        <w:ind w:left="0" w:right="0" w:firstLine="560" w:firstLineChars="200"/>
        <w:jc w:val="both"/>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二、收入决算情况说明</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三、支出决算情况说明</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四、财政拨款收入支出决算总体情况说明</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五、一般公共预算财政拨款支出决算情况说明</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六、一般公共预算财政拨款基本支出决算情况说明</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七、“三公”经费财政拨款支出决算情况说明</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八、政府性基金预算支出决算情况说明</w:t>
      </w:r>
    </w:p>
    <w:p>
      <w:pPr>
        <w:pageBreakBefore w:val="0"/>
        <w:widowControl/>
        <w:kinsoku/>
        <w:overflowPunct/>
        <w:topLinePunct w:val="0"/>
        <w:bidi w:val="0"/>
        <w:snapToGrid w:val="0"/>
        <w:spacing w:line="560" w:lineRule="exact"/>
        <w:ind w:left="0" w:right="0" w:firstLine="560" w:firstLineChars="200"/>
        <w:jc w:val="both"/>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 国有资本经营预算支出决算情况说明</w:t>
      </w:r>
    </w:p>
    <w:p>
      <w:pPr>
        <w:pageBreakBefore w:val="0"/>
        <w:widowControl/>
        <w:kinsoku/>
        <w:overflowPunct/>
        <w:topLinePunct w:val="0"/>
        <w:bidi w:val="0"/>
        <w:snapToGrid w:val="0"/>
        <w:spacing w:line="560" w:lineRule="exact"/>
        <w:ind w:right="0"/>
        <w:jc w:val="both"/>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第三部分 名词解释</w:t>
      </w:r>
    </w:p>
    <w:p>
      <w:pPr>
        <w:pageBreakBefore w:val="0"/>
        <w:widowControl/>
        <w:kinsoku/>
        <w:overflowPunct/>
        <w:topLinePunct w:val="0"/>
        <w:bidi w:val="0"/>
        <w:snapToGrid w:val="0"/>
        <w:spacing w:line="560" w:lineRule="exact"/>
        <w:ind w:right="0"/>
        <w:jc w:val="both"/>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第四部分 附件</w:t>
      </w:r>
      <w:r>
        <w:rPr>
          <w:rFonts w:hint="eastAsia" w:ascii="黑体" w:hAnsi="黑体" w:eastAsia="黑体"/>
          <w:color w:val="000000" w:themeColor="text1"/>
          <w:sz w:val="28"/>
          <w:szCs w:val="28"/>
          <w14:textFill>
            <w14:solidFill>
              <w14:schemeClr w14:val="tx1"/>
            </w14:solidFill>
          </w14:textFill>
        </w:rPr>
        <w:tab/>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 2019年部门整体支出绩效评价报告</w:t>
      </w:r>
    </w:p>
    <w:p>
      <w:pPr>
        <w:pageBreakBefore w:val="0"/>
        <w:widowControl/>
        <w:kinsoku/>
        <w:overflowPunct/>
        <w:topLinePunct w:val="0"/>
        <w:bidi w:val="0"/>
        <w:snapToGrid w:val="0"/>
        <w:spacing w:line="560" w:lineRule="exact"/>
        <w:ind w:right="0"/>
        <w:jc w:val="both"/>
        <w:textAlignment w:val="auto"/>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第五部分 附表</w:t>
      </w:r>
      <w:r>
        <w:rPr>
          <w:rFonts w:hint="eastAsia" w:ascii="仿宋" w:hAnsi="仿宋" w:eastAsia="仿宋"/>
          <w:color w:val="000000" w:themeColor="text1"/>
          <w:sz w:val="28"/>
          <w:szCs w:val="28"/>
          <w14:textFill>
            <w14:solidFill>
              <w14:schemeClr w14:val="tx1"/>
            </w14:solidFill>
          </w14:textFill>
        </w:rPr>
        <w:tab/>
      </w:r>
    </w:p>
    <w:p>
      <w:pPr>
        <w:pageBreakBefore w:val="0"/>
        <w:widowControl/>
        <w:kinsoku/>
        <w:overflowPunct/>
        <w:topLinePunct w:val="0"/>
        <w:bidi w:val="0"/>
        <w:snapToGrid w:val="0"/>
        <w:spacing w:line="560" w:lineRule="exact"/>
        <w:ind w:right="0"/>
        <w:jc w:val="both"/>
        <w:textAlignment w:val="auto"/>
        <w:rPr>
          <w:rFonts w:hint="eastAsia" w:ascii="仿宋" w:hAnsi="仿宋" w:eastAsia="仿宋"/>
          <w:color w:val="000000" w:themeColor="text1"/>
          <w:sz w:val="28"/>
          <w:szCs w:val="28"/>
          <w14:textFill>
            <w14:solidFill>
              <w14:schemeClr w14:val="tx1"/>
            </w14:solidFill>
          </w14:textFill>
        </w:rPr>
      </w:pPr>
    </w:p>
    <w:p>
      <w:pPr>
        <w:pageBreakBefore w:val="0"/>
        <w:widowControl/>
        <w:kinsoku/>
        <w:overflowPunct/>
        <w:topLinePunct w:val="0"/>
        <w:bidi w:val="0"/>
        <w:snapToGrid w:val="0"/>
        <w:spacing w:line="560" w:lineRule="exact"/>
        <w:ind w:left="0" w:right="0" w:firstLine="560" w:firstLineChars="200"/>
        <w:jc w:val="both"/>
        <w:textAlignment w:val="auto"/>
        <w:rPr>
          <w:rFonts w:ascii="黑体" w:hAnsi="黑体" w:eastAsia="黑体"/>
          <w:color w:val="000000" w:themeColor="text1"/>
          <w:sz w:val="28"/>
          <w:szCs w:val="28"/>
          <w14:textFill>
            <w14:solidFill>
              <w14:schemeClr w14:val="tx1"/>
            </w14:solidFill>
          </w14:textFill>
        </w:rPr>
      </w:pPr>
    </w:p>
    <w:p>
      <w:pPr>
        <w:pStyle w:val="2"/>
        <w:pageBreakBefore w:val="0"/>
        <w:kinsoku/>
        <w:overflowPunct/>
        <w:topLinePunct w:val="0"/>
        <w:bidi w:val="0"/>
        <w:snapToGrid w:val="0"/>
        <w:spacing w:before="0" w:after="0" w:line="560" w:lineRule="exact"/>
        <w:ind w:right="0"/>
        <w:jc w:val="center"/>
        <w:textAlignment w:val="auto"/>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sectPr>
          <w:footerReference r:id="rId4" w:type="first"/>
          <w:headerReference r:id="rId3" w:type="default"/>
          <w:pgSz w:w="11906" w:h="16838"/>
          <w:pgMar w:top="1701" w:right="1474" w:bottom="1701" w:left="1587" w:header="851" w:footer="1304" w:gutter="0"/>
          <w:pgNumType w:start="1"/>
          <w:cols w:space="0" w:num="1"/>
          <w:rtlGutter w:val="0"/>
          <w:docGrid w:type="lines" w:linePitch="312" w:charSpace="0"/>
        </w:sectPr>
      </w:pPr>
      <w:bookmarkStart w:id="15" w:name="_Toc15377196"/>
      <w:bookmarkStart w:id="16" w:name="_Toc19089861"/>
    </w:p>
    <w:p>
      <w:pPr>
        <w:pStyle w:val="2"/>
        <w:pageBreakBefore w:val="0"/>
        <w:kinsoku/>
        <w:overflowPunct/>
        <w:topLinePunct w:val="0"/>
        <w:bidi w:val="0"/>
        <w:snapToGrid w:val="0"/>
        <w:spacing w:before="0" w:after="0" w:line="560" w:lineRule="exact"/>
        <w:ind w:right="0"/>
        <w:jc w:val="center"/>
        <w:textAlignment w:val="auto"/>
        <w:rPr>
          <w:rFonts w:hint="eastAsia" w:ascii="方正小标宋简体" w:hAnsi="方正小标宋简体" w:eastAsia="方正小标宋简体" w:cs="方正小标宋简体"/>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 xml:space="preserve">第一部分 </w:t>
      </w:r>
      <w:r>
        <w:rPr>
          <w:rStyle w:val="28"/>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部门概况</w:t>
      </w:r>
      <w:bookmarkEnd w:id="15"/>
      <w:bookmarkEnd w:id="16"/>
    </w:p>
    <w:p>
      <w:pPr>
        <w:pStyle w:val="3"/>
        <w:pageBreakBefore w:val="0"/>
        <w:kinsoku/>
        <w:overflowPunct/>
        <w:topLinePunct w:val="0"/>
        <w:bidi w:val="0"/>
        <w:snapToGrid w:val="0"/>
        <w:spacing w:before="0" w:after="0" w:line="560" w:lineRule="exact"/>
        <w:ind w:left="0" w:right="0" w:firstLine="560" w:firstLineChars="200"/>
        <w:jc w:val="both"/>
        <w:textAlignment w:val="auto"/>
        <w:rPr>
          <w:rFonts w:hint="eastAsia" w:ascii="黑体" w:hAnsi="黑体" w:eastAsia="黑体"/>
          <w:b w:val="0"/>
          <w:color w:val="000000" w:themeColor="text1"/>
          <w:sz w:val="28"/>
          <w:szCs w:val="28"/>
          <w14:textFill>
            <w14:solidFill>
              <w14:schemeClr w14:val="tx1"/>
            </w14:solidFill>
          </w14:textFill>
        </w:rPr>
      </w:pPr>
      <w:bookmarkStart w:id="17" w:name="_Toc19089862"/>
      <w:bookmarkStart w:id="18" w:name="_Toc15377197"/>
    </w:p>
    <w:p>
      <w:pPr>
        <w:pStyle w:val="3"/>
        <w:pageBreakBefore w:val="0"/>
        <w:kinsoku/>
        <w:overflowPunct/>
        <w:topLinePunct w:val="0"/>
        <w:bidi w:val="0"/>
        <w:snapToGrid w:val="0"/>
        <w:spacing w:before="0" w:after="0" w:line="560" w:lineRule="exact"/>
        <w:ind w:left="0" w:right="0" w:firstLine="560" w:firstLineChars="200"/>
        <w:jc w:val="both"/>
        <w:textAlignment w:val="auto"/>
        <w:rPr>
          <w:rStyle w:val="29"/>
          <w:rFonts w:ascii="仿宋" w:hAnsi="仿宋" w:eastAsia="仿宋"/>
          <w:b w:val="0"/>
          <w:bCs w:val="0"/>
          <w:color w:val="000000" w:themeColor="text1"/>
          <w:sz w:val="28"/>
          <w:szCs w:val="28"/>
          <w14:textFill>
            <w14:solidFill>
              <w14:schemeClr w14:val="tx1"/>
            </w14:solidFill>
          </w14:textFill>
        </w:rPr>
      </w:pPr>
      <w:r>
        <w:rPr>
          <w:rFonts w:hint="eastAsia" w:ascii="黑体" w:hAnsi="黑体" w:eastAsia="黑体"/>
          <w:b w:val="0"/>
          <w:color w:val="000000" w:themeColor="text1"/>
          <w:sz w:val="28"/>
          <w:szCs w:val="28"/>
          <w14:textFill>
            <w14:solidFill>
              <w14:schemeClr w14:val="tx1"/>
            </w14:solidFill>
          </w14:textFill>
        </w:rPr>
        <w:t>一、基</w:t>
      </w:r>
      <w:r>
        <w:rPr>
          <w:rStyle w:val="29"/>
          <w:rFonts w:hint="eastAsia" w:ascii="黑体" w:hAnsi="黑体" w:eastAsia="黑体"/>
          <w:b w:val="0"/>
          <w:bCs w:val="0"/>
          <w:color w:val="000000" w:themeColor="text1"/>
          <w:sz w:val="28"/>
          <w:szCs w:val="28"/>
          <w14:textFill>
            <w14:solidFill>
              <w14:schemeClr w14:val="tx1"/>
            </w14:solidFill>
          </w14:textFill>
        </w:rPr>
        <w:t>本职能及主要工作</w:t>
      </w:r>
      <w:bookmarkEnd w:id="17"/>
      <w:bookmarkEnd w:id="18"/>
    </w:p>
    <w:p>
      <w:pPr>
        <w:pageBreakBefore w:val="0"/>
        <w:kinsoku/>
        <w:overflowPunct/>
        <w:topLinePunct w:val="0"/>
        <w:bidi w:val="0"/>
        <w:snapToGrid w:val="0"/>
        <w:spacing w:line="560" w:lineRule="exact"/>
        <w:ind w:left="0" w:right="0" w:firstLine="560" w:firstLineChars="200"/>
        <w:jc w:val="both"/>
        <w:textAlignment w:val="auto"/>
        <w:rPr>
          <w:rFonts w:hint="eastAsia" w:ascii="楷体" w:hAnsi="楷体" w:eastAsia="楷体" w:cs="楷体"/>
          <w:bCs/>
          <w:color w:val="000000" w:themeColor="text1"/>
          <w:sz w:val="28"/>
          <w:szCs w:val="28"/>
          <w14:textFill>
            <w14:solidFill>
              <w14:schemeClr w14:val="tx1"/>
            </w14:solidFill>
          </w14:textFill>
        </w:rPr>
      </w:pPr>
      <w:bookmarkStart w:id="19" w:name="_Toc15377198"/>
      <w:bookmarkStart w:id="20" w:name="_Toc15378445"/>
      <w:bookmarkStart w:id="21" w:name="_Toc15377204"/>
      <w:r>
        <w:rPr>
          <w:rFonts w:hint="eastAsia" w:ascii="楷体" w:hAnsi="楷体" w:eastAsia="楷体" w:cs="楷体"/>
          <w:bCs/>
          <w:color w:val="000000" w:themeColor="text1"/>
          <w:sz w:val="28"/>
          <w:szCs w:val="28"/>
          <w14:textFill>
            <w14:solidFill>
              <w14:schemeClr w14:val="tx1"/>
            </w14:solidFill>
          </w14:textFill>
        </w:rPr>
        <w:t>（一）主要职能</w:t>
      </w:r>
      <w:bookmarkEnd w:id="19"/>
      <w:bookmarkEnd w:id="20"/>
      <w:bookmarkStart w:id="22" w:name="_Toc15377199"/>
      <w:bookmarkStart w:id="23" w:name="_Toc15378446"/>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贯彻执行党和国家关于教育改革和发展的各项方针、政策，拟订全校教育事业发展规划和有关教育的规范性文件并组织实施；指导协调学校各部门的教育、教学体制改革。</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负责推进义务教育均衡发展和促进教育公平，负责义务教育的宏观指导与协调；指导学校全面实施素质教育；督促检查学校各类学校的办学标准、教学基本要求、教学基本条件的落实情况。</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4.促进基础教育发展，教育学生成长为德学兼备、思想端正的学生，让学生获得基本的基础知识，尽可能培养其自学能力。</w:t>
      </w:r>
    </w:p>
    <w:p>
      <w:pPr>
        <w:pageBreakBefore w:val="0"/>
        <w:kinsoku/>
        <w:overflowPunct/>
        <w:topLinePunct w:val="0"/>
        <w:bidi w:val="0"/>
        <w:snapToGrid w:val="0"/>
        <w:spacing w:line="560" w:lineRule="exact"/>
        <w:ind w:left="0" w:right="0" w:firstLine="560" w:firstLineChars="200"/>
        <w:jc w:val="both"/>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（二）2019年重点工作完成情况</w:t>
      </w:r>
      <w:bookmarkEnd w:id="22"/>
      <w:bookmarkEnd w:id="23"/>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1.教育质量稳中有升，特色学校创建有质的飞跃。</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2.确保校园安全稳定，再创安全文明平安校园。</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建立学生自主管理委员会，促进学生自我管理、合作探究，力促“生本德育”在学校全面实施，并取得阶段性成果；学生评价机制健全完善。</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巩固全国文明卫生城市创建成果，全面深化学校卫生环境，校园文化建设上新台阶。</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完善制度建设，以制度治校。</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抓实安全教学常规工作，力争创新有亮点。</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抓实德育工作，力争各项主题活动实效性强，为“生本德育”全面实施提供支撑。</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认真实施学校发展规划，完善特色学校创建方案，加快特色学校创建工作，深入开展“文明校园”创建活动，巩固活动成果。抓好常态化“新冠病毒”防疫工作，确保师生平安。</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立健全安全管理制度，抓好“三防建设”，和上西派出所建立警校联动机制，不断加强门卫管理，强化签到签离，严防社会闲散人员及可能危害学校安全的可疑人员进入校园。扎实开展综合治理工作，加强校园安全管理，确保重大安全事故的零记录。</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做好校务、财务公开工作。坚持“公开、公平、公正”的工作原则，进一步规范工会代表大会和教职工代表会议制度，深化工会和教职工代表会议的民主监督工作。</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加强班集体建设，做实“文明班级”、“绿色班级”、“温馨班级”评比活动。建设学校网站和校报，加大学校对外宣传工作。</w:t>
      </w:r>
    </w:p>
    <w:p>
      <w:pPr>
        <w:pageBreakBefore w:val="0"/>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坚持开展安全主题教育活动，加强学生的自救、逃生、防自然灾害，防地质灾害等安全知识教育。</w:t>
      </w:r>
    </w:p>
    <w:p>
      <w:pPr>
        <w:pageBreakBefore w:val="0"/>
        <w:kinsoku/>
        <w:overflowPunct/>
        <w:topLinePunct w:val="0"/>
        <w:bidi w:val="0"/>
        <w:snapToGrid w:val="0"/>
        <w:spacing w:line="560" w:lineRule="exact"/>
        <w:ind w:left="0" w:right="0" w:firstLine="536"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15.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w:t>
      </w:r>
    </w:p>
    <w:p>
      <w:pPr>
        <w:pStyle w:val="3"/>
        <w:pageBreakBefore w:val="0"/>
        <w:kinsoku/>
        <w:overflowPunct/>
        <w:topLinePunct w:val="0"/>
        <w:bidi w:val="0"/>
        <w:snapToGrid w:val="0"/>
        <w:spacing w:before="0" w:after="0" w:line="560" w:lineRule="exact"/>
        <w:ind w:left="0" w:right="0" w:firstLine="560" w:firstLineChars="200"/>
        <w:jc w:val="both"/>
        <w:textAlignment w:val="auto"/>
        <w:rPr>
          <w:rStyle w:val="29"/>
          <w:b w:val="0"/>
          <w:bCs w:val="0"/>
          <w:color w:val="000000" w:themeColor="text1"/>
          <w:sz w:val="28"/>
          <w:szCs w:val="28"/>
          <w14:textFill>
            <w14:solidFill>
              <w14:schemeClr w14:val="tx1"/>
            </w14:solidFill>
          </w14:textFill>
        </w:rPr>
      </w:pPr>
      <w:bookmarkStart w:id="24" w:name="_Toc19089863"/>
      <w:bookmarkStart w:id="25" w:name="_Toc15377200"/>
      <w:r>
        <w:rPr>
          <w:rFonts w:hint="eastAsia" w:ascii="黑体" w:eastAsia="黑体"/>
          <w:b w:val="0"/>
          <w:color w:val="000000" w:themeColor="text1"/>
          <w:sz w:val="28"/>
          <w:szCs w:val="28"/>
          <w14:textFill>
            <w14:solidFill>
              <w14:schemeClr w14:val="tx1"/>
            </w14:solidFill>
          </w14:textFill>
        </w:rPr>
        <w:t>二、</w:t>
      </w:r>
      <w:r>
        <w:rPr>
          <w:rFonts w:hint="eastAsia" w:ascii="黑体" w:hAnsi="黑体" w:eastAsia="黑体"/>
          <w:b w:val="0"/>
          <w:color w:val="000000" w:themeColor="text1"/>
          <w:sz w:val="28"/>
          <w:szCs w:val="28"/>
          <w14:textFill>
            <w14:solidFill>
              <w14:schemeClr w14:val="tx1"/>
            </w14:solidFill>
          </w14:textFill>
        </w:rPr>
        <w:t>机</w:t>
      </w:r>
      <w:r>
        <w:rPr>
          <w:rStyle w:val="29"/>
          <w:rFonts w:hint="eastAsia" w:ascii="黑体" w:hAnsi="黑体" w:eastAsia="黑体"/>
          <w:b w:val="0"/>
          <w:bCs w:val="0"/>
          <w:color w:val="000000" w:themeColor="text1"/>
          <w:sz w:val="28"/>
          <w:szCs w:val="28"/>
          <w14:textFill>
            <w14:solidFill>
              <w14:schemeClr w14:val="tx1"/>
            </w14:solidFill>
          </w14:textFill>
        </w:rPr>
        <w:t>构设置</w:t>
      </w:r>
      <w:bookmarkEnd w:id="24"/>
      <w:bookmarkEnd w:id="25"/>
    </w:p>
    <w:p>
      <w:pPr>
        <w:pStyle w:val="5"/>
        <w:pageBreakBefore w:val="0"/>
        <w:kinsoku/>
        <w:overflowPunct/>
        <w:topLinePunct w:val="0"/>
        <w:bidi w:val="0"/>
        <w:adjustRightInd w:val="0"/>
        <w:snapToGrid w:val="0"/>
        <w:spacing w:beforeLines="0" w:line="560" w:lineRule="exact"/>
        <w:ind w:left="0" w:right="0" w:firstLine="560" w:firstLineChars="200"/>
        <w:jc w:val="both"/>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广元市利州区下西小学设置部门7个。</w:t>
      </w:r>
    </w:p>
    <w:p>
      <w:pPr>
        <w:pageBreakBefore w:val="0"/>
        <w:widowControl/>
        <w:kinsoku/>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pStyle w:val="2"/>
        <w:pageBreakBefore w:val="0"/>
        <w:kinsoku/>
        <w:overflowPunct/>
        <w:topLinePunct w:val="0"/>
        <w:bidi w:val="0"/>
        <w:snapToGrid w:val="0"/>
        <w:spacing w:before="0" w:after="0" w:line="560" w:lineRule="exact"/>
        <w:ind w:right="0"/>
        <w:jc w:val="center"/>
        <w:textAlignment w:val="auto"/>
        <w:rPr>
          <w:rStyle w:val="28"/>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26" w:name="_Toc19089864"/>
      <w:r>
        <w:rPr>
          <w:rStyle w:val="28"/>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第二部分 2019年度部门决算情况说明</w:t>
      </w:r>
      <w:bookmarkEnd w:id="21"/>
      <w:bookmarkEnd w:id="26"/>
    </w:p>
    <w:p>
      <w:pPr>
        <w:pStyle w:val="27"/>
        <w:pageBreakBefore w:val="0"/>
        <w:numPr>
          <w:ilvl w:val="0"/>
          <w:numId w:val="0"/>
        </w:numPr>
        <w:kinsoku/>
        <w:overflowPunct/>
        <w:topLinePunct w:val="0"/>
        <w:bidi w:val="0"/>
        <w:snapToGrid w:val="0"/>
        <w:spacing w:line="560" w:lineRule="exact"/>
        <w:ind w:right="0" w:rightChars="0"/>
        <w:jc w:val="both"/>
        <w:textAlignment w:val="auto"/>
        <w:outlineLvl w:val="1"/>
        <w:rPr>
          <w:rStyle w:val="29"/>
          <w:rFonts w:ascii="黑体" w:hAnsi="黑体" w:eastAsia="黑体"/>
          <w:b w:val="0"/>
          <w:color w:val="000000" w:themeColor="text1"/>
          <w:sz w:val="28"/>
          <w:szCs w:val="28"/>
          <w14:textFill>
            <w14:solidFill>
              <w14:schemeClr w14:val="tx1"/>
            </w14:solidFill>
          </w14:textFill>
        </w:rPr>
      </w:pPr>
      <w:bookmarkStart w:id="27" w:name="_Toc19089865"/>
      <w:bookmarkStart w:id="28" w:name="_Toc15377205"/>
    </w:p>
    <w:p>
      <w:pPr>
        <w:pStyle w:val="27"/>
        <w:keepNext w:val="0"/>
        <w:keepLines w:val="0"/>
        <w:pageBreakBefore w:val="0"/>
        <w:widowControl w:val="0"/>
        <w:numPr>
          <w:ilvl w:val="0"/>
          <w:numId w:val="0"/>
        </w:numPr>
        <w:kinsoku/>
        <w:wordWrap/>
        <w:overflowPunct/>
        <w:topLinePunct w:val="0"/>
        <w:bidi w:val="0"/>
        <w:snapToGrid w:val="0"/>
        <w:spacing w:line="560" w:lineRule="exact"/>
        <w:ind w:right="0" w:rightChars="0" w:firstLine="560" w:firstLineChars="200"/>
        <w:jc w:val="both"/>
        <w:textAlignment w:val="auto"/>
        <w:outlineLvl w:val="1"/>
        <w:rPr>
          <w:rStyle w:val="29"/>
          <w:rFonts w:ascii="黑体" w:hAnsi="黑体" w:eastAsia="黑体"/>
          <w:b w:val="0"/>
          <w:color w:val="000000" w:themeColor="text1"/>
          <w:sz w:val="28"/>
          <w:szCs w:val="28"/>
          <w14:textFill>
            <w14:solidFill>
              <w14:schemeClr w14:val="tx1"/>
            </w14:solidFill>
          </w14:textFill>
        </w:rPr>
      </w:pPr>
      <w:r>
        <w:rPr>
          <w:rStyle w:val="29"/>
          <w:rFonts w:hint="eastAsia" w:ascii="黑体" w:hAnsi="黑体" w:eastAsia="黑体"/>
          <w:b w:val="0"/>
          <w:color w:val="000000" w:themeColor="text1"/>
          <w:sz w:val="28"/>
          <w:szCs w:val="28"/>
          <w:lang w:eastAsia="zh-CN"/>
          <w14:textFill>
            <w14:solidFill>
              <w14:schemeClr w14:val="tx1"/>
            </w14:solidFill>
          </w14:textFill>
        </w:rPr>
        <w:t>一、</w:t>
      </w:r>
      <w:r>
        <w:rPr>
          <w:rFonts w:hint="eastAsia" w:ascii="黑体" w:hAnsi="黑体" w:eastAsia="黑体"/>
          <w:color w:val="000000" w:themeColor="text1"/>
          <w:sz w:val="28"/>
          <w:szCs w:val="28"/>
          <w14:textFill>
            <w14:solidFill>
              <w14:schemeClr w14:val="tx1"/>
            </w14:solidFill>
          </w14:textFill>
        </w:rPr>
        <w:t>收</w:t>
      </w:r>
      <w:r>
        <w:rPr>
          <w:rStyle w:val="29"/>
          <w:rFonts w:hint="eastAsia" w:ascii="黑体" w:hAnsi="黑体" w:eastAsia="黑体"/>
          <w:b w:val="0"/>
          <w:color w:val="000000" w:themeColor="text1"/>
          <w:sz w:val="28"/>
          <w:szCs w:val="28"/>
          <w14:textFill>
            <w14:solidFill>
              <w14:schemeClr w14:val="tx1"/>
            </w14:solidFill>
          </w14:textFill>
        </w:rPr>
        <w:t>入支出决算总体情况说明</w:t>
      </w:r>
      <w:bookmarkEnd w:id="27"/>
      <w:bookmarkEnd w:id="28"/>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Theme="minorHAnsi" w:hAnsiTheme="minorHAnsi" w:eastAsiaTheme="minorEastAsia" w:cstheme="minorBidi"/>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2019年度利州区下西小学收入总645.79万元，</w:t>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LINK Excel.Sheet.8 C:\\Users\\Administrator\\Desktop\\各学校决算公开表\\广元市利州区大石初级中学.XLS "Z01 收入支出决算总表(财决公开1表)!R31C3" \a \f 4 \h  \* MERGEFORMAT </w:instrText>
      </w:r>
      <w:r>
        <w:rPr>
          <w:rFonts w:ascii="仿宋" w:hAnsi="仿宋" w:eastAsia="仿宋"/>
          <w:color w:val="000000" w:themeColor="text1"/>
          <w:sz w:val="28"/>
          <w:szCs w:val="28"/>
          <w14:textFill>
            <w14:solidFill>
              <w14:schemeClr w14:val="tx1"/>
            </w14:solidFill>
          </w14:textFill>
        </w:rPr>
        <w:fldChar w:fldCharType="separate"/>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_GB2312"/>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与2018年相比（634.74万元），收入总计增加11.05万元，增幅1.74%。收入主要变动原因项目减少。</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2019年度支出合计624.14万元，与2018年相比（601.14万元），支出增加23万元，增加3.83%。</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Style w:val="29"/>
          <w:rFonts w:ascii="黑体" w:hAnsi="黑体" w:eastAsia="黑体"/>
          <w:b w:val="0"/>
          <w:color w:val="000000" w:themeColor="text1"/>
          <w:sz w:val="28"/>
          <w:szCs w:val="28"/>
          <w14:textFill>
            <w14:solidFill>
              <w14:schemeClr w14:val="tx1"/>
            </w14:solidFill>
          </w14:textFill>
        </w:rPr>
      </w:pPr>
      <w:bookmarkStart w:id="29" w:name="_Toc15377206"/>
      <w:r>
        <w:rPr>
          <w:rFonts w:hint="eastAsia" w:ascii="黑体" w:hAnsi="黑体" w:eastAsia="黑体"/>
          <w:color w:val="000000" w:themeColor="text1"/>
          <w:sz w:val="28"/>
          <w:szCs w:val="28"/>
          <w14:textFill>
            <w14:solidFill>
              <w14:schemeClr w14:val="tx1"/>
            </w14:solidFill>
          </w14:textFill>
        </w:rPr>
        <w:t>二、收</w:t>
      </w:r>
      <w:r>
        <w:rPr>
          <w:rStyle w:val="29"/>
          <w:rFonts w:hint="eastAsia" w:ascii="黑体" w:hAnsi="黑体" w:eastAsia="黑体"/>
          <w:b w:val="0"/>
          <w:color w:val="000000" w:themeColor="text1"/>
          <w:sz w:val="28"/>
          <w:szCs w:val="28"/>
          <w14:textFill>
            <w14:solidFill>
              <w14:schemeClr w14:val="tx1"/>
            </w14:solidFill>
          </w14:textFill>
        </w:rPr>
        <w:t>入决算情况说明</w:t>
      </w:r>
      <w:bookmarkEnd w:id="29"/>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outlineLvl w:val="1"/>
        <w:rPr>
          <w:rFonts w:ascii="仿宋" w:hAnsi="仿宋" w:eastAsia="仿宋"/>
          <w:color w:val="000000" w:themeColor="text1"/>
          <w:sz w:val="28"/>
          <w:szCs w:val="28"/>
          <w14:textFill>
            <w14:solidFill>
              <w14:schemeClr w14:val="tx1"/>
            </w14:solidFill>
          </w14:textFill>
        </w:rPr>
      </w:pPr>
      <w:bookmarkStart w:id="30" w:name="_Toc19089866"/>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9年本年收入合计645.79万元，其中：一般公共预算财政拨款收入645.03万元，占比99.88%；其他收入0.76万元，占比0.12%。</w:t>
      </w:r>
      <w:bookmarkEnd w:id="30"/>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outlineLvl w:val="1"/>
        <w:rPr>
          <w:rStyle w:val="29"/>
          <w:rFonts w:ascii="黑体" w:hAnsi="黑体" w:eastAsia="黑体"/>
          <w:b w:val="0"/>
          <w:color w:val="000000" w:themeColor="text1"/>
          <w:sz w:val="28"/>
          <w:szCs w:val="28"/>
          <w14:textFill>
            <w14:solidFill>
              <w14:schemeClr w14:val="tx1"/>
            </w14:solidFill>
          </w14:textFill>
        </w:rPr>
      </w:pPr>
      <w:bookmarkStart w:id="31" w:name="_Toc15377207"/>
      <w:bookmarkStart w:id="32" w:name="_Toc19089867"/>
      <w:r>
        <w:rPr>
          <w:rFonts w:hint="eastAsia" w:ascii="黑体" w:hAnsi="黑体" w:eastAsia="黑体"/>
          <w:color w:val="000000" w:themeColor="text1"/>
          <w:sz w:val="28"/>
          <w:szCs w:val="28"/>
          <w14:textFill>
            <w14:solidFill>
              <w14:schemeClr w14:val="tx1"/>
            </w14:solidFill>
          </w14:textFill>
        </w:rPr>
        <w:t>三、支</w:t>
      </w:r>
      <w:r>
        <w:rPr>
          <w:rStyle w:val="29"/>
          <w:rFonts w:hint="eastAsia" w:ascii="黑体" w:hAnsi="黑体" w:eastAsia="黑体"/>
          <w:b w:val="0"/>
          <w:color w:val="000000" w:themeColor="text1"/>
          <w:sz w:val="28"/>
          <w:szCs w:val="28"/>
          <w14:textFill>
            <w14:solidFill>
              <w14:schemeClr w14:val="tx1"/>
            </w14:solidFill>
          </w14:textFill>
        </w:rPr>
        <w:t>出决算情况说明</w:t>
      </w:r>
      <w:bookmarkEnd w:id="31"/>
      <w:bookmarkEnd w:id="32"/>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shd w:val="pct10"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9年本年支出合计624.14万元，其中：基本支出574.44万元，占92.04%；项目支出49.70万元，占7.96%；上缴上级支出0.00万元，占0.00</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；经营支出0.00万元，占0.00</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；对附属单位补助支出0.00万元，占0.00</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outlineLvl w:val="1"/>
        <w:rPr>
          <w:rStyle w:val="29"/>
          <w:rFonts w:ascii="黑体" w:hAnsi="黑体" w:eastAsia="黑体"/>
          <w:b w:val="0"/>
          <w:color w:val="000000" w:themeColor="text1"/>
          <w:sz w:val="28"/>
          <w:szCs w:val="28"/>
          <w14:textFill>
            <w14:solidFill>
              <w14:schemeClr w14:val="tx1"/>
            </w14:solidFill>
          </w14:textFill>
        </w:rPr>
      </w:pPr>
      <w:bookmarkStart w:id="33" w:name="_Toc19089868"/>
      <w:bookmarkStart w:id="34" w:name="_Toc15377208"/>
      <w:r>
        <w:rPr>
          <w:rFonts w:hint="eastAsia" w:ascii="黑体" w:hAnsi="黑体" w:eastAsia="黑体"/>
          <w:color w:val="000000" w:themeColor="text1"/>
          <w:sz w:val="28"/>
          <w:szCs w:val="28"/>
          <w14:textFill>
            <w14:solidFill>
              <w14:schemeClr w14:val="tx1"/>
            </w14:solidFill>
          </w14:textFill>
        </w:rPr>
        <w:t>四、财</w:t>
      </w:r>
      <w:r>
        <w:rPr>
          <w:rStyle w:val="29"/>
          <w:rFonts w:hint="eastAsia" w:ascii="黑体" w:hAnsi="黑体" w:eastAsia="黑体"/>
          <w:b w:val="0"/>
          <w:color w:val="000000" w:themeColor="text1"/>
          <w:sz w:val="28"/>
          <w:szCs w:val="28"/>
          <w14:textFill>
            <w14:solidFill>
              <w14:schemeClr w14:val="tx1"/>
            </w14:solidFill>
          </w14:textFill>
        </w:rPr>
        <w:t>政拨款收入支出决算总体情况说明</w:t>
      </w:r>
      <w:bookmarkEnd w:id="33"/>
      <w:bookmarkEnd w:id="34"/>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2019年财政拨款收入总计645.03万元。与2018年相比（634.63万元），财政拨款收入总计增加10.4万元，增幅1.64%。</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2019年财政拨款支出总计623.39万元。与2018年相比（601.03万元），财政拨款支出总计增加22.36万元，增涨3.72%。</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（除国有资本经营预算外，数据来源于财决</w:t>
      </w:r>
      <w:r>
        <w:rPr>
          <w:rFonts w:ascii="仿宋" w:hAnsi="仿宋" w:eastAsia="仿宋"/>
          <w:b w:val="0"/>
          <w:bCs/>
          <w:color w:val="000000" w:themeColor="text1"/>
          <w:sz w:val="28"/>
          <w:szCs w:val="28"/>
          <w14:textFill>
            <w14:solidFill>
              <w14:schemeClr w14:val="tx1"/>
            </w14:solidFill>
          </w14:textFill>
        </w:rPr>
        <w:t>Z01-1</w:t>
      </w:r>
      <w:r>
        <w:rPr>
          <w:rFonts w:hint="eastAsia" w:ascii="仿宋" w:hAnsi="仿宋" w:eastAsia="仿宋"/>
          <w:b w:val="0"/>
          <w:bCs/>
          <w:color w:val="000000" w:themeColor="text1"/>
          <w:sz w:val="28"/>
          <w:szCs w:val="28"/>
          <w14:textFill>
            <w14:solidFill>
              <w14:schemeClr w14:val="tx1"/>
            </w14:solidFill>
          </w14:textFill>
        </w:rPr>
        <w:t>表，口径为“总计”数+国有资本经营预算）</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outlineLvl w:val="1"/>
        <w:rPr>
          <w:rStyle w:val="29"/>
          <w:rFonts w:ascii="黑体" w:hAnsi="黑体" w:eastAsia="黑体"/>
          <w:b w:val="0"/>
          <w:color w:val="000000" w:themeColor="text1"/>
          <w:sz w:val="28"/>
          <w:szCs w:val="28"/>
          <w14:textFill>
            <w14:solidFill>
              <w14:schemeClr w14:val="tx1"/>
            </w14:solidFill>
          </w14:textFill>
        </w:rPr>
      </w:pPr>
      <w:bookmarkStart w:id="35" w:name="_Toc15377209"/>
      <w:bookmarkStart w:id="36" w:name="_Toc19089869"/>
      <w:r>
        <w:rPr>
          <w:rFonts w:hint="eastAsia" w:ascii="黑体" w:hAnsi="黑体" w:eastAsia="黑体"/>
          <w:color w:val="000000" w:themeColor="text1"/>
          <w:sz w:val="28"/>
          <w:szCs w:val="28"/>
          <w14:textFill>
            <w14:solidFill>
              <w14:schemeClr w14:val="tx1"/>
            </w14:solidFill>
          </w14:textFill>
        </w:rPr>
        <w:t>五、</w:t>
      </w:r>
      <w:r>
        <w:rPr>
          <w:rFonts w:hint="eastAsia" w:ascii="黑体" w:hAnsi="黑体" w:eastAsia="黑体"/>
          <w:b/>
          <w:color w:val="000000" w:themeColor="text1"/>
          <w:sz w:val="28"/>
          <w:szCs w:val="28"/>
          <w14:textFill>
            <w14:solidFill>
              <w14:schemeClr w14:val="tx1"/>
            </w14:solidFill>
          </w14:textFill>
        </w:rPr>
        <w:t>一</w:t>
      </w:r>
      <w:r>
        <w:rPr>
          <w:rStyle w:val="29"/>
          <w:rFonts w:hint="eastAsia" w:ascii="黑体" w:hAnsi="黑体" w:eastAsia="黑体"/>
          <w:b w:val="0"/>
          <w:color w:val="000000" w:themeColor="text1"/>
          <w:sz w:val="28"/>
          <w:szCs w:val="28"/>
          <w14:textFill>
            <w14:solidFill>
              <w14:schemeClr w14:val="tx1"/>
            </w14:solidFill>
          </w14:textFill>
        </w:rPr>
        <w:t>般公共预算财政拨款支出决算情况说明</w:t>
      </w:r>
      <w:bookmarkEnd w:id="35"/>
      <w:bookmarkEnd w:id="36"/>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bCs/>
          <w:color w:val="000000" w:themeColor="text1"/>
          <w:sz w:val="28"/>
          <w:szCs w:val="28"/>
          <w14:textFill>
            <w14:solidFill>
              <w14:schemeClr w14:val="tx1"/>
            </w14:solidFill>
          </w14:textFill>
        </w:rPr>
      </w:pPr>
      <w:bookmarkStart w:id="37" w:name="_Toc15377210"/>
      <w:r>
        <w:rPr>
          <w:rFonts w:hint="eastAsia" w:ascii="楷体" w:hAnsi="楷体" w:eastAsia="楷体" w:cs="楷体"/>
          <w:bCs/>
          <w:color w:val="000000" w:themeColor="text1"/>
          <w:sz w:val="28"/>
          <w:szCs w:val="28"/>
          <w14:textFill>
            <w14:solidFill>
              <w14:schemeClr w14:val="tx1"/>
            </w14:solidFill>
          </w14:textFill>
        </w:rPr>
        <w:t>（一）一般公共预算财政拨款支出决算总体情况</w:t>
      </w:r>
      <w:bookmarkEnd w:id="37"/>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9年一般公共预算财政拨款支出623.39万元，占本年支出合计（624.14</w:t>
      </w:r>
      <w:r>
        <w:rPr>
          <w:rFonts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14:textFill>
            <w14:solidFill>
              <w14:schemeClr w14:val="tx1"/>
            </w14:solidFill>
          </w14:textFill>
        </w:rPr>
        <w:t>）的99.87</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。与</w:t>
      </w:r>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8年相比（601.03万元），一般公共预算财政拨款支出增加23.11万元</w:t>
      </w:r>
      <w:r>
        <w:rPr>
          <w:rFonts w:hint="eastAsia" w:ascii="仿宋_GB2312" w:eastAsia="仿宋_GB2312"/>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bCs/>
          <w:color w:val="000000" w:themeColor="text1"/>
          <w:sz w:val="28"/>
          <w:szCs w:val="28"/>
          <w14:textFill>
            <w14:solidFill>
              <w14:schemeClr w14:val="tx1"/>
            </w14:solidFill>
          </w14:textFill>
        </w:rPr>
      </w:pPr>
      <w:bookmarkStart w:id="38" w:name="_Toc15377211"/>
      <w:r>
        <w:rPr>
          <w:rFonts w:hint="eastAsia" w:ascii="楷体" w:hAnsi="楷体" w:eastAsia="楷体" w:cs="楷体"/>
          <w:bCs/>
          <w:color w:val="000000" w:themeColor="text1"/>
          <w:sz w:val="28"/>
          <w:szCs w:val="28"/>
          <w14:textFill>
            <w14:solidFill>
              <w14:schemeClr w14:val="tx1"/>
            </w14:solidFill>
          </w14:textFill>
        </w:rPr>
        <w:t>（二）一般公共预算财政拨款支出决算结构情况</w:t>
      </w:r>
      <w:bookmarkEnd w:id="38"/>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9年一般公共预算财政拨款支出623.39万元，主要用于以下方面</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一般公共服务（类）支出0.00万元，占0.00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；教育支出（类）521.98万元，占83.73%；科学技术（类）支出0.00万元，占0.00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；社会保障和就业（类）支出59.89万元，占9.60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；卫生健康（类）支出21.92万元，占3.52%；住房保障(类)支出19.59万元，占3.15</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；其它支出（类）支出0.00万元，占0.00%。</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b w:val="0"/>
          <w:bCs/>
          <w:color w:val="000000" w:themeColor="text1"/>
          <w:sz w:val="28"/>
          <w:szCs w:val="28"/>
          <w14:textFill>
            <w14:solidFill>
              <w14:schemeClr w14:val="tx1"/>
            </w14:solidFill>
          </w14:textFill>
        </w:rPr>
      </w:pPr>
      <w:bookmarkStart w:id="39" w:name="_Toc15377212"/>
      <w:r>
        <w:rPr>
          <w:rFonts w:hint="eastAsia" w:ascii="楷体" w:hAnsi="楷体" w:eastAsia="楷体" w:cs="楷体"/>
          <w:b w:val="0"/>
          <w:bCs/>
          <w:color w:val="000000" w:themeColor="text1"/>
          <w:sz w:val="28"/>
          <w:szCs w:val="28"/>
          <w14:textFill>
            <w14:solidFill>
              <w14:schemeClr w14:val="tx1"/>
            </w14:solidFill>
          </w14:textFill>
        </w:rPr>
        <w:t>（三）一般公共预算财政拨款支出决算具体情况</w:t>
      </w:r>
      <w:bookmarkEnd w:id="39"/>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outlineLvl w:val="2"/>
        <w:rPr>
          <w:rFonts w:ascii="仿宋" w:hAnsi="仿宋" w:eastAsia="仿宋"/>
          <w:b w:val="0"/>
          <w:bCs/>
          <w:color w:val="000000" w:themeColor="text1"/>
          <w:sz w:val="28"/>
          <w:szCs w:val="28"/>
          <w14:textFill>
            <w14:solidFill>
              <w14:schemeClr w14:val="tx1"/>
            </w14:solidFill>
          </w14:textFill>
        </w:rPr>
      </w:pPr>
      <w:bookmarkStart w:id="40" w:name="_Toc15378460"/>
      <w:bookmarkStart w:id="41" w:name="_Toc15377444"/>
      <w:bookmarkStart w:id="42" w:name="_Toc15377213"/>
      <w:r>
        <w:rPr>
          <w:rFonts w:hint="eastAsia" w:ascii="仿宋" w:hAnsi="仿宋" w:eastAsia="仿宋"/>
          <w:b w:val="0"/>
          <w:bCs/>
          <w:color w:val="000000" w:themeColor="text1"/>
          <w:sz w:val="28"/>
          <w:szCs w:val="28"/>
          <w14:textFill>
            <w14:solidFill>
              <w14:schemeClr w14:val="tx1"/>
            </w14:solidFill>
          </w14:textFill>
        </w:rPr>
        <w:t>2019年一般公共预算支出决算数为623.39万元，</w:t>
      </w:r>
      <w:r>
        <w:rPr>
          <w:rStyle w:val="15"/>
          <w:rFonts w:hint="eastAsia" w:ascii="仿宋" w:hAnsi="仿宋" w:eastAsia="仿宋"/>
          <w:b w:val="0"/>
          <w:bCs/>
          <w:color w:val="000000" w:themeColor="text1"/>
          <w:sz w:val="28"/>
          <w:szCs w:val="28"/>
          <w14:textFill>
            <w14:solidFill>
              <w14:schemeClr w14:val="tx1"/>
            </w14:solidFill>
          </w14:textFill>
        </w:rPr>
        <w:t>完成预算</w:t>
      </w:r>
      <w:r>
        <w:rPr>
          <w:rFonts w:hint="eastAsia" w:ascii="仿宋" w:hAnsi="仿宋" w:eastAsia="仿宋"/>
          <w:b w:val="0"/>
          <w:bCs/>
          <w:color w:val="000000" w:themeColor="text1"/>
          <w:sz w:val="28"/>
          <w:szCs w:val="28"/>
          <w14:textFill>
            <w14:solidFill>
              <w14:schemeClr w14:val="tx1"/>
            </w14:solidFill>
          </w14:textFill>
        </w:rPr>
        <w:t>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。其中：</w:t>
      </w:r>
      <w:bookmarkEnd w:id="40"/>
      <w:bookmarkEnd w:id="41"/>
      <w:bookmarkEnd w:id="42"/>
    </w:p>
    <w:p>
      <w:pPr>
        <w:keepNext w:val="0"/>
        <w:keepLines w:val="0"/>
        <w:pageBreakBefore w:val="0"/>
        <w:widowControl w:val="0"/>
        <w:numPr>
          <w:ilvl w:val="0"/>
          <w:numId w:val="0"/>
        </w:numPr>
        <w:kinsoku/>
        <w:wordWrap/>
        <w:overflowPunct/>
        <w:topLinePunct w:val="0"/>
        <w:bidi w:val="0"/>
        <w:snapToGrid w:val="0"/>
        <w:spacing w:line="560" w:lineRule="exact"/>
        <w:ind w:right="0" w:rightChars="0" w:firstLine="560" w:firstLineChars="200"/>
        <w:jc w:val="both"/>
        <w:textAlignment w:val="auto"/>
        <w:rPr>
          <w:rStyle w:val="15"/>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lang w:val="en-US" w:eastAsia="zh-CN"/>
          <w14:textFill>
            <w14:solidFill>
              <w14:schemeClr w14:val="tx1"/>
            </w14:solidFill>
          </w14:textFill>
        </w:rPr>
        <w:t>1.</w:t>
      </w:r>
      <w:r>
        <w:rPr>
          <w:rStyle w:val="15"/>
          <w:rFonts w:ascii="仿宋" w:hAnsi="仿宋" w:eastAsia="仿宋"/>
          <w:b w:val="0"/>
          <w:bCs/>
          <w:color w:val="000000" w:themeColor="text1"/>
          <w:sz w:val="28"/>
          <w:szCs w:val="28"/>
          <w14:textFill>
            <w14:solidFill>
              <w14:schemeClr w14:val="tx1"/>
            </w14:solidFill>
          </w14:textFill>
        </w:rPr>
        <w:t>教育支出</w:t>
      </w:r>
      <w:r>
        <w:rPr>
          <w:rStyle w:val="15"/>
          <w:rFonts w:hint="eastAsia" w:ascii="仿宋" w:hAnsi="仿宋" w:eastAsia="仿宋"/>
          <w:b w:val="0"/>
          <w:bCs/>
          <w:color w:val="000000" w:themeColor="text1"/>
          <w:sz w:val="28"/>
          <w:szCs w:val="28"/>
          <w14:textFill>
            <w14:solidFill>
              <w14:schemeClr w14:val="tx1"/>
            </w14:solidFill>
          </w14:textFill>
        </w:rPr>
        <w:t>（类）普通教育（款）初中教育（项）</w:t>
      </w:r>
      <w:r>
        <w:rPr>
          <w:rStyle w:val="15"/>
          <w:rFonts w:ascii="仿宋" w:hAnsi="仿宋" w:eastAsia="仿宋"/>
          <w:b w:val="0"/>
          <w:bCs/>
          <w:color w:val="000000" w:themeColor="text1"/>
          <w:sz w:val="28"/>
          <w:szCs w:val="28"/>
          <w14:textFill>
            <w14:solidFill>
              <w14:schemeClr w14:val="tx1"/>
            </w14:solidFill>
          </w14:textFill>
        </w:rPr>
        <w:t xml:space="preserve">: </w:t>
      </w:r>
      <w:r>
        <w:rPr>
          <w:rStyle w:val="15"/>
          <w:rFonts w:hint="eastAsia" w:ascii="仿宋" w:hAnsi="仿宋" w:eastAsia="仿宋"/>
          <w:b w:val="0"/>
          <w:bCs/>
          <w:color w:val="000000" w:themeColor="text1"/>
          <w:sz w:val="28"/>
          <w:szCs w:val="28"/>
          <w14:textFill>
            <w14:solidFill>
              <w14:schemeClr w14:val="tx1"/>
            </w14:solidFill>
          </w14:textFill>
        </w:rPr>
        <w:t>支出决算数为521.98万元，完成预算</w:t>
      </w:r>
      <w:r>
        <w:rPr>
          <w:rFonts w:hint="eastAsia" w:ascii="仿宋" w:hAnsi="仿宋" w:eastAsia="仿宋"/>
          <w:b w:val="0"/>
          <w:bCs/>
          <w:color w:val="000000" w:themeColor="text1"/>
          <w:sz w:val="28"/>
          <w:szCs w:val="28"/>
          <w14:textFill>
            <w14:solidFill>
              <w14:schemeClr w14:val="tx1"/>
            </w14:solidFill>
          </w14:textFill>
        </w:rPr>
        <w:t>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Style w:val="15"/>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2</w:t>
      </w:r>
      <w:r>
        <w:rPr>
          <w:rStyle w:val="15"/>
          <w:rFonts w:ascii="仿宋" w:hAnsi="仿宋" w:eastAsia="仿宋"/>
          <w:b w:val="0"/>
          <w:bCs/>
          <w:color w:val="000000" w:themeColor="text1"/>
          <w:sz w:val="28"/>
          <w:szCs w:val="28"/>
          <w14:textFill>
            <w14:solidFill>
              <w14:schemeClr w14:val="tx1"/>
            </w14:solidFill>
          </w14:textFill>
        </w:rPr>
        <w:t>.教育支出</w:t>
      </w:r>
      <w:r>
        <w:rPr>
          <w:rStyle w:val="15"/>
          <w:rFonts w:hint="eastAsia" w:ascii="仿宋" w:hAnsi="仿宋" w:eastAsia="仿宋"/>
          <w:b w:val="0"/>
          <w:bCs/>
          <w:color w:val="000000" w:themeColor="text1"/>
          <w:sz w:val="28"/>
          <w:szCs w:val="28"/>
          <w14:textFill>
            <w14:solidFill>
              <w14:schemeClr w14:val="tx1"/>
            </w14:solidFill>
          </w14:textFill>
        </w:rPr>
        <w:t>（类）普通教育（款）其它普通教育（项）</w:t>
      </w:r>
      <w:r>
        <w:rPr>
          <w:rStyle w:val="15"/>
          <w:rFonts w:ascii="仿宋" w:hAnsi="仿宋" w:eastAsia="仿宋"/>
          <w:b w:val="0"/>
          <w:bCs/>
          <w:color w:val="000000" w:themeColor="text1"/>
          <w:sz w:val="28"/>
          <w:szCs w:val="28"/>
          <w14:textFill>
            <w14:solidFill>
              <w14:schemeClr w14:val="tx1"/>
            </w14:solidFill>
          </w14:textFill>
        </w:rPr>
        <w:t xml:space="preserve">: </w:t>
      </w:r>
      <w:r>
        <w:rPr>
          <w:rStyle w:val="15"/>
          <w:rFonts w:hint="eastAsia" w:ascii="仿宋" w:hAnsi="仿宋" w:eastAsia="仿宋"/>
          <w:b w:val="0"/>
          <w:bCs/>
          <w:color w:val="000000" w:themeColor="text1"/>
          <w:sz w:val="28"/>
          <w:szCs w:val="28"/>
          <w14:textFill>
            <w14:solidFill>
              <w14:schemeClr w14:val="tx1"/>
            </w14:solidFill>
          </w14:textFill>
        </w:rPr>
        <w:t>支出决算数为</w:t>
      </w:r>
      <w:r>
        <w:rPr>
          <w:rStyle w:val="15"/>
          <w:rFonts w:ascii="仿宋" w:hAnsi="仿宋" w:eastAsia="仿宋"/>
          <w:b w:val="0"/>
          <w:bCs/>
          <w:color w:val="000000" w:themeColor="text1"/>
          <w:sz w:val="28"/>
          <w:szCs w:val="28"/>
          <w14:textFill>
            <w14:solidFill>
              <w14:schemeClr w14:val="tx1"/>
            </w14:solidFill>
          </w14:textFill>
        </w:rPr>
        <w:t>0</w:t>
      </w:r>
      <w:r>
        <w:rPr>
          <w:rStyle w:val="15"/>
          <w:rFonts w:hint="eastAsia" w:ascii="仿宋" w:hAnsi="仿宋" w:eastAsia="仿宋"/>
          <w:b w:val="0"/>
          <w:bCs/>
          <w:color w:val="000000" w:themeColor="text1"/>
          <w:sz w:val="28"/>
          <w:szCs w:val="28"/>
          <w14:textFill>
            <w14:solidFill>
              <w14:schemeClr w14:val="tx1"/>
            </w14:solidFill>
          </w14:textFill>
        </w:rPr>
        <w:t>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。决算数小于预算数的主要原因项目建设资金结转下年使用；</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Style w:val="15"/>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3</w:t>
      </w:r>
      <w:r>
        <w:rPr>
          <w:rStyle w:val="15"/>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社会保障和就业支出</w:t>
      </w:r>
      <w:r>
        <w:rPr>
          <w:rStyle w:val="15"/>
          <w:rFonts w:hint="eastAsia" w:ascii="仿宋" w:hAnsi="仿宋" w:eastAsia="仿宋"/>
          <w:b w:val="0"/>
          <w:bCs/>
          <w:color w:val="000000" w:themeColor="text1"/>
          <w:sz w:val="28"/>
          <w:szCs w:val="28"/>
          <w14:textFill>
            <w14:solidFill>
              <w14:schemeClr w14:val="tx1"/>
            </w14:solidFill>
          </w14:textFill>
        </w:rPr>
        <w:t>（类）行政事业单位离退休（款）机关事业单位基本养老保险缴费支出（项）</w:t>
      </w:r>
      <w:r>
        <w:rPr>
          <w:rStyle w:val="15"/>
          <w:rFonts w:ascii="仿宋" w:hAnsi="仿宋" w:eastAsia="仿宋"/>
          <w:b w:val="0"/>
          <w:bCs/>
          <w:color w:val="000000" w:themeColor="text1"/>
          <w:sz w:val="28"/>
          <w:szCs w:val="28"/>
          <w14:textFill>
            <w14:solidFill>
              <w14:schemeClr w14:val="tx1"/>
            </w14:solidFill>
          </w14:textFill>
        </w:rPr>
        <w:t xml:space="preserve">: </w:t>
      </w:r>
      <w:r>
        <w:rPr>
          <w:rStyle w:val="15"/>
          <w:rFonts w:hint="eastAsia" w:ascii="仿宋" w:hAnsi="仿宋" w:eastAsia="仿宋"/>
          <w:b w:val="0"/>
          <w:bCs/>
          <w:color w:val="000000" w:themeColor="text1"/>
          <w:sz w:val="28"/>
          <w:szCs w:val="28"/>
          <w14:textFill>
            <w14:solidFill>
              <w14:schemeClr w14:val="tx1"/>
            </w14:solidFill>
          </w14:textFill>
        </w:rPr>
        <w:t>支出决算为48.84万元，完成预算100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Style w:val="15"/>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4</w:t>
      </w:r>
      <w:r>
        <w:rPr>
          <w:rStyle w:val="15"/>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社会保障和就业支出</w:t>
      </w:r>
      <w:r>
        <w:rPr>
          <w:rStyle w:val="15"/>
          <w:rFonts w:hint="eastAsia" w:ascii="仿宋" w:hAnsi="仿宋" w:eastAsia="仿宋"/>
          <w:b w:val="0"/>
          <w:bCs/>
          <w:color w:val="000000" w:themeColor="text1"/>
          <w:sz w:val="28"/>
          <w:szCs w:val="28"/>
          <w14:textFill>
            <w14:solidFill>
              <w14:schemeClr w14:val="tx1"/>
            </w14:solidFill>
          </w14:textFill>
        </w:rPr>
        <w:t>（类）其它社会保障和就业支出（款）其它社会保障和就业支出（项）</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支出决算为59.89万元，完成预算100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Style w:val="15"/>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5</w:t>
      </w:r>
      <w:r>
        <w:rPr>
          <w:rStyle w:val="15"/>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 xml:space="preserve"> 医疗卫生与计划生育</w:t>
      </w:r>
      <w:r>
        <w:rPr>
          <w:rStyle w:val="15"/>
          <w:rFonts w:hint="eastAsia" w:ascii="仿宋" w:hAnsi="仿宋" w:eastAsia="仿宋"/>
          <w:b w:val="0"/>
          <w:bCs/>
          <w:color w:val="000000" w:themeColor="text1"/>
          <w:sz w:val="28"/>
          <w:szCs w:val="28"/>
          <w14:textFill>
            <w14:solidFill>
              <w14:schemeClr w14:val="tx1"/>
            </w14:solidFill>
          </w14:textFill>
        </w:rPr>
        <w:t>（类）行政事业单位医疗（款）事业单位医疗（项）</w:t>
      </w:r>
      <w:r>
        <w:rPr>
          <w:rStyle w:val="15"/>
          <w:rFonts w:ascii="仿宋" w:hAnsi="仿宋" w:eastAsia="仿宋"/>
          <w:b w:val="0"/>
          <w:bCs/>
          <w:color w:val="000000" w:themeColor="text1"/>
          <w:sz w:val="28"/>
          <w:szCs w:val="28"/>
          <w14:textFill>
            <w14:solidFill>
              <w14:schemeClr w14:val="tx1"/>
            </w14:solidFill>
          </w14:textFill>
        </w:rPr>
        <w:t xml:space="preserve">: </w:t>
      </w:r>
      <w:r>
        <w:rPr>
          <w:rStyle w:val="15"/>
          <w:rFonts w:hint="eastAsia" w:ascii="仿宋" w:hAnsi="仿宋" w:eastAsia="仿宋"/>
          <w:b w:val="0"/>
          <w:bCs/>
          <w:color w:val="000000" w:themeColor="text1"/>
          <w:sz w:val="28"/>
          <w:szCs w:val="28"/>
          <w14:textFill>
            <w14:solidFill>
              <w14:schemeClr w14:val="tx1"/>
            </w14:solidFill>
          </w14:textFill>
        </w:rPr>
        <w:t>支出决算为21.92万元，完成预算100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6</w:t>
      </w:r>
      <w:r>
        <w:rPr>
          <w:rStyle w:val="15"/>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住房保障支出</w:t>
      </w:r>
      <w:r>
        <w:rPr>
          <w:rStyle w:val="15"/>
          <w:rFonts w:hint="eastAsia" w:ascii="仿宋" w:hAnsi="仿宋" w:eastAsia="仿宋"/>
          <w:b w:val="0"/>
          <w:bCs/>
          <w:color w:val="000000" w:themeColor="text1"/>
          <w:sz w:val="28"/>
          <w:szCs w:val="28"/>
          <w14:textFill>
            <w14:solidFill>
              <w14:schemeClr w14:val="tx1"/>
            </w14:solidFill>
          </w14:textFill>
        </w:rPr>
        <w:t>（类）住房改革支出（款）住房公积金（项）</w:t>
      </w:r>
      <w:r>
        <w:rPr>
          <w:rStyle w:val="15"/>
          <w:rFonts w:ascii="仿宋" w:hAnsi="仿宋" w:eastAsia="仿宋"/>
          <w:b w:val="0"/>
          <w:bCs/>
          <w:color w:val="000000" w:themeColor="text1"/>
          <w:sz w:val="28"/>
          <w:szCs w:val="28"/>
          <w14:textFill>
            <w14:solidFill>
              <w14:schemeClr w14:val="tx1"/>
            </w14:solidFill>
          </w14:textFill>
        </w:rPr>
        <w:t xml:space="preserve">: </w:t>
      </w:r>
      <w:r>
        <w:rPr>
          <w:rStyle w:val="15"/>
          <w:rFonts w:hint="eastAsia" w:ascii="仿宋" w:hAnsi="仿宋" w:eastAsia="仿宋"/>
          <w:b w:val="0"/>
          <w:bCs/>
          <w:color w:val="000000" w:themeColor="text1"/>
          <w:sz w:val="28"/>
          <w:szCs w:val="28"/>
          <w14:textFill>
            <w14:solidFill>
              <w14:schemeClr w14:val="tx1"/>
            </w14:solidFill>
          </w14:textFill>
        </w:rPr>
        <w:t>支出决算为19.59万元，完成预算100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（数据来源财决</w:t>
      </w:r>
      <w:r>
        <w:rPr>
          <w:rFonts w:ascii="仿宋" w:hAnsi="仿宋" w:eastAsia="仿宋"/>
          <w:b w:val="0"/>
          <w:bCs/>
          <w:color w:val="000000" w:themeColor="text1"/>
          <w:sz w:val="28"/>
          <w:szCs w:val="28"/>
          <w14:textFill>
            <w14:solidFill>
              <w14:schemeClr w14:val="tx1"/>
            </w14:solidFill>
          </w14:textFill>
        </w:rPr>
        <w:t>08</w:t>
      </w:r>
      <w:r>
        <w:rPr>
          <w:rFonts w:hint="eastAsia" w:ascii="仿宋" w:hAnsi="仿宋" w:eastAsia="仿宋"/>
          <w:b w:val="0"/>
          <w:bCs/>
          <w:color w:val="000000" w:themeColor="text1"/>
          <w:sz w:val="28"/>
          <w:szCs w:val="28"/>
          <w14:textFill>
            <w14:solidFill>
              <w14:schemeClr w14:val="tx1"/>
            </w14:solidFill>
          </w14:textFill>
        </w:rPr>
        <w:t>表，罗列全部功能分类科目至项级。上述“预算”口径为调整预算数。增减变动原因为决算数</w:t>
      </w:r>
      <w:r>
        <w:rPr>
          <w:rFonts w:ascii="仿宋" w:hAnsi="仿宋" w:eastAsia="仿宋"/>
          <w:b w:val="0"/>
          <w:bCs/>
          <w:color w:val="000000" w:themeColor="text1"/>
          <w:sz w:val="28"/>
          <w:szCs w:val="28"/>
          <w14:textFill>
            <w14:solidFill>
              <w14:schemeClr w14:val="tx1"/>
            </w14:solidFill>
          </w14:textFill>
        </w:rPr>
        <w:t>&lt;</w:t>
      </w:r>
      <w:r>
        <w:rPr>
          <w:rFonts w:hint="eastAsia" w:ascii="仿宋" w:hAnsi="仿宋" w:eastAsia="仿宋"/>
          <w:b w:val="0"/>
          <w:bCs/>
          <w:color w:val="000000" w:themeColor="text1"/>
          <w:sz w:val="28"/>
          <w:szCs w:val="28"/>
          <w14:textFill>
            <w14:solidFill>
              <w14:schemeClr w14:val="tx1"/>
            </w14:solidFill>
          </w14:textFill>
        </w:rPr>
        <w:t>项级</w:t>
      </w:r>
      <w:r>
        <w:rPr>
          <w:rFonts w:ascii="仿宋" w:hAnsi="仿宋" w:eastAsia="仿宋"/>
          <w:b w:val="0"/>
          <w:bCs/>
          <w:color w:val="000000" w:themeColor="text1"/>
          <w:sz w:val="28"/>
          <w:szCs w:val="28"/>
          <w14:textFill>
            <w14:solidFill>
              <w14:schemeClr w14:val="tx1"/>
            </w14:solidFill>
          </w14:textFill>
        </w:rPr>
        <w:t>&gt;</w:t>
      </w:r>
      <w:r>
        <w:rPr>
          <w:rFonts w:hint="eastAsia" w:ascii="仿宋" w:hAnsi="仿宋" w:eastAsia="仿宋"/>
          <w:b w:val="0"/>
          <w:bCs/>
          <w:color w:val="000000" w:themeColor="text1"/>
          <w:sz w:val="28"/>
          <w:szCs w:val="28"/>
          <w14:textFill>
            <w14:solidFill>
              <w14:schemeClr w14:val="tx1"/>
            </w14:solidFill>
          </w14:textFill>
        </w:rPr>
        <w:t>和调整预算数</w:t>
      </w:r>
      <w:r>
        <w:rPr>
          <w:rFonts w:ascii="仿宋" w:hAnsi="仿宋" w:eastAsia="仿宋"/>
          <w:b w:val="0"/>
          <w:bCs/>
          <w:color w:val="000000" w:themeColor="text1"/>
          <w:sz w:val="28"/>
          <w:szCs w:val="28"/>
          <w14:textFill>
            <w14:solidFill>
              <w14:schemeClr w14:val="tx1"/>
            </w14:solidFill>
          </w14:textFill>
        </w:rPr>
        <w:t>&lt;</w:t>
      </w:r>
      <w:r>
        <w:rPr>
          <w:rFonts w:hint="eastAsia" w:ascii="仿宋" w:hAnsi="仿宋" w:eastAsia="仿宋"/>
          <w:b w:val="0"/>
          <w:bCs/>
          <w:color w:val="000000" w:themeColor="text1"/>
          <w:sz w:val="28"/>
          <w:szCs w:val="28"/>
          <w14:textFill>
            <w14:solidFill>
              <w14:schemeClr w14:val="tx1"/>
            </w14:solidFill>
          </w14:textFill>
        </w:rPr>
        <w:t>项级</w:t>
      </w:r>
      <w:r>
        <w:rPr>
          <w:rFonts w:ascii="仿宋" w:hAnsi="仿宋" w:eastAsia="仿宋"/>
          <w:b w:val="0"/>
          <w:bCs/>
          <w:color w:val="000000" w:themeColor="text1"/>
          <w:sz w:val="28"/>
          <w:szCs w:val="28"/>
          <w14:textFill>
            <w14:solidFill>
              <w14:schemeClr w14:val="tx1"/>
            </w14:solidFill>
          </w14:textFill>
        </w:rPr>
        <w:t>&gt;</w:t>
      </w:r>
      <w:r>
        <w:rPr>
          <w:rFonts w:hint="eastAsia" w:ascii="仿宋" w:hAnsi="仿宋" w:eastAsia="仿宋"/>
          <w:b w:val="0"/>
          <w:bCs/>
          <w:color w:val="000000" w:themeColor="text1"/>
          <w:sz w:val="28"/>
          <w:szCs w:val="28"/>
          <w14:textFill>
            <w14:solidFill>
              <w14:schemeClr w14:val="tx1"/>
            </w14:solidFill>
          </w14:textFill>
        </w:rPr>
        <w:t>比较，与预算数持平可以不写原因。）</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Style w:val="29"/>
          <w:color w:val="000000" w:themeColor="text1"/>
          <w:sz w:val="28"/>
          <w:szCs w:val="28"/>
          <w14:textFill>
            <w14:solidFill>
              <w14:schemeClr w14:val="tx1"/>
            </w14:solidFill>
          </w14:textFill>
        </w:rPr>
      </w:pPr>
      <w:bookmarkStart w:id="43" w:name="_Toc15377214"/>
      <w:r>
        <w:rPr>
          <w:rFonts w:hint="eastAsia" w:ascii="黑体" w:eastAsia="黑体"/>
          <w:color w:val="000000" w:themeColor="text1"/>
          <w:sz w:val="28"/>
          <w:szCs w:val="28"/>
          <w14:textFill>
            <w14:solidFill>
              <w14:schemeClr w14:val="tx1"/>
            </w14:solidFill>
          </w14:textFill>
        </w:rPr>
        <w:t>六</w:t>
      </w:r>
      <w:r>
        <w:rPr>
          <w:rFonts w:hint="eastAsia" w:asci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一</w:t>
      </w:r>
      <w:r>
        <w:rPr>
          <w:rStyle w:val="29"/>
          <w:rFonts w:hint="eastAsia" w:ascii="黑体" w:hAnsi="黑体" w:eastAsia="黑体"/>
          <w:b w:val="0"/>
          <w:color w:val="000000" w:themeColor="text1"/>
          <w:sz w:val="28"/>
          <w:szCs w:val="28"/>
          <w14:textFill>
            <w14:solidFill>
              <w14:schemeClr w14:val="tx1"/>
            </w14:solidFill>
          </w14:textFill>
        </w:rPr>
        <w:t>般公共预算财政拨款基本支出决算情况说明</w:t>
      </w:r>
      <w:bookmarkEnd w:id="43"/>
      <w:r>
        <w:rPr>
          <w:rStyle w:val="29"/>
          <w:rFonts w:ascii="黑体" w:hAnsi="黑体" w:eastAsia="黑体"/>
          <w:b w:val="0"/>
          <w:color w:val="000000" w:themeColor="text1"/>
          <w:sz w:val="28"/>
          <w:szCs w:val="28"/>
          <w14:textFill>
            <w14:solidFill>
              <w14:schemeClr w14:val="tx1"/>
            </w14:solidFill>
          </w14:textFill>
        </w:rPr>
        <w:tab/>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9年一般公共预算财政拨款基本支出573.68万元，其中：</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人员经费505.09万元，主要包括：基本工资182.59万元、津贴补贴4.21万元、绩效工资109.14万元、机关事业单位基本养老保险缴费47.93万元、职工基本医疗保险缴费21.92万元、其他社会保障缴费6.52万元、住房公积金19.59万元、其他工资福利支出102.26万元等。</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公用经费37.86万元，主要包括：办公费15.57万元、印刷费</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46万元、水费3.22万元、电费0.23万元、邮电费1.33万元、差旅费0.62万元、因公出国（境）费用0.00万元、维修（护）费2.95万元、培训费0.015万元、专用材料费1.01万元、劳务费3.26万元、委托业务费0万元、工会经费3.74万元、福利费5.36万元、其他资本性支出等。</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（数据来源财决</w:t>
      </w:r>
      <w:r>
        <w:rPr>
          <w:rFonts w:ascii="仿宋" w:hAnsi="仿宋" w:eastAsia="仿宋"/>
          <w:b w:val="0"/>
          <w:bCs/>
          <w:color w:val="000000" w:themeColor="text1"/>
          <w:sz w:val="28"/>
          <w:szCs w:val="28"/>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8表，根据本部门实际支出情况罗列全部经济分类科目。）</w:t>
      </w:r>
    </w:p>
    <w:p>
      <w:pPr>
        <w:keepNext w:val="0"/>
        <w:keepLines w:val="0"/>
        <w:pageBreakBefore w:val="0"/>
        <w:widowControl w:val="0"/>
        <w:numPr>
          <w:ilvl w:val="0"/>
          <w:numId w:val="1"/>
        </w:numPr>
        <w:kinsoku/>
        <w:wordWrap/>
        <w:overflowPunct/>
        <w:topLinePunct w:val="0"/>
        <w:bidi w:val="0"/>
        <w:snapToGrid w:val="0"/>
        <w:spacing w:line="560" w:lineRule="exact"/>
        <w:ind w:left="0" w:right="0" w:firstLine="562" w:firstLineChars="200"/>
        <w:jc w:val="both"/>
        <w:textAlignment w:val="auto"/>
        <w:rPr>
          <w:rStyle w:val="29"/>
          <w:rFonts w:ascii="黑体" w:hAnsi="黑体" w:eastAsia="黑体"/>
          <w:b w:val="0"/>
          <w:color w:val="000000" w:themeColor="text1"/>
          <w:sz w:val="28"/>
          <w:szCs w:val="28"/>
          <w14:textFill>
            <w14:solidFill>
              <w14:schemeClr w14:val="tx1"/>
            </w14:solidFill>
          </w14:textFill>
        </w:rPr>
      </w:pPr>
      <w:bookmarkStart w:id="44" w:name="_Toc15377215"/>
      <w:bookmarkStart w:id="45" w:name="_Toc19089870"/>
      <w:r>
        <w:rPr>
          <w:rStyle w:val="29"/>
          <w:rFonts w:hint="eastAsia" w:ascii="黑体" w:hAnsi="黑体" w:eastAsia="黑体"/>
          <w:color w:val="000000" w:themeColor="text1"/>
          <w:sz w:val="28"/>
          <w:szCs w:val="28"/>
          <w14:textFill>
            <w14:solidFill>
              <w14:schemeClr w14:val="tx1"/>
            </w14:solidFill>
          </w14:textFill>
        </w:rPr>
        <w:t>“</w:t>
      </w:r>
      <w:r>
        <w:rPr>
          <w:rStyle w:val="29"/>
          <w:rFonts w:hint="eastAsia" w:ascii="黑体" w:hAnsi="黑体" w:eastAsia="黑体"/>
          <w:b w:val="0"/>
          <w:color w:val="000000" w:themeColor="text1"/>
          <w:sz w:val="28"/>
          <w:szCs w:val="28"/>
          <w14:textFill>
            <w14:solidFill>
              <w14:schemeClr w14:val="tx1"/>
            </w14:solidFill>
          </w14:textFill>
        </w:rPr>
        <w:t>三公”经费财政拨款支出决算</w:t>
      </w:r>
      <w:bookmarkEnd w:id="44"/>
      <w:bookmarkEnd w:id="45"/>
      <w:bookmarkStart w:id="46" w:name="_Toc15377218"/>
      <w:r>
        <w:rPr>
          <w:rStyle w:val="29"/>
          <w:rFonts w:hint="eastAsia" w:ascii="黑体" w:hAnsi="黑体" w:eastAsia="黑体"/>
          <w:b w:val="0"/>
          <w:color w:val="000000" w:themeColor="text1"/>
          <w:sz w:val="28"/>
          <w:szCs w:val="28"/>
          <w14:textFill>
            <w14:solidFill>
              <w14:schemeClr w14:val="tx1"/>
            </w14:solidFill>
          </w14:textFill>
        </w:rPr>
        <w:t>情况说明</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201</w:t>
      </w:r>
      <w:r>
        <w:rPr>
          <w:rFonts w:hint="eastAsia" w:ascii="仿宋_GB2312" w:eastAsia="仿宋_GB2312"/>
          <w:color w:val="000000" w:themeColor="text1"/>
          <w:sz w:val="28"/>
          <w:szCs w:val="28"/>
          <w14:textFill>
            <w14:solidFill>
              <w14:schemeClr w14:val="tx1"/>
            </w14:solidFill>
          </w14:textFill>
        </w:rPr>
        <w:t>9年“三公”经费财政拨款支出</w:t>
      </w:r>
      <w:r>
        <w:rPr>
          <w:rFonts w:hint="eastAsia" w:ascii="仿宋_GB2312" w:hAnsi="仿宋_GB2312" w:eastAsia="仿宋_GB2312" w:cs="仿宋_GB2312"/>
          <w:color w:val="000000" w:themeColor="text1"/>
          <w:sz w:val="28"/>
          <w:szCs w:val="28"/>
          <w14:textFill>
            <w14:solidFill>
              <w14:schemeClr w14:val="tx1"/>
            </w14:solidFill>
          </w14:textFill>
        </w:rPr>
        <w:t>0</w:t>
      </w:r>
      <w:r>
        <w:rPr>
          <w:rFonts w:hint="eastAsia" w:ascii="仿宋_GB2312" w:eastAsia="仿宋_GB2312"/>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outlineLvl w:val="1"/>
        <w:rPr>
          <w:rStyle w:val="29"/>
          <w:rFonts w:ascii="黑体" w:hAnsi="黑体" w:eastAsia="黑体"/>
          <w:color w:val="000000" w:themeColor="text1"/>
          <w:sz w:val="28"/>
          <w:szCs w:val="28"/>
          <w14:textFill>
            <w14:solidFill>
              <w14:schemeClr w14:val="tx1"/>
            </w14:solidFill>
          </w14:textFill>
        </w:rPr>
      </w:pPr>
      <w:bookmarkStart w:id="47" w:name="_Toc19089871"/>
      <w:r>
        <w:rPr>
          <w:rFonts w:hint="eastAsia" w:ascii="黑体" w:eastAsia="黑体"/>
          <w:color w:val="000000" w:themeColor="text1"/>
          <w:sz w:val="28"/>
          <w:szCs w:val="28"/>
          <w14:textFill>
            <w14:solidFill>
              <w14:schemeClr w14:val="tx1"/>
            </w14:solidFill>
          </w14:textFill>
        </w:rPr>
        <w:t>八、</w:t>
      </w:r>
      <w:r>
        <w:rPr>
          <w:rStyle w:val="29"/>
          <w:rFonts w:hint="eastAsia" w:ascii="黑体" w:hAnsi="黑体" w:eastAsia="黑体"/>
          <w:b w:val="0"/>
          <w:color w:val="000000" w:themeColor="text1"/>
          <w:sz w:val="28"/>
          <w:szCs w:val="28"/>
          <w14:textFill>
            <w14:solidFill>
              <w14:schemeClr w14:val="tx1"/>
            </w14:solidFill>
          </w14:textFill>
        </w:rPr>
        <w:t>政府性基金预算支出决算情况说明</w:t>
      </w:r>
      <w:bookmarkEnd w:id="46"/>
      <w:bookmarkEnd w:id="47"/>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201</w:t>
      </w:r>
      <w:r>
        <w:rPr>
          <w:rFonts w:hint="eastAsia" w:ascii="仿宋_GB2312" w:eastAsia="仿宋_GB2312"/>
          <w:color w:val="000000" w:themeColor="text1"/>
          <w:sz w:val="28"/>
          <w:szCs w:val="28"/>
          <w14:textFill>
            <w14:solidFill>
              <w14:schemeClr w14:val="tx1"/>
            </w14:solidFill>
          </w14:textFill>
        </w:rPr>
        <w:t>9年政府性基金预算拨款支出</w:t>
      </w:r>
      <w:r>
        <w:rPr>
          <w:rFonts w:hint="eastAsia" w:ascii="仿宋_GB2312" w:hAnsi="仿宋_GB2312" w:eastAsia="仿宋_GB2312" w:cs="仿宋_GB2312"/>
          <w:color w:val="000000" w:themeColor="text1"/>
          <w:sz w:val="28"/>
          <w:szCs w:val="28"/>
          <w14:textFill>
            <w14:solidFill>
              <w14:schemeClr w14:val="tx1"/>
            </w14:solidFill>
          </w14:textFill>
        </w:rPr>
        <w:t>0</w:t>
      </w:r>
      <w:r>
        <w:rPr>
          <w:rFonts w:hint="eastAsia" w:ascii="仿宋_GB2312" w:eastAsia="仿宋_GB2312"/>
          <w:color w:val="000000" w:themeColor="text1"/>
          <w:sz w:val="28"/>
          <w:szCs w:val="28"/>
          <w14:textFill>
            <w14:solidFill>
              <w14:schemeClr w14:val="tx1"/>
            </w14:solidFill>
          </w14:textFill>
        </w:rPr>
        <w:t>万元。</w:t>
      </w:r>
    </w:p>
    <w:p>
      <w:pPr>
        <w:keepNext w:val="0"/>
        <w:keepLines w:val="0"/>
        <w:pageBreakBefore w:val="0"/>
        <w:widowControl w:val="0"/>
        <w:numPr>
          <w:ilvl w:val="0"/>
          <w:numId w:val="2"/>
        </w:numPr>
        <w:kinsoku/>
        <w:wordWrap/>
        <w:overflowPunct/>
        <w:topLinePunct w:val="0"/>
        <w:bidi w:val="0"/>
        <w:snapToGrid w:val="0"/>
        <w:spacing w:line="560" w:lineRule="exact"/>
        <w:ind w:left="0" w:right="0" w:firstLine="560" w:firstLineChars="200"/>
        <w:jc w:val="both"/>
        <w:textAlignment w:val="auto"/>
        <w:outlineLvl w:val="1"/>
        <w:rPr>
          <w:rStyle w:val="29"/>
          <w:rFonts w:ascii="黑体" w:hAnsi="黑体" w:eastAsia="黑体"/>
          <w:b w:val="0"/>
          <w:color w:val="000000" w:themeColor="text1"/>
          <w:sz w:val="28"/>
          <w:szCs w:val="28"/>
          <w14:textFill>
            <w14:solidFill>
              <w14:schemeClr w14:val="tx1"/>
            </w14:solidFill>
          </w14:textFill>
        </w:rPr>
      </w:pPr>
      <w:bookmarkStart w:id="48" w:name="_Toc15377219"/>
      <w:bookmarkStart w:id="49" w:name="_Toc19089872"/>
      <w:r>
        <w:rPr>
          <w:rStyle w:val="29"/>
          <w:rFonts w:hint="eastAsia" w:ascii="黑体" w:hAnsi="黑体" w:eastAsia="黑体"/>
          <w:b w:val="0"/>
          <w:color w:val="000000" w:themeColor="text1"/>
          <w:sz w:val="28"/>
          <w:szCs w:val="28"/>
          <w14:textFill>
            <w14:solidFill>
              <w14:schemeClr w14:val="tx1"/>
            </w14:solidFill>
          </w14:textFill>
        </w:rPr>
        <w:t>国有资本经营预算支出决算情况说明</w:t>
      </w:r>
      <w:bookmarkEnd w:id="48"/>
      <w:bookmarkEnd w:id="49"/>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201</w:t>
      </w:r>
      <w:r>
        <w:rPr>
          <w:rFonts w:hint="eastAsia" w:ascii="仿宋_GB2312" w:eastAsia="仿宋_GB2312"/>
          <w:color w:val="000000" w:themeColor="text1"/>
          <w:sz w:val="28"/>
          <w:szCs w:val="28"/>
          <w14:textFill>
            <w14:solidFill>
              <w14:schemeClr w14:val="tx1"/>
            </w14:solidFill>
          </w14:textFill>
        </w:rPr>
        <w:t>9年国有资本经营预算拨款支出0.00万元。</w:t>
      </w:r>
    </w:p>
    <w:p>
      <w:pPr>
        <w:pStyle w:val="27"/>
        <w:keepNext w:val="0"/>
        <w:keepLines w:val="0"/>
        <w:pageBreakBefore w:val="0"/>
        <w:widowControl w:val="0"/>
        <w:numPr>
          <w:ilvl w:val="0"/>
          <w:numId w:val="3"/>
        </w:numPr>
        <w:kinsoku/>
        <w:wordWrap/>
        <w:overflowPunct/>
        <w:topLinePunct w:val="0"/>
        <w:bidi w:val="0"/>
        <w:snapToGrid w:val="0"/>
        <w:spacing w:line="560" w:lineRule="exact"/>
        <w:ind w:left="0" w:right="0" w:firstLine="560" w:firstLineChars="200"/>
        <w:jc w:val="both"/>
        <w:textAlignment w:val="auto"/>
        <w:rPr>
          <w:rStyle w:val="29"/>
          <w:rFonts w:ascii="黑体" w:hAnsi="黑体" w:eastAsia="黑体"/>
          <w:b w:val="0"/>
          <w:color w:val="000000" w:themeColor="text1"/>
          <w:sz w:val="28"/>
          <w:szCs w:val="28"/>
          <w14:textFill>
            <w14:solidFill>
              <w14:schemeClr w14:val="tx1"/>
            </w14:solidFill>
          </w14:textFill>
        </w:rPr>
      </w:pPr>
      <w:bookmarkStart w:id="50" w:name="_Toc19089873"/>
      <w:r>
        <w:rPr>
          <w:rStyle w:val="29"/>
          <w:rFonts w:hint="eastAsia" w:ascii="黑体" w:hAnsi="黑体" w:eastAsia="黑体"/>
          <w:b w:val="0"/>
          <w:color w:val="000000" w:themeColor="text1"/>
          <w:sz w:val="28"/>
          <w:szCs w:val="28"/>
          <w14:textFill>
            <w14:solidFill>
              <w14:schemeClr w14:val="tx1"/>
            </w14:solidFill>
          </w14:textFill>
        </w:rPr>
        <w:t>预算绩效情况说明</w:t>
      </w:r>
      <w:bookmarkEnd w:id="50"/>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outlineLvl w:val="2"/>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lang w:eastAsia="zh-CN"/>
          <w14:textFill>
            <w14:solidFill>
              <w14:schemeClr w14:val="tx1"/>
            </w14:solidFill>
          </w14:textFill>
        </w:rPr>
        <w:t>（一）</w:t>
      </w:r>
      <w:r>
        <w:rPr>
          <w:rFonts w:hint="eastAsia" w:ascii="楷体" w:hAnsi="楷体" w:eastAsia="楷体" w:cs="楷体"/>
          <w:b w:val="0"/>
          <w:bCs/>
          <w:color w:val="000000" w:themeColor="text1"/>
          <w:sz w:val="28"/>
          <w:szCs w:val="28"/>
          <w14:textFill>
            <w14:solidFill>
              <w14:schemeClr w14:val="tx1"/>
            </w14:solidFill>
          </w14:textFill>
        </w:rPr>
        <w:t>预算绩效管理工作开展情况</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部门按要求对2019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华文仿宋" w:hAnsi="华文仿宋" w:eastAsia="华文仿宋"/>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存在的问题：</w:t>
      </w:r>
      <w:r>
        <w:rPr>
          <w:rFonts w:hint="eastAsia" w:ascii="仿宋_GB2312" w:hAnsi="宋体" w:eastAsia="仿宋_GB2312" w:cs="仿宋_GB2312"/>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华文仿宋" w:hAnsi="华文仿宋" w:eastAsia="华文仿宋"/>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下一步改进措施：</w:t>
      </w:r>
      <w:r>
        <w:rPr>
          <w:rStyle w:val="15"/>
          <w:rFonts w:hint="eastAsia" w:ascii="仿宋_GB2312" w:hAnsi="宋体" w:eastAsia="仿宋_GB2312" w:cs="仿宋_GB2312"/>
          <w:color w:val="000000" w:themeColor="text1"/>
          <w:sz w:val="28"/>
          <w:szCs w:val="28"/>
          <w14:textFill>
            <w14:solidFill>
              <w14:schemeClr w14:val="tx1"/>
            </w14:solidFill>
          </w14:textFill>
        </w:rPr>
        <w:t>一是</w:t>
      </w:r>
      <w:r>
        <w:rPr>
          <w:rFonts w:hint="eastAsia" w:ascii="仿宋_GB2312" w:hAnsi="宋体" w:eastAsia="仿宋_GB2312" w:cs="仿宋_GB2312"/>
          <w:color w:val="000000" w:themeColor="text1"/>
          <w:sz w:val="28"/>
          <w:szCs w:val="28"/>
          <w14:textFill>
            <w14:solidFill>
              <w14:schemeClr w14:val="tx1"/>
            </w14:solidFill>
          </w14:textFill>
        </w:rPr>
        <w:t>进一步加强绩效评价管理制度建设；</w:t>
      </w:r>
      <w:r>
        <w:rPr>
          <w:rFonts w:hint="eastAsia" w:ascii="仿宋_GB2312" w:hAnsi="宋体" w:eastAsia="仿宋_GB2312" w:cs="仿宋_GB2312"/>
          <w:b/>
          <w:color w:val="000000" w:themeColor="text1"/>
          <w:sz w:val="28"/>
          <w:szCs w:val="28"/>
          <w14:textFill>
            <w14:solidFill>
              <w14:schemeClr w14:val="tx1"/>
            </w14:solidFill>
          </w14:textFill>
        </w:rPr>
        <w:t>二是</w:t>
      </w:r>
      <w:r>
        <w:rPr>
          <w:rFonts w:hint="eastAsia" w:ascii="仿宋_GB2312" w:hAnsi="宋体" w:eastAsia="仿宋_GB2312" w:cs="仿宋_GB2312"/>
          <w:color w:val="000000" w:themeColor="text1"/>
          <w:sz w:val="28"/>
          <w:szCs w:val="28"/>
          <w14:textFill>
            <w14:solidFill>
              <w14:schemeClr w14:val="tx1"/>
            </w14:solidFill>
          </w14:textFill>
        </w:rPr>
        <w:t>建立有效的绩效管理体系；</w:t>
      </w:r>
      <w:r>
        <w:rPr>
          <w:rStyle w:val="15"/>
          <w:rFonts w:hint="eastAsia" w:ascii="仿宋_GB2312" w:hAnsi="宋体" w:eastAsia="仿宋_GB2312" w:cs="仿宋_GB2312"/>
          <w:color w:val="000000" w:themeColor="text1"/>
          <w:sz w:val="28"/>
          <w:szCs w:val="28"/>
          <w14:textFill>
            <w14:solidFill>
              <w14:schemeClr w14:val="tx1"/>
            </w14:solidFill>
          </w14:textFill>
        </w:rPr>
        <w:t>三是</w:t>
      </w:r>
      <w:r>
        <w:rPr>
          <w:rFonts w:hint="eastAsia" w:ascii="仿宋_GB2312" w:hAnsi="宋体" w:eastAsia="仿宋_GB2312" w:cs="仿宋_GB2312"/>
          <w:color w:val="000000" w:themeColor="text1"/>
          <w:sz w:val="28"/>
          <w:szCs w:val="28"/>
          <w14:textFill>
            <w14:solidFill>
              <w14:schemeClr w14:val="tx1"/>
            </w14:solidFill>
          </w14:textFill>
        </w:rPr>
        <w:t>强化绩效管理数据分析，强化绩效管理数据运用；</w:t>
      </w:r>
      <w:r>
        <w:rPr>
          <w:rFonts w:hint="eastAsia" w:ascii="仿宋_GB2312" w:hAnsi="宋体" w:eastAsia="仿宋_GB2312" w:cs="仿宋_GB2312"/>
          <w:b/>
          <w:color w:val="000000" w:themeColor="text1"/>
          <w:sz w:val="28"/>
          <w:szCs w:val="28"/>
          <w14:textFill>
            <w14:solidFill>
              <w14:schemeClr w14:val="tx1"/>
            </w14:solidFill>
          </w14:textFill>
        </w:rPr>
        <w:t>四是</w:t>
      </w:r>
      <w:r>
        <w:rPr>
          <w:rFonts w:hint="eastAsia" w:ascii="仿宋_GB2312" w:hAnsi="宋体" w:eastAsia="仿宋_GB2312" w:cs="仿宋_GB2312"/>
          <w:color w:val="000000" w:themeColor="text1"/>
          <w:sz w:val="28"/>
          <w:szCs w:val="28"/>
          <w14:textFill>
            <w14:solidFill>
              <w14:schemeClr w14:val="tx1"/>
            </w14:solidFill>
          </w14:textFill>
        </w:rPr>
        <w:t>强化绩效评价专业技能的培训；</w:t>
      </w:r>
      <w:r>
        <w:rPr>
          <w:rFonts w:hint="eastAsia" w:ascii="华文仿宋" w:hAnsi="华文仿宋" w:eastAsia="华文仿宋"/>
          <w:b/>
          <w:color w:val="000000" w:themeColor="text1"/>
          <w:sz w:val="28"/>
          <w:szCs w:val="28"/>
          <w14:textFill>
            <w14:solidFill>
              <w14:schemeClr w14:val="tx1"/>
            </w14:solidFill>
          </w14:textFill>
        </w:rPr>
        <w:t>五是</w:t>
      </w:r>
      <w:r>
        <w:rPr>
          <w:rFonts w:hint="eastAsia" w:ascii="华文仿宋" w:hAnsi="华文仿宋" w:eastAsia="华文仿宋"/>
          <w:color w:val="000000" w:themeColor="text1"/>
          <w:sz w:val="28"/>
          <w:szCs w:val="28"/>
          <w14:textFill>
            <w14:solidFill>
              <w14:schemeClr w14:val="tx1"/>
            </w14:solidFill>
          </w14:textFill>
        </w:rPr>
        <w:t>探索与预算编制相结合的财政绩效管理，奖绩效评价逐步从事后评价延伸至事前、事中评价。</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outlineLvl w:val="2"/>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（二）部门开展绩效评价结果</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本部门按要求对2019年部门整体支出绩效评价情况开展自评，本部门自行组织对本校建档立卡贫困学生特别资助项目开展了绩效评价。</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outlineLvl w:val="1"/>
        <w:rPr>
          <w:rStyle w:val="29"/>
          <w:rFonts w:ascii="黑体" w:hAnsi="黑体" w:eastAsia="黑体"/>
          <w:color w:val="000000" w:themeColor="text1"/>
          <w:sz w:val="28"/>
          <w:szCs w:val="28"/>
          <w14:textFill>
            <w14:solidFill>
              <w14:schemeClr w14:val="tx1"/>
            </w14:solidFill>
          </w14:textFill>
        </w:rPr>
      </w:pPr>
      <w:bookmarkStart w:id="51" w:name="_Toc19089874"/>
      <w:bookmarkStart w:id="52" w:name="_Toc15377221"/>
      <w:r>
        <w:rPr>
          <w:rFonts w:hint="eastAsia" w:ascii="黑体" w:hAnsi="黑体" w:eastAsia="黑体"/>
          <w:color w:val="000000" w:themeColor="text1"/>
          <w:sz w:val="28"/>
          <w:szCs w:val="28"/>
          <w14:textFill>
            <w14:solidFill>
              <w14:schemeClr w14:val="tx1"/>
            </w14:solidFill>
          </w14:textFill>
        </w:rPr>
        <w:t>十</w:t>
      </w:r>
      <w:r>
        <w:rPr>
          <w:rStyle w:val="29"/>
          <w:rFonts w:hint="eastAsia" w:ascii="黑体" w:hAnsi="黑体" w:eastAsia="黑体"/>
          <w:color w:val="000000" w:themeColor="text1"/>
          <w:sz w:val="28"/>
          <w:szCs w:val="28"/>
          <w14:textFill>
            <w14:solidFill>
              <w14:schemeClr w14:val="tx1"/>
            </w14:solidFill>
          </w14:textFill>
        </w:rPr>
        <w:t>一、</w:t>
      </w:r>
      <w:r>
        <w:rPr>
          <w:rStyle w:val="29"/>
          <w:rFonts w:hint="eastAsia" w:ascii="黑体" w:hAnsi="黑体" w:eastAsia="黑体"/>
          <w:b w:val="0"/>
          <w:color w:val="000000" w:themeColor="text1"/>
          <w:sz w:val="28"/>
          <w:szCs w:val="28"/>
          <w14:textFill>
            <w14:solidFill>
              <w14:schemeClr w14:val="tx1"/>
            </w14:solidFill>
          </w14:textFill>
        </w:rPr>
        <w:t>其他重要事项的情况说明</w:t>
      </w:r>
      <w:bookmarkEnd w:id="51"/>
      <w:bookmarkEnd w:id="52"/>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53" w:name="_Toc15377223"/>
      <w:r>
        <w:rPr>
          <w:rFonts w:hint="eastAsia" w:ascii="楷体" w:hAnsi="楷体" w:eastAsia="楷体" w:cs="楷体"/>
          <w:b w:val="0"/>
          <w:bCs/>
          <w:color w:val="000000" w:themeColor="text1"/>
          <w:sz w:val="28"/>
          <w:szCs w:val="28"/>
          <w14:textFill>
            <w14:solidFill>
              <w14:schemeClr w14:val="tx1"/>
            </w14:solidFill>
          </w14:textFill>
        </w:rPr>
        <w:t>（一）政府采购支出情况</w:t>
      </w:r>
      <w:bookmarkEnd w:id="53"/>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201</w:t>
      </w:r>
      <w:r>
        <w:rPr>
          <w:rFonts w:hint="eastAsia" w:ascii="仿宋_GB2312" w:eastAsia="仿宋_GB2312"/>
          <w:color w:val="000000" w:themeColor="text1"/>
          <w:sz w:val="28"/>
          <w:szCs w:val="28"/>
          <w14:textFill>
            <w14:solidFill>
              <w14:schemeClr w14:val="tx1"/>
            </w14:solidFill>
          </w14:textFill>
        </w:rPr>
        <w:t>9年，利州区教育局政府采购支出总额0.00万元，其中：政府采购货物支出0.00万元、政府采购工程支出0.00万元、政府采购服务支出0.00万元。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2" w:firstLineChars="200"/>
        <w:jc w:val="both"/>
        <w:textAlignment w:val="auto"/>
        <w:outlineLvl w:val="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（数据来源财决</w:t>
      </w:r>
      <w:r>
        <w:rPr>
          <w:rFonts w:ascii="仿宋" w:hAnsi="仿宋" w:eastAsia="仿宋"/>
          <w:b/>
          <w:color w:val="000000" w:themeColor="text1"/>
          <w:sz w:val="28"/>
          <w:szCs w:val="28"/>
          <w14:textFill>
            <w14:solidFill>
              <w14:schemeClr w14:val="tx1"/>
            </w14:solidFill>
          </w14:textFill>
        </w:rPr>
        <w:t>CS06</w:t>
      </w:r>
      <w:r>
        <w:rPr>
          <w:rFonts w:hint="eastAsia" w:ascii="仿宋" w:hAnsi="仿宋" w:eastAsia="仿宋"/>
          <w:b/>
          <w:color w:val="000000" w:themeColor="text1"/>
          <w:sz w:val="28"/>
          <w:szCs w:val="28"/>
          <w14:textFill>
            <w14:solidFill>
              <w14:schemeClr w14:val="tx1"/>
            </w14:solidFill>
          </w14:textFill>
        </w:rPr>
        <w:t>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54" w:name="_Toc15377224"/>
      <w:r>
        <w:rPr>
          <w:rFonts w:hint="eastAsia" w:ascii="楷体" w:hAnsi="楷体" w:eastAsia="楷体" w:cs="楷体"/>
          <w:b w:val="0"/>
          <w:bCs/>
          <w:color w:val="000000" w:themeColor="text1"/>
          <w:sz w:val="28"/>
          <w:szCs w:val="28"/>
          <w14:textFill>
            <w14:solidFill>
              <w14:schemeClr w14:val="tx1"/>
            </w14:solidFill>
          </w14:textFill>
        </w:rPr>
        <w:t>（二）国有资产占有使用情况</w:t>
      </w:r>
      <w:bookmarkEnd w:id="54"/>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截至</w:t>
      </w:r>
      <w:r>
        <w:rPr>
          <w:rFonts w:ascii="仿宋_GB2312" w:eastAsia="仿宋_GB2312"/>
          <w:color w:val="000000" w:themeColor="text1"/>
          <w:sz w:val="28"/>
          <w:szCs w:val="28"/>
          <w14:textFill>
            <w14:solidFill>
              <w14:schemeClr w14:val="tx1"/>
            </w14:solidFill>
          </w14:textFill>
        </w:rPr>
        <w:t>201</w:t>
      </w:r>
      <w:r>
        <w:rPr>
          <w:rFonts w:hint="eastAsia" w:ascii="仿宋_GB2312" w:eastAsia="仿宋_GB2312"/>
          <w:color w:val="000000" w:themeColor="text1"/>
          <w:sz w:val="28"/>
          <w:szCs w:val="28"/>
          <w14:textFill>
            <w14:solidFill>
              <w14:schemeClr w14:val="tx1"/>
            </w14:solidFill>
          </w14:textFill>
        </w:rPr>
        <w:t>9年</w:t>
      </w:r>
      <w:r>
        <w:rPr>
          <w:rFonts w:ascii="仿宋_GB2312" w:eastAsia="仿宋_GB2312"/>
          <w:color w:val="000000" w:themeColor="text1"/>
          <w:sz w:val="28"/>
          <w:szCs w:val="28"/>
          <w14:textFill>
            <w14:solidFill>
              <w14:schemeClr w14:val="tx1"/>
            </w14:solidFill>
          </w14:textFill>
        </w:rPr>
        <w:t>12</w:t>
      </w:r>
      <w:r>
        <w:rPr>
          <w:rFonts w:hint="eastAsia" w:ascii="仿宋_GB2312" w:eastAsia="仿宋_GB2312"/>
          <w:color w:val="000000" w:themeColor="text1"/>
          <w:sz w:val="28"/>
          <w:szCs w:val="28"/>
          <w14:textFill>
            <w14:solidFill>
              <w14:schemeClr w14:val="tx1"/>
            </w14:solidFill>
          </w14:textFill>
        </w:rPr>
        <w:t>月</w:t>
      </w:r>
      <w:r>
        <w:rPr>
          <w:rFonts w:ascii="仿宋_GB2312" w:eastAsia="仿宋_GB2312"/>
          <w:color w:val="000000" w:themeColor="text1"/>
          <w:sz w:val="28"/>
          <w:szCs w:val="28"/>
          <w14:textFill>
            <w14:solidFill>
              <w14:schemeClr w14:val="tx1"/>
            </w14:solidFill>
          </w14:textFill>
        </w:rPr>
        <w:t>31</w:t>
      </w:r>
      <w:r>
        <w:rPr>
          <w:rFonts w:hint="eastAsia" w:ascii="仿宋_GB2312" w:eastAsia="仿宋_GB2312"/>
          <w:color w:val="000000" w:themeColor="text1"/>
          <w:sz w:val="28"/>
          <w:szCs w:val="28"/>
          <w14:textFill>
            <w14:solidFill>
              <w14:schemeClr w14:val="tx1"/>
            </w14:solidFill>
          </w14:textFill>
        </w:rPr>
        <w:t>日，利州区教育局共有车辆0辆，单价</w:t>
      </w:r>
      <w:r>
        <w:rPr>
          <w:rFonts w:ascii="仿宋_GB2312" w:eastAsia="仿宋_GB2312"/>
          <w:color w:val="000000" w:themeColor="text1"/>
          <w:sz w:val="28"/>
          <w:szCs w:val="28"/>
          <w14:textFill>
            <w14:solidFill>
              <w14:schemeClr w14:val="tx1"/>
            </w14:solidFill>
          </w14:textFill>
        </w:rPr>
        <w:t>50</w:t>
      </w:r>
      <w:r>
        <w:rPr>
          <w:rFonts w:hint="eastAsia" w:ascii="仿宋_GB2312" w:eastAsia="仿宋_GB2312"/>
          <w:color w:val="000000" w:themeColor="text1"/>
          <w:sz w:val="28"/>
          <w:szCs w:val="28"/>
          <w14:textFill>
            <w14:solidFill>
              <w14:schemeClr w14:val="tx1"/>
            </w14:solidFill>
          </w14:textFill>
        </w:rPr>
        <w:t>万元以上通用设备0台（套），单价</w:t>
      </w:r>
      <w:r>
        <w:rPr>
          <w:rFonts w:ascii="仿宋_GB2312" w:eastAsia="仿宋_GB2312"/>
          <w:color w:val="000000" w:themeColor="text1"/>
          <w:sz w:val="28"/>
          <w:szCs w:val="28"/>
          <w14:textFill>
            <w14:solidFill>
              <w14:schemeClr w14:val="tx1"/>
            </w14:solidFill>
          </w14:textFill>
        </w:rPr>
        <w:t>100</w:t>
      </w:r>
      <w:r>
        <w:rPr>
          <w:rFonts w:hint="eastAsia" w:ascii="仿宋_GB2312" w:eastAsia="仿宋_GB2312"/>
          <w:color w:val="000000" w:themeColor="text1"/>
          <w:sz w:val="28"/>
          <w:szCs w:val="28"/>
          <w14:textFill>
            <w14:solidFill>
              <w14:schemeClr w14:val="tx1"/>
            </w14:solidFill>
          </w14:textFill>
        </w:rPr>
        <w:t>万元以上专用设备0台（套）。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pageBreakBefore w:val="0"/>
        <w:widowControl/>
        <w:kinsoku/>
        <w:overflowPunct/>
        <w:topLinePunct w:val="0"/>
        <w:bidi w:val="0"/>
        <w:snapToGrid w:val="0"/>
        <w:spacing w:line="560" w:lineRule="exact"/>
        <w:ind w:left="0" w:right="0" w:firstLine="562" w:firstLineChars="200"/>
        <w:jc w:val="both"/>
        <w:textAlignment w:val="auto"/>
        <w:rPr>
          <w:rFonts w:ascii="仿宋" w:hAnsi="仿宋" w:eastAsia="仿宋"/>
          <w:b/>
          <w:color w:val="000000" w:themeColor="text1"/>
          <w:sz w:val="28"/>
          <w:szCs w:val="28"/>
          <w14:textFill>
            <w14:solidFill>
              <w14:schemeClr w14:val="tx1"/>
            </w14:solidFill>
          </w14:textFill>
        </w:rPr>
      </w:pPr>
    </w:p>
    <w:p>
      <w:pPr>
        <w:pageBreakBefore w:val="0"/>
        <w:widowControl w:val="0"/>
        <w:kinsoku/>
        <w:wordWrap/>
        <w:overflowPunct/>
        <w:topLinePunct w:val="0"/>
        <w:autoSpaceDE w:val="0"/>
        <w:autoSpaceDN w:val="0"/>
        <w:bidi w:val="0"/>
        <w:adjustRightInd w:val="0"/>
        <w:snapToGrid w:val="0"/>
        <w:spacing w:line="560" w:lineRule="exact"/>
        <w:ind w:left="0" w:right="0" w:firstLine="562" w:firstLineChars="200"/>
        <w:jc w:val="both"/>
        <w:textAlignment w:val="auto"/>
        <w:outlineLvl w:val="2"/>
        <w:rPr>
          <w:rFonts w:ascii="仿宋" w:hAnsi="仿宋" w:eastAsia="仿宋"/>
          <w:b/>
          <w:color w:val="000000" w:themeColor="text1"/>
          <w:sz w:val="28"/>
          <w:szCs w:val="28"/>
          <w14:textFill>
            <w14:solidFill>
              <w14:schemeClr w14:val="tx1"/>
            </w14:solidFill>
          </w14:textFill>
        </w:rPr>
      </w:pPr>
    </w:p>
    <w:p>
      <w:pPr>
        <w:pStyle w:val="2"/>
        <w:pageBreakBefore w:val="0"/>
        <w:kinsoku/>
        <w:overflowPunct/>
        <w:topLinePunct w:val="0"/>
        <w:bidi w:val="0"/>
        <w:snapToGrid w:val="0"/>
        <w:spacing w:before="0" w:after="0" w:line="560" w:lineRule="exact"/>
        <w:ind w:right="0"/>
        <w:jc w:val="center"/>
        <w:textAlignment w:val="auto"/>
        <w:rPr>
          <w:rStyle w:val="28"/>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bookmarkStart w:id="55" w:name="_Toc15377225"/>
      <w:bookmarkStart w:id="56" w:name="_Toc19089875"/>
    </w:p>
    <w:p>
      <w:pPr>
        <w:pStyle w:val="2"/>
        <w:pageBreakBefore w:val="0"/>
        <w:kinsoku/>
        <w:overflowPunct/>
        <w:topLinePunct w:val="0"/>
        <w:bidi w:val="0"/>
        <w:snapToGrid w:val="0"/>
        <w:spacing w:before="0" w:after="0" w:line="560" w:lineRule="exact"/>
        <w:ind w:right="0"/>
        <w:jc w:val="center"/>
        <w:textAlignment w:val="auto"/>
        <w:rPr>
          <w:rStyle w:val="28"/>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28"/>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第三部分</w:t>
      </w:r>
      <w:r>
        <w:rPr>
          <w:rStyle w:val="28"/>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  </w:t>
      </w:r>
      <w:r>
        <w:rPr>
          <w:rStyle w:val="28"/>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名词解释</w:t>
      </w:r>
      <w:bookmarkEnd w:id="55"/>
      <w:bookmarkEnd w:id="56"/>
    </w:p>
    <w:p>
      <w:pPr>
        <w:pStyle w:val="26"/>
        <w:pageBreakBefore w:val="0"/>
        <w:kinsoku/>
        <w:overflowPunct/>
        <w:topLinePunct w:val="0"/>
        <w:bidi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1.财政拨款收入：指单位从同级财政部门取得的财政预算资金。</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2.事业收入：指事业单位开展专业业务活动及辅助活动取得的收入。</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3.经营收入：指事业单位在专业业务活动及其辅助活动之外开展非独立核算经营活动取得的收入。。</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4.其他收入：指单位取得的除上述收入以外的各项收入。主要是学前教育保育教育费收入、银行存款利息收入等。 </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6.年初结转和结余：指以前年度尚未完成、结转到本年按有关规定继续使用的资金。 </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7.结余分配：指事业单位按照事业单位会计制度的规定从非财政补助结余中分配的事业基金和职工福利基金等。</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8.年末结转和结余：指单位按有关规定结转到下年或以后年度继续使用的资金。</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9.教育支出（类）教育管理事务（款）行政运行（项）:反映教育行政单位（包括实行公务员管理的事业单位）的基本支出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10.教育支出（类）教育管理事务（款）一般行政管理事务（项）:反映行政单位（包括实行公务员管理的事业单位）未单独设置项级科目的其它项目支出。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11.教育支出（类）教育管理事务（款）其它教育管理事务支出（项）:反映除上述项目以外其它用户教育管理事务方面的支出。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12.教育支出（类）普通教育（款）学前教育（项）:反映各部门举办的学前教育支出。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13.教育支出（类）普通教育（款）小学教育（项）:反映各部门举办的小学教育支出。政府各部门对社会中介组织等举办的小学的资助，如各类捐赠、补贴等，也在本科目中反映。</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14.教育支出（类）普通教育（款）初中教育（项）: 反映各部门举办的初中教育支出。政府各部门对社会中介组织等举办的初中教育的资助，如捐赠、补贴等，也在本科目中反映。</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15.教育支出（类）普通教育（款）高中教育（项）: 反映各部门举办的高级中学教育支出。政府各部门对社会中介组织等举办的高级中学的资助，如捐赠、补贴等，也在本科目中反映。</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16.教育支出（类）普通教育（款）其它普通教育（项）: 反映除上述项目以外其他用于普通教育方面的支出。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17.教育支出（类）职业教育（款）职业高中教育（项）: 反映各部门举办的职业中学、农业中学（含普通高中改制的）、半工（农）半读中学的支出或补助费</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18.教育支出（类）职业教育（款）高等职业教育（项）:反映经国家批准设立的高等职业大学、专科职业教育等方面的支出。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19.教育支出（类）特殊教育（款）特殊学校教育（项）: 指各部门举办的盲童学校、聋哑学校、智力落后儿童学校、其它生理缺陷儿童学校的支出。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20.教育支出（类）特殊教育（款）工读学校教育（项）:指各部门举办的工读学校的支出。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21.教育支出（类）教育附加费安排的支出（款）农村中小学校舍建设（项）:反映教育附加费安排用于农村中小学校舍新建、改建、修缮和维护的支出。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22.教育支出（类）教育附加费安排的支出（款）城市中小学校舍建设（项）</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反映教育附加费安排用于城市中小学校舍新建、改建、修缮和维护的支出。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23.教育支出（类）教育附加费安排的支出（款）其它教育附加费安排的支出（项）: 指除上述项目以外的教育附加费支出。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24.教育支出（类）其它教育支出（款）其他教育支出（项）: 指上述项目以外其他用于教育方面的支出。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25.社会保障和就业支出（类）行政事业单位离退休（款）机关事业单位基本养老保险缴费支出（项）: 指机关事业单位实施养老保险制度由单位缴纳的基本养老保险费支出。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26.社会保障和就业支出（类）行政事业单位离退休（款）机关事业单位职业年金缴费支出（项）: 指机关事业单位实施养老保险制度由单位实际缴纳的职业年金支出。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27.社会保障和就业支出（类）抚恤（款）死亡抚恤（项）: 指按规定用于烈士和牺牲、病故人员家属的一次性和定期抚恤金以及丧葬补助费。</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28.医疗卫生与计划生育（类）行政事业单位医疗（款）行政单位医疗（项）: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29.医疗卫生与计划生育（类）行政事业单位医疗（款）事业单位医疗（项）: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30.农林水支出（类）扶贫（款）其它扶贫支出（项）: 指除上述项目以外其他用于扶贫方面的支出。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31.住房保障支出（类）住房改革支出（款）住房公积金（项）: 指行政事业单位按人力资源和社会保障部、财政部规定的基本工资和津贴补贴以及规定比例为职工缴纳的住房公积金。</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32.其他支出（类）其他支出（款）其他支出（项）: 指上述项目以外其他不能划分到具体功能科目中的支出项目。</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33.基本支出：指为保障机构正常运转、完成日常工作任务而发生的人员支出和公用支出。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34.项目支出：指在基本支出之外为完成特定行政任务和事业发展目标所发生的支出。 </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35.经营支出：指事业单位在专业业务活动及其辅助活动之外开展非独立核算经营活动发生的支出。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pageBreakBefore w:val="0"/>
        <w:kinsoku/>
        <w:overflowPunct/>
        <w:topLinePunct w:val="0"/>
        <w:bidi w:val="0"/>
        <w:snapToGrid w:val="0"/>
        <w:spacing w:line="560" w:lineRule="exact"/>
        <w:ind w:left="0" w:right="0" w:firstLine="560" w:firstLineChars="200"/>
        <w:jc w:val="both"/>
        <w:textAlignment w:val="auto"/>
        <w:rPr>
          <w:rFonts w:ascii="仿宋_GB2312" w:eastAsia="仿宋_GB2312" w:cs="黑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overflowPunct/>
        <w:topLinePunct w:val="0"/>
        <w:bidi w:val="0"/>
        <w:snapToGrid w:val="0"/>
        <w:spacing w:line="560" w:lineRule="exact"/>
        <w:ind w:left="0" w:right="0" w:firstLine="560" w:firstLineChars="200"/>
        <w:jc w:val="both"/>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（名词解释部分请根据各部门实际列支情况罗列，并根据本部门职责职能增减名词解释内容。）</w:t>
      </w: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bookmarkStart w:id="57" w:name="_Toc19089876"/>
      <w:bookmarkStart w:id="58" w:name="_Toc15377226"/>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left="0" w:right="0" w:firstLine="560" w:firstLineChars="200"/>
        <w:jc w:val="both"/>
        <w:textAlignment w:val="auto"/>
        <w:outlineLvl w:val="0"/>
        <w:rPr>
          <w:rFonts w:ascii="黑体" w:hAnsi="黑体" w:eastAsia="黑体"/>
          <w:color w:val="000000" w:themeColor="text1"/>
          <w:sz w:val="28"/>
          <w:szCs w:val="28"/>
          <w14:textFill>
            <w14:solidFill>
              <w14:schemeClr w14:val="tx1"/>
            </w14:solidFill>
          </w14:textFill>
        </w:rPr>
      </w:pPr>
    </w:p>
    <w:p>
      <w:pPr>
        <w:pageBreakBefore w:val="0"/>
        <w:kinsoku/>
        <w:overflowPunct/>
        <w:topLinePunct w:val="0"/>
        <w:bidi w:val="0"/>
        <w:snapToGrid w:val="0"/>
        <w:spacing w:line="560" w:lineRule="exact"/>
        <w:ind w:right="0"/>
        <w:jc w:val="center"/>
        <w:textAlignment w:val="auto"/>
        <w:outlineLvl w:val="0"/>
        <w:rPr>
          <w:rStyle w:val="28"/>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Style w:val="28"/>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四部分 附件</w:t>
      </w:r>
      <w:bookmarkEnd w:id="57"/>
    </w:p>
    <w:p>
      <w:pPr>
        <w:pageBreakBefore w:val="0"/>
        <w:widowControl/>
        <w:kinsoku/>
        <w:overflowPunct/>
        <w:topLinePunct w:val="0"/>
        <w:bidi w:val="0"/>
        <w:snapToGrid w:val="0"/>
        <w:spacing w:line="560" w:lineRule="exact"/>
        <w:ind w:right="0"/>
        <w:jc w:val="both"/>
        <w:textAlignment w:val="auto"/>
        <w:rPr>
          <w:rFonts w:hint="eastAsia" w:ascii="仿宋" w:hAnsi="仿宋" w:eastAsia="仿宋"/>
          <w:color w:val="000000" w:themeColor="text1"/>
          <w:kern w:val="44"/>
          <w:sz w:val="28"/>
          <w:szCs w:val="28"/>
          <w14:textFill>
            <w14:solidFill>
              <w14:schemeClr w14:val="tx1"/>
            </w14:solidFill>
          </w14:textFill>
        </w:rPr>
      </w:pPr>
      <w:bookmarkStart w:id="59" w:name="_Toc19089877"/>
      <w:r>
        <w:rPr>
          <w:rFonts w:hint="eastAsia" w:ascii="仿宋" w:hAnsi="仿宋" w:eastAsia="仿宋"/>
          <w:color w:val="000000" w:themeColor="text1"/>
          <w:kern w:val="44"/>
          <w:sz w:val="28"/>
          <w:szCs w:val="28"/>
          <w14:textFill>
            <w14:solidFill>
              <w14:schemeClr w14:val="tx1"/>
            </w14:solidFill>
          </w14:textFill>
        </w:rPr>
        <w:t>附件1</w:t>
      </w:r>
      <w:bookmarkEnd w:id="59"/>
    </w:p>
    <w:p>
      <w:pPr>
        <w:pageBreakBefore w:val="0"/>
        <w:widowControl/>
        <w:kinsoku/>
        <w:overflowPunct/>
        <w:topLinePunct w:val="0"/>
        <w:bidi w:val="0"/>
        <w:snapToGrid w:val="0"/>
        <w:spacing w:line="560" w:lineRule="exact"/>
        <w:ind w:right="0"/>
        <w:jc w:val="both"/>
        <w:textAlignment w:val="auto"/>
        <w:rPr>
          <w:rFonts w:hint="eastAsia" w:ascii="仿宋" w:hAnsi="仿宋" w:eastAsia="仿宋"/>
          <w:color w:val="000000" w:themeColor="text1"/>
          <w:kern w:val="44"/>
          <w:sz w:val="28"/>
          <w:szCs w:val="28"/>
          <w14:textFill>
            <w14:solidFill>
              <w14:schemeClr w14:val="tx1"/>
            </w14:solidFill>
          </w14:textFill>
        </w:rPr>
      </w:pPr>
    </w:p>
    <w:p>
      <w:pPr>
        <w:pageBreakBefore w:val="0"/>
        <w:kinsoku/>
        <w:overflowPunct/>
        <w:topLinePunct w:val="0"/>
        <w:bidi w:val="0"/>
        <w:snapToGrid w:val="0"/>
        <w:spacing w:line="560" w:lineRule="exact"/>
        <w:ind w:right="0"/>
        <w:jc w:val="center"/>
        <w:textAlignment w:val="auto"/>
        <w:outlineLvl w:val="0"/>
        <w:rPr>
          <w:rFonts w:hint="eastAsia" w:ascii="黑体" w:hAnsi="黑体" w:eastAsia="黑体" w:cs="方正小标宋简体"/>
          <w:color w:val="000000" w:themeColor="text1"/>
          <w:sz w:val="36"/>
          <w:szCs w:val="36"/>
          <w14:textFill>
            <w14:solidFill>
              <w14:schemeClr w14:val="tx1"/>
            </w14:solidFill>
          </w14:textFill>
        </w:rPr>
      </w:pPr>
      <w:bookmarkStart w:id="60" w:name="_Toc19089878"/>
      <w:bookmarkStart w:id="61" w:name="_Toc15396616"/>
      <w:r>
        <w:rPr>
          <w:rFonts w:hint="eastAsia" w:ascii="黑体" w:hAnsi="黑体" w:eastAsia="黑体" w:cs="方正小标宋简体"/>
          <w:color w:val="000000" w:themeColor="text1"/>
          <w:sz w:val="36"/>
          <w:szCs w:val="36"/>
          <w14:textFill>
            <w14:solidFill>
              <w14:schemeClr w14:val="tx1"/>
            </w14:solidFill>
          </w14:textFill>
        </w:rPr>
        <w:t>广元市利州区下西小学</w:t>
      </w:r>
    </w:p>
    <w:p>
      <w:pPr>
        <w:pageBreakBefore w:val="0"/>
        <w:kinsoku/>
        <w:overflowPunct/>
        <w:topLinePunct w:val="0"/>
        <w:bidi w:val="0"/>
        <w:snapToGrid w:val="0"/>
        <w:spacing w:line="560" w:lineRule="exact"/>
        <w:ind w:right="0"/>
        <w:jc w:val="center"/>
        <w:textAlignment w:val="auto"/>
        <w:outlineLvl w:val="0"/>
        <w:rPr>
          <w:rFonts w:ascii="黑体" w:hAnsi="黑体" w:eastAsia="黑体" w:cs="方正小标宋简体"/>
          <w:color w:val="000000" w:themeColor="text1"/>
          <w:sz w:val="36"/>
          <w:szCs w:val="36"/>
          <w14:textFill>
            <w14:solidFill>
              <w14:schemeClr w14:val="tx1"/>
            </w14:solidFill>
          </w14:textFill>
        </w:rPr>
      </w:pPr>
      <w:r>
        <w:rPr>
          <w:rFonts w:hint="eastAsia" w:ascii="黑体" w:hAnsi="黑体" w:eastAsia="黑体" w:cs="方正小标宋简体"/>
          <w:color w:val="000000" w:themeColor="text1"/>
          <w:sz w:val="36"/>
          <w:szCs w:val="36"/>
          <w14:textFill>
            <w14:solidFill>
              <w14:schemeClr w14:val="tx1"/>
            </w14:solidFill>
          </w14:textFill>
        </w:rPr>
        <w:t>2019年部门整体支出</w:t>
      </w:r>
      <w:bookmarkEnd w:id="60"/>
      <w:bookmarkStart w:id="62" w:name="_Toc19089879"/>
      <w:r>
        <w:rPr>
          <w:rFonts w:hint="eastAsia" w:ascii="黑体" w:hAnsi="黑体" w:eastAsia="黑体" w:cs="方正小标宋简体"/>
          <w:color w:val="000000" w:themeColor="text1"/>
          <w:sz w:val="36"/>
          <w:szCs w:val="36"/>
          <w14:textFill>
            <w14:solidFill>
              <w14:schemeClr w14:val="tx1"/>
            </w14:solidFill>
          </w14:textFill>
        </w:rPr>
        <w:t>绩效评价报告</w:t>
      </w:r>
      <w:bookmarkEnd w:id="61"/>
      <w:bookmarkEnd w:id="62"/>
    </w:p>
    <w:p>
      <w:pPr>
        <w:pageBreakBefore w:val="0"/>
        <w:kinsoku/>
        <w:overflowPunct/>
        <w:topLinePunct w:val="0"/>
        <w:bidi w:val="0"/>
        <w:snapToGrid w:val="0"/>
        <w:spacing w:line="560" w:lineRule="exact"/>
        <w:ind w:left="0" w:right="0" w:firstLine="560" w:firstLineChars="200"/>
        <w:jc w:val="both"/>
        <w:textAlignment w:val="auto"/>
        <w:rPr>
          <w:rFonts w:hint="eastAsia" w:ascii="黑体" w:hAnsi="黑体" w:eastAsia="黑体" w:cs="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一、部门（单位）概况</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（一）机构组成</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广元市利州区下西小学共设办公室、教导处、教科室、安办、技装室、德育少先队、总务处7个部门。</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（二）机构职能</w:t>
      </w:r>
    </w:p>
    <w:p>
      <w:pPr>
        <w:pStyle w:val="26"/>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贯彻执行党和国家关于教育改革和发展的各项方针、政策，拟订全校教育事业发展规划和有关教育的规范性文件并组织实施；指导协调学校各部门的教育、教学体制改革。</w:t>
      </w:r>
    </w:p>
    <w:p>
      <w:pPr>
        <w:pStyle w:val="26"/>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Style w:val="26"/>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负责推进义务教育均衡发展和促进教育公平，负责义务教育的宏观指导与协调；指导学校全面实施素质教育；督促检查学校各类学校的办学标准、教学基本要求、教学基本条件的落实情况。</w:t>
      </w:r>
    </w:p>
    <w:p>
      <w:pPr>
        <w:pStyle w:val="26"/>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促进基础教育发展，教育学生成长为德学兼备、思想端正的学生，让学生获得基本的基础知识，尽可能培养其自学能力。</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（三）人员概况</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广元市利州区下西小学共有编制38名，其中全额财政补助事业编制38人。截至2019年末，实有在职人员41人，学校实有学生344人。</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二、部门财政资金收支情况</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（一）部门财政资金收入情况</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2019年财政拨款支出总计645.03万元。与2018年相比（634.63万元），财政拨款支出总计增加10.40万元，增涨1.64%。</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三、部门整体预算绩效管理情况（根据适用指标体系进行调整）</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（一）部门预算管理</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ascii="仿宋" w:hAnsi="仿宋" w:eastAsia="仿宋" w:cs="仿宋_GB2312"/>
          <w:color w:val="000000" w:themeColor="text1"/>
          <w:sz w:val="28"/>
          <w:szCs w:val="28"/>
          <w14:textFill>
            <w14:solidFill>
              <w14:schemeClr w14:val="tx1"/>
            </w14:solidFill>
          </w14:textFill>
        </w:rPr>
        <w:t>部门绩效目标制定</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（3）绩效目标的设定经过了调查研究和科学论证，符合客观实际，能够在一定期限内如期实现。</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（4）绩效目标相关指标设定与预算安排金额相对应，未超预算安排资金。</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ascii="仿宋" w:hAnsi="仿宋" w:eastAsia="仿宋" w:cs="仿宋_GB2312"/>
          <w:color w:val="000000" w:themeColor="text1"/>
          <w:sz w:val="28"/>
          <w:szCs w:val="28"/>
          <w14:textFill>
            <w14:solidFill>
              <w14:schemeClr w14:val="tx1"/>
            </w14:solidFill>
          </w14:textFill>
        </w:rPr>
        <w:t>预算编制</w:t>
      </w:r>
      <w:r>
        <w:rPr>
          <w:rFonts w:hint="eastAsia" w:ascii="仿宋" w:hAnsi="仿宋" w:eastAsia="仿宋" w:cs="仿宋_GB2312"/>
          <w:color w:val="000000" w:themeColor="text1"/>
          <w:sz w:val="28"/>
          <w:szCs w:val="28"/>
          <w14:textFill>
            <w14:solidFill>
              <w14:schemeClr w14:val="tx1"/>
            </w14:solidFill>
          </w14:textFill>
        </w:rPr>
        <w:t>和执行</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（4）按时送部门决算，决算数据真实准确、帐表一致，部门决算编制人员与供养人员系统一致。</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（二）专项预算管理。</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1.专项预算编制情况</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2.专项预算执行</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四、评价结论及建议</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（一）评价结论</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（二）存在问题</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预算追加经费数额大，下达时间比较晚，个别大型的项目资金执行时间比较长，造成预算执行率偏差。</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（三）改进建议</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1.进一步完善各类项目支出的支出标准，严格按项目和进度执行预算，增强预算的约束力和严肃性。</w:t>
      </w:r>
    </w:p>
    <w:p>
      <w:pPr>
        <w:keepNext w:val="0"/>
        <w:keepLines w:val="0"/>
        <w:pageBreakBefore w:val="0"/>
        <w:widowControl w:val="0"/>
        <w:kinsoku/>
        <w:wordWrap/>
        <w:overflowPunct/>
        <w:topLinePunct w:val="0"/>
        <w:bidi w:val="0"/>
        <w:snapToGrid w:val="0"/>
        <w:spacing w:line="560" w:lineRule="exact"/>
        <w:ind w:left="0" w:right="0" w:firstLine="560" w:firstLineChars="200"/>
        <w:jc w:val="both"/>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2.落实预算执行分析，及时了解预算执行差异，合理调整、纠正预算执行偏差，切实提高部门预算收支管理水平。</w:t>
      </w:r>
    </w:p>
    <w:p>
      <w:pPr>
        <w:pageBreakBefore w:val="0"/>
        <w:widowControl/>
        <w:kinsoku/>
        <w:overflowPunct/>
        <w:topLinePunct w:val="0"/>
        <w:bidi w:val="0"/>
        <w:snapToGrid w:val="0"/>
        <w:spacing w:line="560" w:lineRule="exact"/>
        <w:ind w:left="0" w:right="0" w:firstLine="560" w:firstLineChars="200"/>
        <w:jc w:val="both"/>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br w:type="page"/>
      </w:r>
    </w:p>
    <w:p>
      <w:pPr>
        <w:pageBreakBefore w:val="0"/>
        <w:kinsoku/>
        <w:overflowPunct/>
        <w:topLinePunct w:val="0"/>
        <w:bidi w:val="0"/>
        <w:snapToGrid w:val="0"/>
        <w:spacing w:line="560" w:lineRule="exact"/>
        <w:ind w:right="0"/>
        <w:jc w:val="center"/>
        <w:textAlignment w:val="auto"/>
        <w:outlineLvl w:val="0"/>
        <w:rPr>
          <w:rStyle w:val="28"/>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pPr>
      <w:bookmarkStart w:id="63" w:name="_Toc19089885"/>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Style w:val="28"/>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五部分</w:t>
      </w:r>
      <w:r>
        <w:rPr>
          <w:rStyle w:val="28"/>
          <w:rFonts w:hint="eastAsia" w:ascii="方正小标宋简体" w:hAnsi="方正小标宋简体" w:eastAsia="方正小标宋简体" w:cs="方正小标宋简体"/>
          <w:b w:val="0"/>
          <w:color w:val="000000" w:themeColor="text1"/>
          <w:sz w:val="44"/>
          <w:szCs w:val="44"/>
          <w:lang w:val="en-US" w:eastAsia="zh-CN"/>
          <w14:textFill>
            <w14:solidFill>
              <w14:schemeClr w14:val="tx1"/>
            </w14:solidFill>
          </w14:textFill>
        </w:rPr>
        <w:t xml:space="preserve"> </w:t>
      </w:r>
      <w:r>
        <w:rPr>
          <w:rStyle w:val="28"/>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 xml:space="preserve"> 附表</w:t>
      </w:r>
      <w:bookmarkEnd w:id="58"/>
      <w:bookmarkEnd w:id="63"/>
    </w:p>
    <w:p>
      <w:pPr>
        <w:pStyle w:val="3"/>
        <w:pageBreakBefore w:val="0"/>
        <w:kinsoku/>
        <w:overflowPunct/>
        <w:topLinePunct w:val="0"/>
        <w:bidi w:val="0"/>
        <w:snapToGrid w:val="0"/>
        <w:spacing w:before="0" w:after="0" w:line="560" w:lineRule="exact"/>
        <w:ind w:left="0" w:right="0" w:firstLine="560" w:firstLineChars="200"/>
        <w:jc w:val="both"/>
        <w:textAlignment w:val="auto"/>
        <w:rPr>
          <w:rFonts w:hint="eastAsia" w:ascii="仿宋" w:hAnsi="仿宋" w:eastAsia="仿宋"/>
          <w:b w:val="0"/>
          <w:color w:val="000000" w:themeColor="text1"/>
          <w:sz w:val="28"/>
          <w:szCs w:val="28"/>
          <w14:textFill>
            <w14:solidFill>
              <w14:schemeClr w14:val="tx1"/>
            </w14:solidFill>
          </w14:textFill>
        </w:rPr>
      </w:pPr>
      <w:bookmarkStart w:id="64" w:name="_Toc19089886"/>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一、收</w:t>
      </w:r>
      <w:r>
        <w:rPr>
          <w:rStyle w:val="29"/>
          <w:rFonts w:hint="eastAsia" w:ascii="仿宋" w:hAnsi="仿宋" w:eastAsia="仿宋"/>
          <w:b w:val="0"/>
          <w:bCs w:val="0"/>
          <w:color w:val="000000" w:themeColor="text1"/>
          <w:sz w:val="28"/>
          <w:szCs w:val="28"/>
          <w14:textFill>
            <w14:solidFill>
              <w14:schemeClr w14:val="tx1"/>
            </w14:solidFill>
          </w14:textFill>
        </w:rPr>
        <w:t>入支出决算总表</w:t>
      </w:r>
      <w:bookmarkEnd w:id="64"/>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65" w:name="_Toc19089887"/>
      <w:r>
        <w:rPr>
          <w:rFonts w:hint="eastAsia" w:ascii="仿宋" w:hAnsi="仿宋" w:eastAsia="仿宋"/>
          <w:b w:val="0"/>
          <w:color w:val="000000" w:themeColor="text1"/>
          <w:sz w:val="28"/>
          <w:szCs w:val="28"/>
          <w14:textFill>
            <w14:solidFill>
              <w14:schemeClr w14:val="tx1"/>
            </w14:solidFill>
          </w14:textFill>
        </w:rPr>
        <w:t>二、收</w:t>
      </w:r>
      <w:r>
        <w:rPr>
          <w:rStyle w:val="29"/>
          <w:rFonts w:hint="eastAsia" w:ascii="仿宋" w:hAnsi="仿宋" w:eastAsia="仿宋"/>
          <w:b w:val="0"/>
          <w:bCs w:val="0"/>
          <w:color w:val="000000" w:themeColor="text1"/>
          <w:sz w:val="28"/>
          <w:szCs w:val="28"/>
          <w14:textFill>
            <w14:solidFill>
              <w14:schemeClr w14:val="tx1"/>
            </w14:solidFill>
          </w14:textFill>
        </w:rPr>
        <w:t>入总表</w:t>
      </w:r>
      <w:bookmarkEnd w:id="65"/>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66" w:name="_Toc19089888"/>
      <w:r>
        <w:rPr>
          <w:rStyle w:val="29"/>
          <w:rFonts w:hint="eastAsia" w:ascii="仿宋" w:hAnsi="仿宋" w:eastAsia="仿宋"/>
          <w:b w:val="0"/>
          <w:bCs w:val="0"/>
          <w:color w:val="000000" w:themeColor="text1"/>
          <w:sz w:val="28"/>
          <w:szCs w:val="28"/>
          <w14:textFill>
            <w14:solidFill>
              <w14:schemeClr w14:val="tx1"/>
            </w14:solidFill>
          </w14:textFill>
        </w:rPr>
        <w:t>三、</w:t>
      </w:r>
      <w:r>
        <w:rPr>
          <w:rFonts w:hint="eastAsia" w:ascii="仿宋" w:hAnsi="仿宋" w:eastAsia="仿宋"/>
          <w:b w:val="0"/>
          <w:color w:val="000000" w:themeColor="text1"/>
          <w:sz w:val="28"/>
          <w:szCs w:val="28"/>
          <w14:textFill>
            <w14:solidFill>
              <w14:schemeClr w14:val="tx1"/>
            </w14:solidFill>
          </w14:textFill>
        </w:rPr>
        <w:t>支</w:t>
      </w:r>
      <w:r>
        <w:rPr>
          <w:rStyle w:val="29"/>
          <w:rFonts w:hint="eastAsia" w:ascii="仿宋" w:hAnsi="仿宋" w:eastAsia="仿宋"/>
          <w:b w:val="0"/>
          <w:bCs w:val="0"/>
          <w:color w:val="000000" w:themeColor="text1"/>
          <w:sz w:val="28"/>
          <w:szCs w:val="28"/>
          <w14:textFill>
            <w14:solidFill>
              <w14:schemeClr w14:val="tx1"/>
            </w14:solidFill>
          </w14:textFill>
        </w:rPr>
        <w:t>出总表</w:t>
      </w:r>
      <w:bookmarkEnd w:id="66"/>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b w:val="0"/>
          <w:color w:val="000000" w:themeColor="text1"/>
          <w:sz w:val="28"/>
          <w:szCs w:val="28"/>
          <w14:textFill>
            <w14:solidFill>
              <w14:schemeClr w14:val="tx1"/>
            </w14:solidFill>
          </w14:textFill>
        </w:rPr>
      </w:pPr>
      <w:bookmarkStart w:id="67" w:name="_Toc19089889"/>
      <w:r>
        <w:rPr>
          <w:rStyle w:val="29"/>
          <w:rFonts w:hint="eastAsia" w:ascii="仿宋" w:hAnsi="仿宋" w:eastAsia="仿宋"/>
          <w:b w:val="0"/>
          <w:bCs w:val="0"/>
          <w:color w:val="000000" w:themeColor="text1"/>
          <w:sz w:val="28"/>
          <w:szCs w:val="28"/>
          <w14:textFill>
            <w14:solidFill>
              <w14:schemeClr w14:val="tx1"/>
            </w14:solidFill>
          </w14:textFill>
        </w:rPr>
        <w:t>四、</w:t>
      </w:r>
      <w:r>
        <w:rPr>
          <w:rFonts w:hint="eastAsia" w:ascii="仿宋" w:hAnsi="仿宋" w:eastAsia="仿宋"/>
          <w:b w:val="0"/>
          <w:color w:val="000000" w:themeColor="text1"/>
          <w:sz w:val="28"/>
          <w:szCs w:val="28"/>
          <w14:textFill>
            <w14:solidFill>
              <w14:schemeClr w14:val="tx1"/>
            </w14:solidFill>
          </w14:textFill>
        </w:rPr>
        <w:t>财</w:t>
      </w:r>
      <w:r>
        <w:rPr>
          <w:rStyle w:val="29"/>
          <w:rFonts w:hint="eastAsia" w:ascii="仿宋" w:hAnsi="仿宋" w:eastAsia="仿宋"/>
          <w:b w:val="0"/>
          <w:bCs w:val="0"/>
          <w:color w:val="000000" w:themeColor="text1"/>
          <w:sz w:val="28"/>
          <w:szCs w:val="28"/>
          <w14:textFill>
            <w14:solidFill>
              <w14:schemeClr w14:val="tx1"/>
            </w14:solidFill>
          </w14:textFill>
        </w:rPr>
        <w:t>政拨款收入支出决算总表</w:t>
      </w:r>
      <w:bookmarkEnd w:id="67"/>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68" w:name="_Toc19089890"/>
      <w:r>
        <w:rPr>
          <w:rStyle w:val="29"/>
          <w:rFonts w:hint="eastAsia" w:ascii="仿宋" w:hAnsi="仿宋" w:eastAsia="仿宋"/>
          <w:b w:val="0"/>
          <w:bCs w:val="0"/>
          <w:color w:val="000000" w:themeColor="text1"/>
          <w:sz w:val="28"/>
          <w:szCs w:val="28"/>
          <w14:textFill>
            <w14:solidFill>
              <w14:schemeClr w14:val="tx1"/>
            </w14:solidFill>
          </w14:textFill>
        </w:rPr>
        <w:t>五、</w:t>
      </w:r>
      <w:r>
        <w:rPr>
          <w:rFonts w:hint="eastAsia" w:ascii="仿宋" w:hAnsi="仿宋" w:eastAsia="仿宋"/>
          <w:b w:val="0"/>
          <w:color w:val="000000" w:themeColor="text1"/>
          <w:sz w:val="28"/>
          <w:szCs w:val="28"/>
          <w14:textFill>
            <w14:solidFill>
              <w14:schemeClr w14:val="tx1"/>
            </w14:solidFill>
          </w14:textFill>
        </w:rPr>
        <w:t>财</w:t>
      </w:r>
      <w:r>
        <w:rPr>
          <w:rStyle w:val="29"/>
          <w:rFonts w:hint="eastAsia" w:ascii="仿宋" w:hAnsi="仿宋" w:eastAsia="仿宋"/>
          <w:b w:val="0"/>
          <w:bCs w:val="0"/>
          <w:color w:val="000000" w:themeColor="text1"/>
          <w:sz w:val="28"/>
          <w:szCs w:val="28"/>
          <w14:textFill>
            <w14:solidFill>
              <w14:schemeClr w14:val="tx1"/>
            </w14:solidFill>
          </w14:textFill>
        </w:rPr>
        <w:t>政拨款支出决算明细表（政府经济分类科目）</w:t>
      </w:r>
      <w:bookmarkEnd w:id="68"/>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69" w:name="_Toc19089891"/>
      <w:r>
        <w:rPr>
          <w:rStyle w:val="29"/>
          <w:rFonts w:hint="eastAsia" w:ascii="仿宋" w:hAnsi="仿宋" w:eastAsia="仿宋"/>
          <w:b w:val="0"/>
          <w:bCs w:val="0"/>
          <w:color w:val="000000" w:themeColor="text1"/>
          <w:sz w:val="28"/>
          <w:szCs w:val="28"/>
          <w14:textFill>
            <w14:solidFill>
              <w14:schemeClr w14:val="tx1"/>
            </w14:solidFill>
          </w14:textFill>
        </w:rPr>
        <w:t>六、</w:t>
      </w:r>
      <w:r>
        <w:rPr>
          <w:rFonts w:hint="eastAsia" w:ascii="仿宋" w:hAnsi="仿宋" w:eastAsia="仿宋"/>
          <w:b w:val="0"/>
          <w:color w:val="000000" w:themeColor="text1"/>
          <w:sz w:val="28"/>
          <w:szCs w:val="28"/>
          <w14:textFill>
            <w14:solidFill>
              <w14:schemeClr w14:val="tx1"/>
            </w14:solidFill>
          </w14:textFill>
        </w:rPr>
        <w:t>一</w:t>
      </w:r>
      <w:r>
        <w:rPr>
          <w:rStyle w:val="29"/>
          <w:rFonts w:hint="eastAsia" w:ascii="仿宋" w:hAnsi="仿宋" w:eastAsia="仿宋"/>
          <w:b w:val="0"/>
          <w:bCs w:val="0"/>
          <w:color w:val="000000" w:themeColor="text1"/>
          <w:sz w:val="28"/>
          <w:szCs w:val="28"/>
          <w14:textFill>
            <w14:solidFill>
              <w14:schemeClr w14:val="tx1"/>
            </w14:solidFill>
          </w14:textFill>
        </w:rPr>
        <w:t>般公共预算财政拨款支出决算表</w:t>
      </w:r>
      <w:bookmarkEnd w:id="69"/>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70" w:name="_Toc19089892"/>
      <w:r>
        <w:rPr>
          <w:rStyle w:val="29"/>
          <w:rFonts w:hint="eastAsia" w:ascii="仿宋" w:hAnsi="仿宋" w:eastAsia="仿宋"/>
          <w:b w:val="0"/>
          <w:bCs w:val="0"/>
          <w:color w:val="000000" w:themeColor="text1"/>
          <w:sz w:val="28"/>
          <w:szCs w:val="28"/>
          <w14:textFill>
            <w14:solidFill>
              <w14:schemeClr w14:val="tx1"/>
            </w14:solidFill>
          </w14:textFill>
        </w:rPr>
        <w:t>七、</w:t>
      </w:r>
      <w:r>
        <w:rPr>
          <w:rFonts w:hint="eastAsia" w:ascii="仿宋" w:hAnsi="仿宋" w:eastAsia="仿宋"/>
          <w:b w:val="0"/>
          <w:color w:val="000000" w:themeColor="text1"/>
          <w:sz w:val="28"/>
          <w:szCs w:val="28"/>
          <w14:textFill>
            <w14:solidFill>
              <w14:schemeClr w14:val="tx1"/>
            </w14:solidFill>
          </w14:textFill>
        </w:rPr>
        <w:t>一</w:t>
      </w:r>
      <w:r>
        <w:rPr>
          <w:rStyle w:val="29"/>
          <w:rFonts w:hint="eastAsia" w:ascii="仿宋" w:hAnsi="仿宋" w:eastAsia="仿宋"/>
          <w:b w:val="0"/>
          <w:bCs w:val="0"/>
          <w:color w:val="000000" w:themeColor="text1"/>
          <w:sz w:val="28"/>
          <w:szCs w:val="28"/>
          <w14:textFill>
            <w14:solidFill>
              <w14:schemeClr w14:val="tx1"/>
            </w14:solidFill>
          </w14:textFill>
        </w:rPr>
        <w:t>般公共预算财政拨款支出决算明细表</w:t>
      </w:r>
      <w:bookmarkEnd w:id="70"/>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71" w:name="_Toc19089893"/>
      <w:r>
        <w:rPr>
          <w:rStyle w:val="29"/>
          <w:rFonts w:hint="eastAsia" w:ascii="仿宋" w:hAnsi="仿宋" w:eastAsia="仿宋"/>
          <w:b w:val="0"/>
          <w:bCs w:val="0"/>
          <w:color w:val="000000" w:themeColor="text1"/>
          <w:sz w:val="28"/>
          <w:szCs w:val="28"/>
          <w14:textFill>
            <w14:solidFill>
              <w14:schemeClr w14:val="tx1"/>
            </w14:solidFill>
          </w14:textFill>
        </w:rPr>
        <w:t>八、</w:t>
      </w:r>
      <w:r>
        <w:rPr>
          <w:rFonts w:hint="eastAsia" w:ascii="仿宋" w:hAnsi="仿宋" w:eastAsia="仿宋"/>
          <w:b w:val="0"/>
          <w:color w:val="000000" w:themeColor="text1"/>
          <w:sz w:val="28"/>
          <w:szCs w:val="28"/>
          <w14:textFill>
            <w14:solidFill>
              <w14:schemeClr w14:val="tx1"/>
            </w14:solidFill>
          </w14:textFill>
        </w:rPr>
        <w:t>一</w:t>
      </w:r>
      <w:r>
        <w:rPr>
          <w:rStyle w:val="29"/>
          <w:rFonts w:hint="eastAsia" w:ascii="仿宋" w:hAnsi="仿宋" w:eastAsia="仿宋"/>
          <w:b w:val="0"/>
          <w:bCs w:val="0"/>
          <w:color w:val="000000" w:themeColor="text1"/>
          <w:sz w:val="28"/>
          <w:szCs w:val="28"/>
          <w14:textFill>
            <w14:solidFill>
              <w14:schemeClr w14:val="tx1"/>
            </w14:solidFill>
          </w14:textFill>
        </w:rPr>
        <w:t>般公共预算财政拨款基本支出决算表</w:t>
      </w:r>
      <w:bookmarkEnd w:id="71"/>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72" w:name="_Toc19089894"/>
      <w:r>
        <w:rPr>
          <w:rStyle w:val="29"/>
          <w:rFonts w:hint="eastAsia" w:ascii="仿宋" w:hAnsi="仿宋" w:eastAsia="仿宋"/>
          <w:b w:val="0"/>
          <w:bCs w:val="0"/>
          <w:color w:val="000000" w:themeColor="text1"/>
          <w:sz w:val="28"/>
          <w:szCs w:val="28"/>
          <w14:textFill>
            <w14:solidFill>
              <w14:schemeClr w14:val="tx1"/>
            </w14:solidFill>
          </w14:textFill>
        </w:rPr>
        <w:t>九、</w:t>
      </w:r>
      <w:r>
        <w:rPr>
          <w:rFonts w:hint="eastAsia" w:ascii="仿宋" w:hAnsi="仿宋" w:eastAsia="仿宋"/>
          <w:b w:val="0"/>
          <w:color w:val="000000" w:themeColor="text1"/>
          <w:sz w:val="28"/>
          <w:szCs w:val="28"/>
          <w14:textFill>
            <w14:solidFill>
              <w14:schemeClr w14:val="tx1"/>
            </w14:solidFill>
          </w14:textFill>
        </w:rPr>
        <w:t>一</w:t>
      </w:r>
      <w:r>
        <w:rPr>
          <w:rStyle w:val="29"/>
          <w:rFonts w:hint="eastAsia" w:ascii="仿宋" w:hAnsi="仿宋" w:eastAsia="仿宋"/>
          <w:b w:val="0"/>
          <w:bCs w:val="0"/>
          <w:color w:val="000000" w:themeColor="text1"/>
          <w:sz w:val="28"/>
          <w:szCs w:val="28"/>
          <w14:textFill>
            <w14:solidFill>
              <w14:schemeClr w14:val="tx1"/>
            </w14:solidFill>
          </w14:textFill>
        </w:rPr>
        <w:t>般公共预算财政拨款项目支出决算表</w:t>
      </w:r>
      <w:bookmarkEnd w:id="72"/>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73" w:name="_Toc19089895"/>
      <w:r>
        <w:rPr>
          <w:rStyle w:val="29"/>
          <w:rFonts w:hint="eastAsia" w:ascii="仿宋" w:hAnsi="仿宋" w:eastAsia="仿宋"/>
          <w:b w:val="0"/>
          <w:bCs w:val="0"/>
          <w:color w:val="000000" w:themeColor="text1"/>
          <w:sz w:val="28"/>
          <w:szCs w:val="28"/>
          <w14:textFill>
            <w14:solidFill>
              <w14:schemeClr w14:val="tx1"/>
            </w14:solidFill>
          </w14:textFill>
        </w:rPr>
        <w:t>十、</w:t>
      </w:r>
      <w:r>
        <w:rPr>
          <w:rFonts w:hint="eastAsia" w:ascii="仿宋" w:hAnsi="仿宋" w:eastAsia="仿宋"/>
          <w:b w:val="0"/>
          <w:color w:val="000000" w:themeColor="text1"/>
          <w:sz w:val="28"/>
          <w:szCs w:val="28"/>
          <w14:textFill>
            <w14:solidFill>
              <w14:schemeClr w14:val="tx1"/>
            </w14:solidFill>
          </w14:textFill>
        </w:rPr>
        <w:t>一</w:t>
      </w:r>
      <w:r>
        <w:rPr>
          <w:rStyle w:val="29"/>
          <w:rFonts w:hint="eastAsia" w:ascii="仿宋" w:hAnsi="仿宋" w:eastAsia="仿宋"/>
          <w:b w:val="0"/>
          <w:bCs w:val="0"/>
          <w:color w:val="000000" w:themeColor="text1"/>
          <w:sz w:val="28"/>
          <w:szCs w:val="28"/>
          <w14:textFill>
            <w14:solidFill>
              <w14:schemeClr w14:val="tx1"/>
            </w14:solidFill>
          </w14:textFill>
        </w:rPr>
        <w:t>般公共预算财政拨款“三公”经费支出决算表</w:t>
      </w:r>
      <w:bookmarkEnd w:id="73"/>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74" w:name="_Toc19089896"/>
      <w:r>
        <w:rPr>
          <w:rStyle w:val="29"/>
          <w:rFonts w:hint="eastAsia" w:ascii="仿宋" w:hAnsi="仿宋" w:eastAsia="仿宋"/>
          <w:b w:val="0"/>
          <w:bCs w:val="0"/>
          <w:color w:val="000000" w:themeColor="text1"/>
          <w:sz w:val="28"/>
          <w:szCs w:val="28"/>
          <w14:textFill>
            <w14:solidFill>
              <w14:schemeClr w14:val="tx1"/>
            </w14:solidFill>
          </w14:textFill>
        </w:rPr>
        <w:t>十一、</w:t>
      </w:r>
      <w:r>
        <w:rPr>
          <w:rFonts w:hint="eastAsia" w:ascii="仿宋" w:hAnsi="仿宋" w:eastAsia="仿宋"/>
          <w:b w:val="0"/>
          <w:color w:val="000000" w:themeColor="text1"/>
          <w:sz w:val="28"/>
          <w:szCs w:val="28"/>
          <w14:textFill>
            <w14:solidFill>
              <w14:schemeClr w14:val="tx1"/>
            </w14:solidFill>
          </w14:textFill>
        </w:rPr>
        <w:t>政</w:t>
      </w:r>
      <w:r>
        <w:rPr>
          <w:rStyle w:val="29"/>
          <w:rFonts w:hint="eastAsia" w:ascii="仿宋" w:hAnsi="仿宋" w:eastAsia="仿宋"/>
          <w:b w:val="0"/>
          <w:bCs w:val="0"/>
          <w:color w:val="000000" w:themeColor="text1"/>
          <w:sz w:val="28"/>
          <w:szCs w:val="28"/>
          <w14:textFill>
            <w14:solidFill>
              <w14:schemeClr w14:val="tx1"/>
            </w14:solidFill>
          </w14:textFill>
        </w:rPr>
        <w:t>府性基金预算财政拨款收入支出决算表</w:t>
      </w:r>
      <w:bookmarkEnd w:id="74"/>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75" w:name="_Toc19089897"/>
      <w:r>
        <w:rPr>
          <w:rStyle w:val="29"/>
          <w:rFonts w:hint="eastAsia" w:ascii="仿宋" w:hAnsi="仿宋" w:eastAsia="仿宋"/>
          <w:b w:val="0"/>
          <w:bCs w:val="0"/>
          <w:color w:val="000000" w:themeColor="text1"/>
          <w:sz w:val="28"/>
          <w:szCs w:val="28"/>
          <w14:textFill>
            <w14:solidFill>
              <w14:schemeClr w14:val="tx1"/>
            </w14:solidFill>
          </w14:textFill>
        </w:rPr>
        <w:t>十二、</w:t>
      </w:r>
      <w:r>
        <w:rPr>
          <w:rFonts w:hint="eastAsia" w:ascii="仿宋" w:hAnsi="仿宋" w:eastAsia="仿宋"/>
          <w:b w:val="0"/>
          <w:color w:val="000000" w:themeColor="text1"/>
          <w:sz w:val="28"/>
          <w:szCs w:val="28"/>
          <w14:textFill>
            <w14:solidFill>
              <w14:schemeClr w14:val="tx1"/>
            </w14:solidFill>
          </w14:textFill>
        </w:rPr>
        <w:t>政</w:t>
      </w:r>
      <w:r>
        <w:rPr>
          <w:rStyle w:val="29"/>
          <w:rFonts w:hint="eastAsia" w:ascii="仿宋" w:hAnsi="仿宋" w:eastAsia="仿宋"/>
          <w:b w:val="0"/>
          <w:bCs w:val="0"/>
          <w:color w:val="000000" w:themeColor="text1"/>
          <w:sz w:val="28"/>
          <w:szCs w:val="28"/>
          <w14:textFill>
            <w14:solidFill>
              <w14:schemeClr w14:val="tx1"/>
            </w14:solidFill>
          </w14:textFill>
        </w:rPr>
        <w:t>府性基金预算财政拨款“三公”经费支出决算表</w:t>
      </w:r>
      <w:bookmarkEnd w:id="75"/>
    </w:p>
    <w:p>
      <w:pPr>
        <w:pStyle w:val="3"/>
        <w:pageBreakBefore w:val="0"/>
        <w:kinsoku/>
        <w:overflowPunct/>
        <w:topLinePunct w:val="0"/>
        <w:bidi w:val="0"/>
        <w:snapToGrid w:val="0"/>
        <w:spacing w:before="0" w:after="0" w:line="560" w:lineRule="exact"/>
        <w:ind w:left="0" w:right="0" w:firstLine="560" w:firstLineChars="200"/>
        <w:jc w:val="both"/>
        <w:textAlignment w:val="auto"/>
        <w:rPr>
          <w:rFonts w:ascii="仿宋" w:hAnsi="仿宋" w:eastAsia="仿宋"/>
          <w:color w:val="000000" w:themeColor="text1"/>
          <w:sz w:val="28"/>
          <w:szCs w:val="28"/>
          <w14:textFill>
            <w14:solidFill>
              <w14:schemeClr w14:val="tx1"/>
            </w14:solidFill>
          </w14:textFill>
        </w:rPr>
      </w:pPr>
      <w:bookmarkStart w:id="76" w:name="_Toc19089898"/>
      <w:r>
        <w:rPr>
          <w:rStyle w:val="29"/>
          <w:rFonts w:hint="eastAsia" w:ascii="仿宋" w:hAnsi="仿宋" w:eastAsia="仿宋"/>
          <w:b w:val="0"/>
          <w:bCs w:val="0"/>
          <w:color w:val="000000" w:themeColor="text1"/>
          <w:sz w:val="28"/>
          <w:szCs w:val="28"/>
          <w14:textFill>
            <w14:solidFill>
              <w14:schemeClr w14:val="tx1"/>
            </w14:solidFill>
          </w14:textFill>
        </w:rPr>
        <w:t>十三、</w:t>
      </w:r>
      <w:r>
        <w:rPr>
          <w:rFonts w:hint="eastAsia" w:ascii="仿宋" w:hAnsi="仿宋" w:eastAsia="仿宋"/>
          <w:b w:val="0"/>
          <w:color w:val="000000" w:themeColor="text1"/>
          <w:sz w:val="28"/>
          <w:szCs w:val="28"/>
          <w14:textFill>
            <w14:solidFill>
              <w14:schemeClr w14:val="tx1"/>
            </w14:solidFill>
          </w14:textFill>
        </w:rPr>
        <w:t>国</w:t>
      </w:r>
      <w:r>
        <w:rPr>
          <w:rStyle w:val="29"/>
          <w:rFonts w:hint="eastAsia" w:ascii="仿宋" w:hAnsi="仿宋" w:eastAsia="仿宋"/>
          <w:b w:val="0"/>
          <w:bCs w:val="0"/>
          <w:color w:val="000000" w:themeColor="text1"/>
          <w:sz w:val="28"/>
          <w:szCs w:val="28"/>
          <w14:textFill>
            <w14:solidFill>
              <w14:schemeClr w14:val="tx1"/>
            </w14:solidFill>
          </w14:textFill>
        </w:rPr>
        <w:t>有资本经营预算</w:t>
      </w:r>
      <w:bookmarkStart w:id="77" w:name="_GoBack"/>
      <w:bookmarkEnd w:id="77"/>
      <w:r>
        <w:rPr>
          <w:rStyle w:val="29"/>
          <w:rFonts w:hint="eastAsia" w:ascii="仿宋" w:hAnsi="仿宋" w:eastAsia="仿宋"/>
          <w:b w:val="0"/>
          <w:bCs w:val="0"/>
          <w:color w:val="000000" w:themeColor="text1"/>
          <w:sz w:val="28"/>
          <w:szCs w:val="28"/>
          <w14:textFill>
            <w14:solidFill>
              <w14:schemeClr w14:val="tx1"/>
            </w14:solidFill>
          </w14:textFill>
        </w:rPr>
        <w:t>支出决算表</w:t>
      </w:r>
      <w:bookmarkEnd w:id="76"/>
    </w:p>
    <w:sectPr>
      <w:footerReference r:id="rId6" w:type="first"/>
      <w:footerReference r:id="rId5" w:type="default"/>
      <w:pgSz w:w="11906" w:h="16838"/>
      <w:pgMar w:top="1701" w:right="1474" w:bottom="1701" w:left="1587" w:header="851" w:footer="130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994781956"/>
                          </w:sdtPr>
                          <w:sdtEndPr>
                            <w:rPr>
                              <w:rFonts w:hint="eastAsia" w:asciiTheme="minorEastAsia" w:hAnsiTheme="minorEastAsia" w:eastAsiaTheme="minorEastAsia" w:cstheme="minorEastAsia"/>
                              <w:sz w:val="28"/>
                              <w:szCs w:val="28"/>
                            </w:rPr>
                          </w:sdtEndPr>
                          <w:sdtContent>
                            <w:p>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8</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994781956"/>
                    </w:sdtPr>
                    <w:sdtEndPr>
                      <w:rPr>
                        <w:rFonts w:hint="eastAsia" w:asciiTheme="minorEastAsia" w:hAnsiTheme="minorEastAsia" w:eastAsiaTheme="minorEastAsia" w:cstheme="minorEastAsia"/>
                        <w:sz w:val="28"/>
                        <w:szCs w:val="28"/>
                      </w:rPr>
                    </w:sdtEndPr>
                    <w:sdtContent>
                      <w:p>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8</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8"/>
                        <w:szCs w:val="28"/>
                      </w:rPr>
                    </w:pP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2F77"/>
    <w:rsid w:val="0006487A"/>
    <w:rsid w:val="00065F8F"/>
    <w:rsid w:val="000768F2"/>
    <w:rsid w:val="0009184B"/>
    <w:rsid w:val="00094044"/>
    <w:rsid w:val="0009593C"/>
    <w:rsid w:val="000B047F"/>
    <w:rsid w:val="000B30C6"/>
    <w:rsid w:val="000B48C7"/>
    <w:rsid w:val="000B5923"/>
    <w:rsid w:val="000B5A48"/>
    <w:rsid w:val="000B6FF3"/>
    <w:rsid w:val="000C1685"/>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495"/>
    <w:rsid w:val="002616C0"/>
    <w:rsid w:val="002662AA"/>
    <w:rsid w:val="00280496"/>
    <w:rsid w:val="00287D39"/>
    <w:rsid w:val="00295495"/>
    <w:rsid w:val="002963E0"/>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10122"/>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C0CB9"/>
    <w:rsid w:val="004E0A2D"/>
    <w:rsid w:val="004E206B"/>
    <w:rsid w:val="004E4198"/>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10B8"/>
    <w:rsid w:val="0066343B"/>
    <w:rsid w:val="00664777"/>
    <w:rsid w:val="006748A4"/>
    <w:rsid w:val="00675FF1"/>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663AD"/>
    <w:rsid w:val="00871F71"/>
    <w:rsid w:val="008770E7"/>
    <w:rsid w:val="00883FD9"/>
    <w:rsid w:val="00885AF4"/>
    <w:rsid w:val="0089274D"/>
    <w:rsid w:val="008939CD"/>
    <w:rsid w:val="008B768C"/>
    <w:rsid w:val="008C4DB1"/>
    <w:rsid w:val="008C4EAF"/>
    <w:rsid w:val="008C5176"/>
    <w:rsid w:val="008C7FD0"/>
    <w:rsid w:val="008D105F"/>
    <w:rsid w:val="008D2A1A"/>
    <w:rsid w:val="008E1DE7"/>
    <w:rsid w:val="008E707C"/>
    <w:rsid w:val="008F4458"/>
    <w:rsid w:val="00900B08"/>
    <w:rsid w:val="00902155"/>
    <w:rsid w:val="00902FA3"/>
    <w:rsid w:val="00920912"/>
    <w:rsid w:val="00923564"/>
    <w:rsid w:val="0092392E"/>
    <w:rsid w:val="00927967"/>
    <w:rsid w:val="009315F9"/>
    <w:rsid w:val="00943E15"/>
    <w:rsid w:val="00946945"/>
    <w:rsid w:val="00951248"/>
    <w:rsid w:val="0095152F"/>
    <w:rsid w:val="00954C49"/>
    <w:rsid w:val="00967C70"/>
    <w:rsid w:val="0097099F"/>
    <w:rsid w:val="00971997"/>
    <w:rsid w:val="00971FFC"/>
    <w:rsid w:val="00977F74"/>
    <w:rsid w:val="0098660A"/>
    <w:rsid w:val="00991629"/>
    <w:rsid w:val="009931C3"/>
    <w:rsid w:val="009B2C43"/>
    <w:rsid w:val="009B4605"/>
    <w:rsid w:val="009B4EAE"/>
    <w:rsid w:val="009B7573"/>
    <w:rsid w:val="009C22F4"/>
    <w:rsid w:val="009C2E98"/>
    <w:rsid w:val="009C3B4D"/>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2875"/>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119F"/>
    <w:rsid w:val="00D65988"/>
    <w:rsid w:val="00D7035F"/>
    <w:rsid w:val="00D9319E"/>
    <w:rsid w:val="00DA5916"/>
    <w:rsid w:val="00DA5F56"/>
    <w:rsid w:val="00DA65AC"/>
    <w:rsid w:val="00DB1913"/>
    <w:rsid w:val="00DC410D"/>
    <w:rsid w:val="00DC68CA"/>
    <w:rsid w:val="00DC7CBA"/>
    <w:rsid w:val="00DD73B7"/>
    <w:rsid w:val="00DF007D"/>
    <w:rsid w:val="00DF28BC"/>
    <w:rsid w:val="00DF2E67"/>
    <w:rsid w:val="00DF34B9"/>
    <w:rsid w:val="00E01053"/>
    <w:rsid w:val="00E07ACF"/>
    <w:rsid w:val="00E114FD"/>
    <w:rsid w:val="00E1449C"/>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0EC"/>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3832AD6"/>
    <w:rsid w:val="07E67EC8"/>
    <w:rsid w:val="0D521A5C"/>
    <w:rsid w:val="10C055FF"/>
    <w:rsid w:val="16BB723D"/>
    <w:rsid w:val="1BF15163"/>
    <w:rsid w:val="1E147BE1"/>
    <w:rsid w:val="1FC52736"/>
    <w:rsid w:val="228B1181"/>
    <w:rsid w:val="22E216B1"/>
    <w:rsid w:val="232B0A76"/>
    <w:rsid w:val="240371BF"/>
    <w:rsid w:val="29FD04D3"/>
    <w:rsid w:val="2AC80A35"/>
    <w:rsid w:val="301E4765"/>
    <w:rsid w:val="319F7F4E"/>
    <w:rsid w:val="32E6764F"/>
    <w:rsid w:val="39233B37"/>
    <w:rsid w:val="3C653F51"/>
    <w:rsid w:val="3DD62AA7"/>
    <w:rsid w:val="3F6B1924"/>
    <w:rsid w:val="409501C5"/>
    <w:rsid w:val="41C82C7C"/>
    <w:rsid w:val="48384D73"/>
    <w:rsid w:val="4D607CBA"/>
    <w:rsid w:val="4E233CED"/>
    <w:rsid w:val="53C52CC6"/>
    <w:rsid w:val="5BE67572"/>
    <w:rsid w:val="66697878"/>
    <w:rsid w:val="67F26643"/>
    <w:rsid w:val="688120B0"/>
    <w:rsid w:val="6AE35F1A"/>
    <w:rsid w:val="704D648C"/>
    <w:rsid w:val="705D620B"/>
    <w:rsid w:val="7C5876A7"/>
    <w:rsid w:val="7F622F1C"/>
    <w:rsid w:val="7F6470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semiHidden/>
    <w:unhideWhenUsed/>
    <w:qFormat/>
    <w:uiPriority w:val="99"/>
    <w:pPr>
      <w:jc w:val="left"/>
    </w:pPr>
    <w:rPr>
      <w:kern w:val="0"/>
      <w:sz w:val="24"/>
    </w:rPr>
  </w:style>
  <w:style w:type="character" w:styleId="15">
    <w:name w:val="Strong"/>
    <w:basedOn w:val="14"/>
    <w:qFormat/>
    <w:uiPriority w:val="0"/>
    <w:rPr>
      <w:b/>
    </w:rPr>
  </w:style>
  <w:style w:type="character" w:styleId="16">
    <w:name w:val="FollowedHyperlink"/>
    <w:basedOn w:val="14"/>
    <w:semiHidden/>
    <w:unhideWhenUsed/>
    <w:qFormat/>
    <w:uiPriority w:val="99"/>
    <w:rPr>
      <w:rFonts w:hint="eastAsia" w:ascii="微软雅黑" w:hAnsi="微软雅黑" w:eastAsia="微软雅黑" w:cs="微软雅黑"/>
      <w:color w:val="222222"/>
      <w:u w:val="none"/>
    </w:rPr>
  </w:style>
  <w:style w:type="character" w:styleId="17">
    <w:name w:val="Emphasis"/>
    <w:basedOn w:val="14"/>
    <w:qFormat/>
    <w:uiPriority w:val="20"/>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HTML Code"/>
    <w:basedOn w:val="14"/>
    <w:semiHidden/>
    <w:unhideWhenUsed/>
    <w:qFormat/>
    <w:uiPriority w:val="99"/>
    <w:rPr>
      <w:rFonts w:ascii="Courier New" w:hAnsi="Courier New"/>
      <w:sz w:val="20"/>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4"/>
    <w:link w:val="2"/>
    <w:qFormat/>
    <w:uiPriority w:val="9"/>
    <w:rPr>
      <w:rFonts w:ascii="Times New Roman" w:hAnsi="Times New Roman"/>
      <w:b/>
      <w:bCs/>
      <w:kern w:val="44"/>
      <w:sz w:val="44"/>
      <w:szCs w:val="44"/>
    </w:rPr>
  </w:style>
  <w:style w:type="character" w:customStyle="1" w:styleId="29">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4"/>
    <w:link w:val="7"/>
    <w:semiHidden/>
    <w:qFormat/>
    <w:uiPriority w:val="99"/>
    <w:rPr>
      <w:rFonts w:ascii="Times New Roman" w:hAnsi="Times New Roman"/>
      <w:kern w:val="2"/>
      <w:sz w:val="18"/>
      <w:szCs w:val="18"/>
    </w:rPr>
  </w:style>
  <w:style w:type="character" w:customStyle="1" w:styleId="32">
    <w:name w:val="标题 3 Char"/>
    <w:basedOn w:val="14"/>
    <w:link w:val="4"/>
    <w:qFormat/>
    <w:uiPriority w:val="9"/>
    <w:rPr>
      <w:rFonts w:ascii="Times New Roman" w:hAnsi="Times New Roman"/>
      <w:b/>
      <w:bCs/>
      <w:kern w:val="2"/>
      <w:sz w:val="32"/>
      <w:szCs w:val="32"/>
    </w:rPr>
  </w:style>
  <w:style w:type="character" w:customStyle="1" w:styleId="33">
    <w:name w:val="zwxxgk_bnt5"/>
    <w:basedOn w:val="14"/>
    <w:qFormat/>
    <w:uiPriority w:val="0"/>
  </w:style>
  <w:style w:type="character" w:customStyle="1" w:styleId="34">
    <w:name w:val="zwxxgk_bnt51"/>
    <w:basedOn w:val="14"/>
    <w:qFormat/>
    <w:uiPriority w:val="0"/>
  </w:style>
  <w:style w:type="character" w:customStyle="1" w:styleId="35">
    <w:name w:val="zwxxgk_bnt52"/>
    <w:basedOn w:val="14"/>
    <w:qFormat/>
    <w:uiPriority w:val="0"/>
  </w:style>
  <w:style w:type="character" w:customStyle="1" w:styleId="36">
    <w:name w:val="zwxxgk_bnt53"/>
    <w:basedOn w:val="14"/>
    <w:uiPriority w:val="0"/>
  </w:style>
  <w:style w:type="character" w:customStyle="1" w:styleId="37">
    <w:name w:val="zwxxgk_bnt6"/>
    <w:basedOn w:val="14"/>
    <w:qFormat/>
    <w:uiPriority w:val="0"/>
  </w:style>
  <w:style w:type="character" w:customStyle="1" w:styleId="38">
    <w:name w:val="zwxxgk_bnt61"/>
    <w:basedOn w:val="14"/>
    <w:uiPriority w:val="0"/>
  </w:style>
  <w:style w:type="character" w:customStyle="1" w:styleId="39">
    <w:name w:val="zwxxgk_bnt62"/>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AD0AE-F820-4714-A13C-16E8829E860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1431</Words>
  <Characters>8159</Characters>
  <Lines>67</Lines>
  <Paragraphs>19</Paragraphs>
  <TotalTime>8</TotalTime>
  <ScaleCrop>false</ScaleCrop>
  <LinksUpToDate>false</LinksUpToDate>
  <CharactersWithSpaces>9571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2020-09-16T03:41:00Z</dcterms:created>
  <dc:creator>张彬茜</dc:creator>
  <cp:lastModifiedBy>相识是缘</cp:lastModifiedBy>
  <cp:lastPrinted>2020-09-15T08:05:00Z</cp:lastPrinted>
  <dcterms:modified xsi:type="dcterms:W3CDTF">2020-09-17T23:38:35Z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